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F61" w:rsidRPr="00A62F61" w:rsidRDefault="00A62F61" w:rsidP="00A62F61">
      <w:pPr>
        <w:jc w:val="both"/>
        <w:rPr>
          <w:rFonts w:ascii="Arial" w:hAnsi="Arial" w:cs="Arial"/>
          <w:sz w:val="20"/>
          <w:szCs w:val="20"/>
          <w:lang w:val="es-US"/>
        </w:rPr>
      </w:pPr>
      <w:r w:rsidRPr="00A62F61">
        <w:rPr>
          <w:rFonts w:ascii="Arial" w:hAnsi="Arial" w:cs="Arial"/>
          <w:sz w:val="20"/>
          <w:szCs w:val="20"/>
        </w:rPr>
        <mc:AlternateContent>
          <mc:Choice Requires="wps">
            <w:drawing>
              <wp:anchor distT="0" distB="0" distL="114300" distR="114300" simplePos="0" relativeHeight="251667456" behindDoc="0" locked="0" layoutInCell="1" allowOverlap="1" wp14:anchorId="51A2129F" wp14:editId="51B1495C">
                <wp:simplePos x="0" y="0"/>
                <wp:positionH relativeFrom="margin">
                  <wp:posOffset>-70485</wp:posOffset>
                </wp:positionH>
                <wp:positionV relativeFrom="paragraph">
                  <wp:posOffset>-398145</wp:posOffset>
                </wp:positionV>
                <wp:extent cx="5800725" cy="990600"/>
                <wp:effectExtent l="0" t="0" r="28575" b="1905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990600"/>
                        </a:xfrm>
                        <a:prstGeom prst="rect">
                          <a:avLst/>
                        </a:prstGeom>
                        <a:solidFill>
                          <a:srgbClr val="000080"/>
                        </a:solidFill>
                        <a:ln w="9525">
                          <a:solidFill>
                            <a:srgbClr val="000080"/>
                          </a:solidFill>
                          <a:miter lim="800000"/>
                          <a:headEnd/>
                          <a:tailEnd/>
                        </a:ln>
                      </wps:spPr>
                      <wps:txbx>
                        <w:txbxContent>
                          <w:p w:rsidR="00A62F61" w:rsidRPr="003B02FA" w:rsidRDefault="00A62F61" w:rsidP="00A62F61">
                            <w:pPr>
                              <w:jc w:val="center"/>
                              <w:rPr>
                                <w:rFonts w:ascii="Bookman Old Style" w:hAnsi="Bookman Old Style"/>
                                <w:b/>
                                <w:color w:val="FFFFFF"/>
                              </w:rPr>
                            </w:pPr>
                            <w:r w:rsidRPr="00E51C3A">
                              <w:rPr>
                                <w:rFonts w:ascii="Bookman Old Style" w:hAnsi="Bookman Old Style"/>
                                <w:b/>
                                <w:color w:val="FFFFFF"/>
                              </w:rPr>
                              <w:t>DIRECCIÓN NACIONAL</w:t>
                            </w:r>
                            <w:r>
                              <w:rPr>
                                <w:rFonts w:ascii="Bookman Old Style" w:hAnsi="Bookman Old Style"/>
                                <w:b/>
                                <w:color w:val="FFFFFF"/>
                              </w:rPr>
                              <w:t xml:space="preserve"> DE ASESORÍA JURÍDICA DE LA PGE</w:t>
                            </w:r>
                          </w:p>
                          <w:p w:rsidR="00A62F61" w:rsidRPr="003B02FA" w:rsidRDefault="00A62F61" w:rsidP="00A62F61">
                            <w:pPr>
                              <w:jc w:val="center"/>
                              <w:rPr>
                                <w:rFonts w:ascii="Bookman Old Style" w:hAnsi="Bookman Old Style"/>
                                <w:b/>
                                <w:color w:val="FFFFFF"/>
                                <w:sz w:val="28"/>
                                <w:szCs w:val="28"/>
                              </w:rPr>
                            </w:pPr>
                            <w:r w:rsidRPr="00B97AE5">
                              <w:rPr>
                                <w:rFonts w:ascii="Bookman Old Style" w:hAnsi="Bookman Old Style"/>
                                <w:b/>
                                <w:color w:val="FFFFFF"/>
                                <w:sz w:val="28"/>
                                <w:szCs w:val="28"/>
                              </w:rPr>
                              <w:t>NOV</w:t>
                            </w:r>
                            <w:r>
                              <w:rPr>
                                <w:rFonts w:ascii="Bookman Old Style" w:hAnsi="Bookman Old Style"/>
                                <w:b/>
                                <w:color w:val="FFFFFF"/>
                                <w:sz w:val="28"/>
                                <w:szCs w:val="28"/>
                              </w:rPr>
                              <w:t>EDADES EN LA NORMATIVA JURÍDICA</w:t>
                            </w:r>
                          </w:p>
                          <w:p w:rsidR="00A62F61" w:rsidRPr="00B97AE5" w:rsidRDefault="00A62F61" w:rsidP="00A62F61">
                            <w:pPr>
                              <w:jc w:val="center"/>
                              <w:rPr>
                                <w:rFonts w:ascii="Bookman Old Style" w:hAnsi="Bookman Old Style"/>
                                <w:b/>
                                <w:color w:val="FFFF00"/>
                              </w:rPr>
                            </w:pPr>
                            <w:r>
                              <w:rPr>
                                <w:rFonts w:ascii="Bookman Old Style" w:hAnsi="Bookman Old Style"/>
                                <w:b/>
                                <w:color w:val="FFFF00"/>
                              </w:rPr>
                              <w:t>DEL 1</w:t>
                            </w:r>
                            <w:r w:rsidRPr="00B97AE5">
                              <w:rPr>
                                <w:rFonts w:ascii="Bookman Old Style" w:hAnsi="Bookman Old Style"/>
                                <w:b/>
                                <w:color w:val="FFFF00"/>
                              </w:rPr>
                              <w:t xml:space="preserve"> AL </w:t>
                            </w:r>
                            <w:r>
                              <w:rPr>
                                <w:rFonts w:ascii="Bookman Old Style" w:hAnsi="Bookman Old Style"/>
                                <w:b/>
                                <w:color w:val="FFFF00"/>
                              </w:rPr>
                              <w:t>31 DE DICIEMBRE DEL 2016</w:t>
                            </w:r>
                          </w:p>
                          <w:p w:rsidR="00A62F61" w:rsidRDefault="00A62F61" w:rsidP="00A62F61"/>
                          <w:p w:rsidR="00A62F61" w:rsidRDefault="00A62F61" w:rsidP="00A62F61"/>
                          <w:p w:rsidR="00A62F61" w:rsidRDefault="00A62F61" w:rsidP="00A62F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left:0;text-align:left;margin-left:-5.55pt;margin-top:-31.35pt;width:456.75pt;height:7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" fillcolor="navy" strokecolor="navy">
                <v:textbox>
                  <w:txbxContent>
                    <w:p w:rsidR="00A62F61" w:rsidRPr="003B02FA" w:rsidRDefault="00A62F61" w:rsidP="00A62F61">
                      <w:pPr>
                        <w:jc w:val="center"/>
                        <w:rPr>
                          <w:rFonts w:ascii="Bookman Old Style" w:hAnsi="Bookman Old Style"/>
                          <w:b/>
                          <w:color w:val="FFFFFF"/>
                        </w:rPr>
                      </w:pPr>
                      <w:r w:rsidRPr="00E51C3A">
                        <w:rPr>
                          <w:rFonts w:ascii="Bookman Old Style" w:hAnsi="Bookman Old Style"/>
                          <w:b/>
                          <w:color w:val="FFFFFF"/>
                        </w:rPr>
                        <w:t>DIRECCIÓN NACIONAL</w:t>
                      </w:r>
                      <w:r>
                        <w:rPr>
                          <w:rFonts w:ascii="Bookman Old Style" w:hAnsi="Bookman Old Style"/>
                          <w:b/>
                          <w:color w:val="FFFFFF"/>
                        </w:rPr>
                        <w:t xml:space="preserve"> DE ASESORÍA JURÍDICA DE LA PGE</w:t>
                      </w:r>
                    </w:p>
                    <w:p w:rsidR="00A62F61" w:rsidRPr="003B02FA" w:rsidRDefault="00A62F61" w:rsidP="00A62F61">
                      <w:pPr>
                        <w:jc w:val="center"/>
                        <w:rPr>
                          <w:rFonts w:ascii="Bookman Old Style" w:hAnsi="Bookman Old Style"/>
                          <w:b/>
                          <w:color w:val="FFFFFF"/>
                          <w:sz w:val="28"/>
                          <w:szCs w:val="28"/>
                        </w:rPr>
                      </w:pPr>
                      <w:r w:rsidRPr="00B97AE5">
                        <w:rPr>
                          <w:rFonts w:ascii="Bookman Old Style" w:hAnsi="Bookman Old Style"/>
                          <w:b/>
                          <w:color w:val="FFFFFF"/>
                          <w:sz w:val="28"/>
                          <w:szCs w:val="28"/>
                        </w:rPr>
                        <w:t>NOV</w:t>
                      </w:r>
                      <w:r>
                        <w:rPr>
                          <w:rFonts w:ascii="Bookman Old Style" w:hAnsi="Bookman Old Style"/>
                          <w:b/>
                          <w:color w:val="FFFFFF"/>
                          <w:sz w:val="28"/>
                          <w:szCs w:val="28"/>
                        </w:rPr>
                        <w:t>EDADES EN LA NORMATIVA JURÍDICA</w:t>
                      </w:r>
                    </w:p>
                    <w:p w:rsidR="00A62F61" w:rsidRPr="00B97AE5" w:rsidRDefault="00A62F61" w:rsidP="00A62F61">
                      <w:pPr>
                        <w:jc w:val="center"/>
                        <w:rPr>
                          <w:rFonts w:ascii="Bookman Old Style" w:hAnsi="Bookman Old Style"/>
                          <w:b/>
                          <w:color w:val="FFFF00"/>
                        </w:rPr>
                      </w:pPr>
                      <w:r>
                        <w:rPr>
                          <w:rFonts w:ascii="Bookman Old Style" w:hAnsi="Bookman Old Style"/>
                          <w:b/>
                          <w:color w:val="FFFF00"/>
                        </w:rPr>
                        <w:t>DEL 1</w:t>
                      </w:r>
                      <w:r w:rsidRPr="00B97AE5">
                        <w:rPr>
                          <w:rFonts w:ascii="Bookman Old Style" w:hAnsi="Bookman Old Style"/>
                          <w:b/>
                          <w:color w:val="FFFF00"/>
                        </w:rPr>
                        <w:t xml:space="preserve"> AL </w:t>
                      </w:r>
                      <w:r>
                        <w:rPr>
                          <w:rFonts w:ascii="Bookman Old Style" w:hAnsi="Bookman Old Style"/>
                          <w:b/>
                          <w:color w:val="FFFF00"/>
                        </w:rPr>
                        <w:t>31 DE DICIEMBRE DEL 2016</w:t>
                      </w:r>
                    </w:p>
                    <w:p w:rsidR="00A62F61" w:rsidRDefault="00A62F61" w:rsidP="00A62F61"/>
                    <w:p w:rsidR="00A62F61" w:rsidRDefault="00A62F61" w:rsidP="00A62F61"/>
                    <w:p w:rsidR="00A62F61" w:rsidRDefault="00A62F61" w:rsidP="00A62F61"/>
                  </w:txbxContent>
                </v:textbox>
                <w10:wrap anchorx="margin"/>
              </v:shape>
            </w:pict>
          </mc:Fallback>
        </mc:AlternateContent>
      </w:r>
    </w:p>
    <w:p w:rsidR="00A62F61" w:rsidRPr="00A62F61" w:rsidRDefault="00A62F61" w:rsidP="00A62F61">
      <w:pPr>
        <w:jc w:val="both"/>
        <w:rPr>
          <w:rFonts w:ascii="Arial" w:hAnsi="Arial" w:cs="Arial"/>
          <w:sz w:val="20"/>
          <w:szCs w:val="20"/>
          <w:lang w:val="es-US"/>
        </w:rPr>
      </w:pPr>
    </w:p>
    <w:p w:rsidR="00A62F61" w:rsidRPr="00A62F61" w:rsidRDefault="0030615E" w:rsidP="00A62F61">
      <w:pPr>
        <w:jc w:val="both"/>
        <w:rPr>
          <w:rFonts w:ascii="Arial" w:hAnsi="Arial" w:cs="Arial"/>
          <w:sz w:val="20"/>
          <w:szCs w:val="20"/>
          <w:lang w:val="es-US"/>
        </w:rPr>
      </w:pPr>
      <w:r w:rsidRPr="00A62F61">
        <w:rPr>
          <w:rFonts w:ascii="Arial" w:hAnsi="Arial" w:cs="Arial"/>
          <w:sz w:val="20"/>
          <w:szCs w:val="20"/>
        </w:rPr>
        <mc:AlternateContent>
          <mc:Choice Requires="wps">
            <w:drawing>
              <wp:anchor distT="0" distB="0" distL="114300" distR="114300" simplePos="0" relativeHeight="251660288" behindDoc="0" locked="0" layoutInCell="1" allowOverlap="1" wp14:anchorId="77564B5F" wp14:editId="44967D4A">
                <wp:simplePos x="0" y="0"/>
                <wp:positionH relativeFrom="margin">
                  <wp:posOffset>-70485</wp:posOffset>
                </wp:positionH>
                <wp:positionV relativeFrom="paragraph">
                  <wp:posOffset>167005</wp:posOffset>
                </wp:positionV>
                <wp:extent cx="1676400" cy="295275"/>
                <wp:effectExtent l="0" t="0" r="19050" b="2857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95275"/>
                        </a:xfrm>
                        <a:prstGeom prst="rect">
                          <a:avLst/>
                        </a:prstGeom>
                        <a:solidFill>
                          <a:srgbClr val="000080"/>
                        </a:solidFill>
                        <a:ln w="9525">
                          <a:solidFill>
                            <a:srgbClr val="000080"/>
                          </a:solidFill>
                          <a:miter lim="800000"/>
                          <a:headEnd/>
                          <a:tailEnd/>
                        </a:ln>
                      </wps:spPr>
                      <wps:txbx>
                        <w:txbxContent>
                          <w:p w:rsidR="00A62F61" w:rsidRPr="00567E83" w:rsidRDefault="00A62F61" w:rsidP="00A62F61">
                            <w:pPr>
                              <w:jc w:val="both"/>
                              <w:rPr>
                                <w:b/>
                                <w:color w:val="FFFFFF"/>
                              </w:rPr>
                            </w:pPr>
                            <w:r>
                              <w:rPr>
                                <w:b/>
                                <w:color w:val="FFFFFF"/>
                              </w:rPr>
                              <w:t>Martes 20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 o:spid="_x0000_s1027" type="#_x0000_t202" style="position:absolute;left:0;text-align:left;margin-left:-5.55pt;margin-top:13.15pt;width:132pt;height:2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" fillcolor="navy" strokecolor="navy">
                <v:textbox>
                  <w:txbxContent>
                    <w:p w:rsidR="00A62F61" w:rsidRPr="00567E83" w:rsidRDefault="00A62F61" w:rsidP="00A62F61">
                      <w:pPr>
                        <w:jc w:val="both"/>
                        <w:rPr>
                          <w:b/>
                          <w:color w:val="FFFFFF"/>
                        </w:rPr>
                      </w:pPr>
                      <w:r>
                        <w:rPr>
                          <w:b/>
                          <w:color w:val="FFFFFF"/>
                        </w:rPr>
                        <w:t>Martes 20 de diciembre</w:t>
                      </w:r>
                    </w:p>
                  </w:txbxContent>
                </v:textbox>
                <w10:wrap anchorx="margin"/>
              </v:shape>
            </w:pict>
          </mc:Fallback>
        </mc:AlternateContent>
      </w:r>
    </w:p>
    <w:p w:rsidR="00A62F61" w:rsidRPr="00A62F61" w:rsidRDefault="00A62F61" w:rsidP="00A62F61">
      <w:pPr>
        <w:jc w:val="both"/>
        <w:rPr>
          <w:rFonts w:ascii="Arial" w:hAnsi="Arial" w:cs="Arial"/>
          <w:sz w:val="20"/>
          <w:szCs w:val="20"/>
          <w:lang w:val="es-US"/>
        </w:rPr>
      </w:pPr>
    </w:p>
    <w:tbl>
      <w:tblPr>
        <w:tblpPr w:leftFromText="141" w:rightFromText="141" w:vertAnchor="text" w:horzAnchor="margin" w:tblpY="41"/>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30615E" w:rsidRPr="00A62F61" w:rsidTr="0030615E">
        <w:trPr>
          <w:trHeight w:val="1380"/>
        </w:trPr>
        <w:tc>
          <w:tcPr>
            <w:tcW w:w="9257" w:type="dxa"/>
            <w:shd w:val="clear" w:color="auto" w:fill="DDFFFF"/>
          </w:tcPr>
          <w:p w:rsidR="0030615E" w:rsidRPr="00A62F61" w:rsidRDefault="0030615E" w:rsidP="0030615E">
            <w:pPr>
              <w:jc w:val="both"/>
              <w:rPr>
                <w:rFonts w:ascii="Arial" w:hAnsi="Arial" w:cs="Arial"/>
                <w:color w:val="365F91" w:themeColor="accent1" w:themeShade="BF"/>
                <w:sz w:val="20"/>
                <w:szCs w:val="20"/>
                <w:lang w:val="es-US"/>
              </w:rPr>
            </w:pPr>
          </w:p>
          <w:p w:rsidR="0030615E" w:rsidRPr="00A62F61" w:rsidRDefault="0030615E" w:rsidP="0030615E">
            <w:pPr>
              <w:jc w:val="both"/>
              <w:rPr>
                <w:rFonts w:ascii="Arial" w:hAnsi="Arial" w:cs="Arial"/>
                <w:b/>
                <w:color w:val="365F91" w:themeColor="accent1" w:themeShade="BF"/>
                <w:sz w:val="20"/>
                <w:szCs w:val="20"/>
                <w:lang w:val="es-US"/>
              </w:rPr>
            </w:pPr>
            <w:r w:rsidRPr="00A62F61">
              <w:rPr>
                <w:rFonts w:ascii="Arial" w:hAnsi="Arial" w:cs="Arial"/>
                <w:b/>
                <w:bCs/>
                <w:color w:val="365F91" w:themeColor="accent1" w:themeShade="BF"/>
                <w:sz w:val="20"/>
                <w:szCs w:val="20"/>
                <w:lang w:val="es-ES_tradnl"/>
              </w:rPr>
              <w:t>LEY ORGÁNICA REFORMATORIA A LA LEY ORGÁNICA DEL SERVICIO PÚBLICO Y AL CÓDIGO DEL TRABAJO</w:t>
            </w:r>
          </w:p>
          <w:p w:rsidR="0030615E" w:rsidRPr="00A62F61" w:rsidRDefault="0030615E" w:rsidP="0030615E">
            <w:pPr>
              <w:jc w:val="both"/>
              <w:rPr>
                <w:rFonts w:ascii="Arial" w:hAnsi="Arial" w:cs="Arial"/>
                <w:b/>
                <w:color w:val="365F91" w:themeColor="accent1" w:themeShade="BF"/>
                <w:sz w:val="20"/>
                <w:szCs w:val="20"/>
                <w:lang w:val="es-ES_tradnl"/>
              </w:rPr>
            </w:pPr>
          </w:p>
          <w:p w:rsidR="0030615E" w:rsidRPr="00A62F61" w:rsidRDefault="0030615E" w:rsidP="0030615E">
            <w:pPr>
              <w:jc w:val="both"/>
              <w:rPr>
                <w:rFonts w:ascii="Arial" w:hAnsi="Arial" w:cs="Arial"/>
                <w:color w:val="365F91" w:themeColor="accent1" w:themeShade="BF"/>
                <w:sz w:val="20"/>
                <w:szCs w:val="20"/>
                <w:lang w:val="es-US"/>
              </w:rPr>
            </w:pPr>
            <w:r w:rsidRPr="00A62F61">
              <w:rPr>
                <w:rFonts w:ascii="Arial" w:hAnsi="Arial" w:cs="Arial"/>
                <w:b/>
                <w:color w:val="365F91" w:themeColor="accent1" w:themeShade="BF"/>
                <w:sz w:val="20"/>
                <w:szCs w:val="20"/>
                <w:lang w:val="es-US"/>
              </w:rPr>
              <w:t xml:space="preserve">Expedido por: </w:t>
            </w:r>
            <w:r w:rsidRPr="00A62F61">
              <w:rPr>
                <w:rFonts w:ascii="Arial" w:hAnsi="Arial" w:cs="Arial"/>
                <w:color w:val="365F91" w:themeColor="accent1" w:themeShade="BF"/>
                <w:sz w:val="20"/>
                <w:szCs w:val="20"/>
                <w:lang w:val="es-US"/>
              </w:rPr>
              <w:t xml:space="preserve">Ley S/N, publicado en el Suplemento del Registro Oficial No. 906 de 20 de diciembre de 2016  </w:t>
            </w:r>
          </w:p>
          <w:p w:rsidR="0030615E" w:rsidRPr="00A62F61" w:rsidRDefault="0030615E" w:rsidP="0030615E">
            <w:pPr>
              <w:jc w:val="both"/>
              <w:rPr>
                <w:rFonts w:ascii="Arial" w:hAnsi="Arial" w:cs="Arial"/>
                <w:color w:val="365F91" w:themeColor="accent1" w:themeShade="BF"/>
                <w:sz w:val="20"/>
                <w:szCs w:val="20"/>
                <w:lang w:val="es-US"/>
              </w:rPr>
            </w:pPr>
            <w:r w:rsidRPr="00A62F61">
              <w:rPr>
                <w:rFonts w:ascii="Arial" w:hAnsi="Arial" w:cs="Arial"/>
                <w:b/>
                <w:color w:val="365F91" w:themeColor="accent1" w:themeShade="BF"/>
                <w:sz w:val="20"/>
                <w:szCs w:val="20"/>
                <w:lang w:val="es-US"/>
              </w:rPr>
              <w:t>Novedad:</w:t>
            </w:r>
            <w:r w:rsidRPr="00A62F61">
              <w:rPr>
                <w:rFonts w:ascii="Arial" w:hAnsi="Arial" w:cs="Arial"/>
                <w:color w:val="365F91" w:themeColor="accent1" w:themeShade="BF"/>
                <w:sz w:val="20"/>
                <w:szCs w:val="20"/>
                <w:lang w:val="es-US"/>
              </w:rPr>
              <w:t xml:space="preserve"> Reforma</w:t>
            </w:r>
          </w:p>
          <w:p w:rsidR="0030615E" w:rsidRPr="00A62F61" w:rsidRDefault="0030615E" w:rsidP="0030615E">
            <w:pPr>
              <w:jc w:val="both"/>
              <w:rPr>
                <w:rFonts w:ascii="Arial" w:hAnsi="Arial" w:cs="Arial"/>
                <w:color w:val="365F91" w:themeColor="accent1" w:themeShade="BF"/>
                <w:sz w:val="20"/>
                <w:szCs w:val="20"/>
                <w:lang w:val="es-US"/>
              </w:rPr>
            </w:pPr>
          </w:p>
          <w:p w:rsidR="0030615E" w:rsidRPr="00A62F61" w:rsidRDefault="0030615E" w:rsidP="0030615E">
            <w:pPr>
              <w:jc w:val="both"/>
              <w:rPr>
                <w:rFonts w:ascii="Arial" w:hAnsi="Arial" w:cs="Arial"/>
                <w:color w:val="365F91" w:themeColor="accent1" w:themeShade="BF"/>
                <w:sz w:val="20"/>
                <w:szCs w:val="20"/>
                <w:lang w:val="es-US"/>
              </w:rPr>
            </w:pPr>
            <w:hyperlink r:id="rId6" w:history="1">
              <w:r w:rsidRPr="00A62F61">
                <w:rPr>
                  <w:rStyle w:val="Hipervnculo"/>
                  <w:rFonts w:ascii="Arial" w:hAnsi="Arial" w:cs="Arial"/>
                  <w:color w:val="365F91" w:themeColor="accent1" w:themeShade="BF"/>
                  <w:sz w:val="20"/>
                  <w:szCs w:val="20"/>
                  <w:lang w:val="es-US"/>
                </w:rPr>
                <w:t>Ver Vigencia</w:t>
              </w:r>
            </w:hyperlink>
            <w:r w:rsidRPr="00A62F61">
              <w:rPr>
                <w:rFonts w:ascii="Arial" w:hAnsi="Arial" w:cs="Arial"/>
                <w:color w:val="365F91" w:themeColor="accent1" w:themeShade="BF"/>
                <w:sz w:val="20"/>
                <w:szCs w:val="20"/>
                <w:lang w:val="es-US"/>
              </w:rPr>
              <w:t xml:space="preserve"> </w:t>
            </w:r>
          </w:p>
          <w:p w:rsidR="0030615E" w:rsidRPr="00A62F61" w:rsidRDefault="0030615E" w:rsidP="0030615E">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Artículo 1.- </w:t>
            </w:r>
            <w:r w:rsidRPr="00A62F61">
              <w:rPr>
                <w:rFonts w:ascii="Arial" w:hAnsi="Arial" w:cs="Arial"/>
                <w:color w:val="365F91" w:themeColor="accent1" w:themeShade="BF"/>
                <w:sz w:val="20"/>
                <w:szCs w:val="20"/>
                <w:lang w:val="es-ES_tradnl"/>
              </w:rPr>
              <w:t>Su-</w:t>
            </w:r>
            <w:proofErr w:type="spellStart"/>
            <w:r w:rsidRPr="00A62F61">
              <w:rPr>
                <w:rFonts w:ascii="Arial" w:hAnsi="Arial" w:cs="Arial"/>
                <w:color w:val="365F91" w:themeColor="accent1" w:themeShade="BF"/>
                <w:sz w:val="20"/>
                <w:szCs w:val="20"/>
                <w:lang w:val="es-ES_tradnl"/>
              </w:rPr>
              <w:t>stitúyase</w:t>
            </w:r>
            <w:proofErr w:type="spellEnd"/>
            <w:r w:rsidRPr="00A62F61">
              <w:rPr>
                <w:rFonts w:ascii="Arial" w:hAnsi="Arial" w:cs="Arial"/>
                <w:color w:val="365F91" w:themeColor="accent1" w:themeShade="BF"/>
                <w:sz w:val="20"/>
                <w:szCs w:val="20"/>
                <w:lang w:val="es-ES_tradnl"/>
              </w:rPr>
              <w:t xml:space="preserve"> el artículo 110 de la Ley Orgánica del Servicio Público, por el siguiente:</w:t>
            </w:r>
          </w:p>
          <w:p w:rsidR="0030615E" w:rsidRPr="00A62F61" w:rsidRDefault="0030615E" w:rsidP="0030615E">
            <w:pPr>
              <w:jc w:val="both"/>
              <w:rPr>
                <w:rFonts w:ascii="Arial" w:hAnsi="Arial" w:cs="Arial"/>
                <w:color w:val="365F91" w:themeColor="accent1" w:themeShade="BF"/>
                <w:sz w:val="20"/>
                <w:szCs w:val="20"/>
                <w:lang w:val="es-US"/>
              </w:rPr>
            </w:pPr>
            <w:r w:rsidRPr="00A62F61">
              <w:rPr>
                <w:rFonts w:ascii="Arial" w:hAnsi="Arial" w:cs="Arial"/>
                <w:iCs/>
                <w:color w:val="365F91" w:themeColor="accent1" w:themeShade="BF"/>
                <w:sz w:val="20"/>
                <w:szCs w:val="20"/>
                <w:lang w:val="es-ES_tradnl"/>
              </w:rPr>
              <w:t>“Artículo 110.- Pago por los días de efectiva prestación de servicios.- La remuneración de la servidora o servidor que estuviere en el ejercicio de un puesto será pagada desde el primer día del mes y hasta el día de efectiva prestación de actividades. En consecuencia, las remuneraciones serán fraccionables dentro de un mismo mes entre dos personas, por lo que el servidor cesante percibirá la remuneración íntegra por los días efectivamente laborados del mes en que se produzca la separación.”</w:t>
            </w:r>
          </w:p>
          <w:p w:rsidR="0030615E" w:rsidRPr="00A62F61" w:rsidRDefault="0030615E" w:rsidP="0030615E">
            <w:pPr>
              <w:rPr>
                <w:rFonts w:ascii="Arial" w:hAnsi="Arial" w:cs="Arial"/>
                <w:b/>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Artículo 2.- </w:t>
            </w:r>
            <w:proofErr w:type="spellStart"/>
            <w:r w:rsidRPr="00A62F61">
              <w:rPr>
                <w:rFonts w:ascii="Arial" w:hAnsi="Arial" w:cs="Arial"/>
                <w:color w:val="365F91" w:themeColor="accent1" w:themeShade="BF"/>
                <w:sz w:val="20"/>
                <w:szCs w:val="20"/>
                <w:lang w:val="es-ES_tradnl"/>
              </w:rPr>
              <w:t>Refórmase</w:t>
            </w:r>
            <w:proofErr w:type="spellEnd"/>
            <w:r w:rsidRPr="00A62F61">
              <w:rPr>
                <w:rFonts w:ascii="Arial" w:hAnsi="Arial" w:cs="Arial"/>
                <w:color w:val="365F91" w:themeColor="accent1" w:themeShade="BF"/>
                <w:sz w:val="20"/>
                <w:szCs w:val="20"/>
                <w:lang w:val="es-ES_tradnl"/>
              </w:rPr>
              <w:t xml:space="preserve"> la Disposición General Cuarta de la Ley Orgánica del Servicio Público, de la siguiente forma:</w:t>
            </w:r>
          </w:p>
          <w:p w:rsidR="0030615E" w:rsidRPr="00A62F61" w:rsidRDefault="0030615E" w:rsidP="0030615E">
            <w:pPr>
              <w:numPr>
                <w:ilvl w:val="0"/>
                <w:numId w:val="27"/>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En el primer inciso, sustitúyase la frase “y 25 de diciembre”, por la siguiente: “, 25 de diciembre y los días lunes y martes de carnaval”.</w:t>
            </w:r>
          </w:p>
          <w:p w:rsidR="0030615E" w:rsidRPr="00A62F61" w:rsidRDefault="0030615E" w:rsidP="0030615E">
            <w:pPr>
              <w:numPr>
                <w:ilvl w:val="0"/>
                <w:numId w:val="27"/>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Sustitúyase el quinto inciso por el siguiente:</w:t>
            </w:r>
          </w:p>
          <w:p w:rsidR="0030615E" w:rsidRPr="00A62F61" w:rsidRDefault="0030615E" w:rsidP="0030615E">
            <w:pPr>
              <w:jc w:val="both"/>
              <w:rPr>
                <w:rFonts w:ascii="Arial" w:hAnsi="Arial" w:cs="Arial"/>
                <w:color w:val="365F91" w:themeColor="accent1" w:themeShade="BF"/>
                <w:sz w:val="20"/>
                <w:szCs w:val="20"/>
                <w:lang w:val="es-US"/>
              </w:rPr>
            </w:pPr>
            <w:r w:rsidRPr="00A62F61">
              <w:rPr>
                <w:rFonts w:ascii="Arial" w:hAnsi="Arial" w:cs="Arial"/>
                <w:iCs/>
                <w:color w:val="365F91" w:themeColor="accent1" w:themeShade="BF"/>
                <w:sz w:val="20"/>
                <w:szCs w:val="20"/>
                <w:lang w:val="es-ES_tradnl"/>
              </w:rPr>
              <w:t>“Cuando los días feriados de descanso obligatorio establecidos en esta Ley, correspondan al día martes, el descanso se trasladará al día lunes inmediato anterior, y si coinciden con los días miércoles o jueves, el descanso se pasará al día viernes de la misma semana. Igual criterio se aplicará para los días feriados de carácter local. Se exceptúan de esta disposición los días 1 de enero, 25 de diciembre y martes de carnaval.”</w:t>
            </w:r>
          </w:p>
          <w:p w:rsidR="0030615E" w:rsidRPr="00A62F61" w:rsidRDefault="0030615E" w:rsidP="0030615E">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3.</w:t>
            </w:r>
            <w:r w:rsidRPr="00A62F61">
              <w:rPr>
                <w:rFonts w:ascii="Arial" w:hAnsi="Arial" w:cs="Arial"/>
                <w:color w:val="365F91" w:themeColor="accent1" w:themeShade="BF"/>
                <w:sz w:val="20"/>
                <w:szCs w:val="20"/>
                <w:lang w:val="es-ES_tradnl"/>
              </w:rPr>
              <w:tab/>
              <w:t>Añádase como sexto inciso, el siguiente:</w:t>
            </w:r>
          </w:p>
          <w:p w:rsidR="0030615E" w:rsidRPr="00A62F61" w:rsidRDefault="0030615E" w:rsidP="0030615E">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w:t>
            </w:r>
            <w:r w:rsidRPr="00A62F61">
              <w:rPr>
                <w:rFonts w:ascii="Arial" w:hAnsi="Arial" w:cs="Arial"/>
                <w:iCs/>
                <w:color w:val="365F91" w:themeColor="accent1" w:themeShade="BF"/>
                <w:sz w:val="20"/>
                <w:szCs w:val="20"/>
                <w:lang w:val="es-ES_tradnl"/>
              </w:rPr>
              <w:t>Cuando los días feriados de descanso obligatorio a nivel nacional o local establecidos en esta Ley, correspondan a los días sábados o domingos, el descanso se trasladará, respectivamente, al anterior día viernes o al posterior día lunes.</w:t>
            </w:r>
            <w:r w:rsidRPr="00A62F61">
              <w:rPr>
                <w:rFonts w:ascii="Arial" w:hAnsi="Arial" w:cs="Arial"/>
                <w:color w:val="365F91" w:themeColor="accent1" w:themeShade="BF"/>
                <w:sz w:val="20"/>
                <w:szCs w:val="20"/>
                <w:lang w:val="es-ES_tradnl"/>
              </w:rPr>
              <w:t>”</w:t>
            </w:r>
          </w:p>
          <w:p w:rsidR="0030615E" w:rsidRPr="00A62F61" w:rsidRDefault="0030615E" w:rsidP="0030615E">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lastRenderedPageBreak/>
              <w:t xml:space="preserve">Artículo 3.- </w:t>
            </w:r>
            <w:proofErr w:type="spellStart"/>
            <w:r w:rsidRPr="00A62F61">
              <w:rPr>
                <w:rFonts w:ascii="Arial" w:hAnsi="Arial" w:cs="Arial"/>
                <w:color w:val="365F91" w:themeColor="accent1" w:themeShade="BF"/>
                <w:sz w:val="20"/>
                <w:szCs w:val="20"/>
                <w:lang w:val="es-ES_tradnl"/>
              </w:rPr>
              <w:t>Refórmase</w:t>
            </w:r>
            <w:proofErr w:type="spellEnd"/>
            <w:r w:rsidRPr="00A62F61">
              <w:rPr>
                <w:rFonts w:ascii="Arial" w:hAnsi="Arial" w:cs="Arial"/>
                <w:color w:val="365F91" w:themeColor="accent1" w:themeShade="BF"/>
                <w:sz w:val="20"/>
                <w:szCs w:val="20"/>
                <w:lang w:val="es-ES_tradnl"/>
              </w:rPr>
              <w:t xml:space="preserve"> el artículo 65 del Código del Trabajo, de la siguiente manera:</w:t>
            </w:r>
          </w:p>
          <w:p w:rsidR="0030615E" w:rsidRPr="00A62F61" w:rsidRDefault="0030615E" w:rsidP="0030615E">
            <w:pPr>
              <w:numPr>
                <w:ilvl w:val="0"/>
                <w:numId w:val="28"/>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En el primer inciso, sustitúyase la frase “y 25 de diciembre”, por la siguiente: “, 25 de diciembre y los días lunes y martes de carnaval”.</w:t>
            </w:r>
          </w:p>
          <w:p w:rsidR="0030615E" w:rsidRPr="00A62F61" w:rsidRDefault="0030615E" w:rsidP="0030615E">
            <w:pPr>
              <w:numPr>
                <w:ilvl w:val="0"/>
                <w:numId w:val="28"/>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Añádanse como tercer y cuarto incisos, los siguientes:</w:t>
            </w:r>
          </w:p>
          <w:p w:rsidR="0030615E" w:rsidRPr="00A62F61" w:rsidRDefault="0030615E" w:rsidP="0030615E">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w:t>
            </w:r>
            <w:r w:rsidRPr="00A62F61">
              <w:rPr>
                <w:rFonts w:ascii="Arial" w:hAnsi="Arial" w:cs="Arial"/>
                <w:iCs/>
                <w:color w:val="365F91" w:themeColor="accent1" w:themeShade="BF"/>
                <w:sz w:val="20"/>
                <w:szCs w:val="20"/>
                <w:lang w:val="es-ES_tradnl"/>
              </w:rPr>
              <w:t>Cuando los días feriados de descanso obligatorio establecidos en este Código, correspondan al día martes, el descanso se trasladará al día lunes inmediato anterior, y si coinciden con los días miércoles o jueves, el descanso se pasará al día viernes de la misma semana. Igual criterio se aplicará para los días feriados de carácter local. Se exceptúan de esta disposición los días 1 de enero, 25 de diciembre y martes de carnaval.</w:t>
            </w:r>
          </w:p>
          <w:p w:rsidR="0030615E" w:rsidRPr="00A62F61" w:rsidRDefault="0030615E" w:rsidP="0030615E">
            <w:pPr>
              <w:jc w:val="both"/>
              <w:rPr>
                <w:rFonts w:ascii="Arial" w:hAnsi="Arial" w:cs="Arial"/>
                <w:color w:val="365F91" w:themeColor="accent1" w:themeShade="BF"/>
                <w:sz w:val="20"/>
                <w:szCs w:val="20"/>
                <w:lang w:val="es-US"/>
              </w:rPr>
            </w:pPr>
            <w:r w:rsidRPr="00A62F61">
              <w:rPr>
                <w:rFonts w:ascii="Arial" w:hAnsi="Arial" w:cs="Arial"/>
                <w:iCs/>
                <w:color w:val="365F91" w:themeColor="accent1" w:themeShade="BF"/>
                <w:sz w:val="20"/>
                <w:szCs w:val="20"/>
                <w:lang w:val="es-ES_tradnl"/>
              </w:rPr>
              <w:t>Cuando los días feriados de descanso obligatorio a nivel nacional o local establecidos en este Código,</w:t>
            </w:r>
          </w:p>
          <w:p w:rsidR="0030615E" w:rsidRPr="00A62F61" w:rsidRDefault="0030615E" w:rsidP="0030615E">
            <w:p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US"/>
              </w:rPr>
              <w:br w:type="column"/>
            </w:r>
            <w:proofErr w:type="gramStart"/>
            <w:r w:rsidRPr="00A62F61">
              <w:rPr>
                <w:rFonts w:ascii="Arial" w:hAnsi="Arial" w:cs="Arial"/>
                <w:iCs/>
                <w:color w:val="365F91" w:themeColor="accent1" w:themeShade="BF"/>
                <w:sz w:val="20"/>
                <w:szCs w:val="20"/>
                <w:lang w:val="es-ES_tradnl"/>
              </w:rPr>
              <w:t>correspondan</w:t>
            </w:r>
            <w:proofErr w:type="gramEnd"/>
            <w:r w:rsidRPr="00A62F61">
              <w:rPr>
                <w:rFonts w:ascii="Arial" w:hAnsi="Arial" w:cs="Arial"/>
                <w:iCs/>
                <w:color w:val="365F91" w:themeColor="accent1" w:themeShade="BF"/>
                <w:sz w:val="20"/>
                <w:szCs w:val="20"/>
                <w:lang w:val="es-ES_tradnl"/>
              </w:rPr>
              <w:t xml:space="preserve"> a los días sábados o domingos, el descanso se trasladará, respectivamente, al anterior día viernes o al posterior día lunes.</w:t>
            </w:r>
            <w:r w:rsidRPr="00A62F61">
              <w:rPr>
                <w:rFonts w:ascii="Arial" w:hAnsi="Arial" w:cs="Arial"/>
                <w:color w:val="365F91" w:themeColor="accent1" w:themeShade="BF"/>
                <w:sz w:val="20"/>
                <w:szCs w:val="20"/>
                <w:lang w:val="es-ES_tradnl"/>
              </w:rPr>
              <w:t>”</w:t>
            </w:r>
          </w:p>
        </w:tc>
      </w:tr>
    </w:tbl>
    <w:p w:rsidR="00A62F61" w:rsidRPr="00A62F61" w:rsidRDefault="0030615E" w:rsidP="00A62F61">
      <w:pPr>
        <w:jc w:val="both"/>
        <w:rPr>
          <w:rFonts w:ascii="Arial" w:hAnsi="Arial" w:cs="Arial"/>
          <w:sz w:val="20"/>
          <w:szCs w:val="20"/>
          <w:lang w:val="es-US"/>
        </w:rPr>
      </w:pPr>
      <w:r w:rsidRPr="00A62F61">
        <w:rPr>
          <w:rFonts w:ascii="Arial" w:hAnsi="Arial" w:cs="Arial"/>
          <w:sz w:val="20"/>
          <w:szCs w:val="20"/>
        </w:rPr>
        <w:lastRenderedPageBreak/>
        <mc:AlternateContent>
          <mc:Choice Requires="wps">
            <w:drawing>
              <wp:anchor distT="0" distB="0" distL="114300" distR="114300" simplePos="0" relativeHeight="251659264" behindDoc="0" locked="0" layoutInCell="1" allowOverlap="1" wp14:anchorId="5B580780" wp14:editId="5B24A3BF">
                <wp:simplePos x="0" y="0"/>
                <wp:positionH relativeFrom="margin">
                  <wp:posOffset>-89535</wp:posOffset>
                </wp:positionH>
                <wp:positionV relativeFrom="paragraph">
                  <wp:posOffset>3086735</wp:posOffset>
                </wp:positionV>
                <wp:extent cx="2076450" cy="257175"/>
                <wp:effectExtent l="0" t="0" r="1905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57175"/>
                        </a:xfrm>
                        <a:prstGeom prst="rect">
                          <a:avLst/>
                        </a:prstGeom>
                        <a:solidFill>
                          <a:srgbClr val="000080"/>
                        </a:solidFill>
                        <a:ln w="9525">
                          <a:solidFill>
                            <a:srgbClr val="000080"/>
                          </a:solidFill>
                          <a:miter lim="800000"/>
                          <a:headEnd/>
                          <a:tailEnd/>
                        </a:ln>
                      </wps:spPr>
                      <wps:txbx>
                        <w:txbxContent>
                          <w:p w:rsidR="00A62F61" w:rsidRPr="00567E83" w:rsidRDefault="00A62F61" w:rsidP="00A62F61">
                            <w:pPr>
                              <w:jc w:val="both"/>
                              <w:rPr>
                                <w:b/>
                                <w:color w:val="FFFFFF"/>
                              </w:rPr>
                            </w:pPr>
                            <w:r>
                              <w:rPr>
                                <w:b/>
                                <w:color w:val="FFFFFF"/>
                              </w:rPr>
                              <w:t>Miércoles 21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 o:spid="_x0000_s1028" type="#_x0000_t202" style="position:absolute;left:0;text-align:left;margin-left:-7.05pt;margin-top:243.05pt;width:163.5pt;height:2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" fillcolor="navy" strokecolor="navy">
                <v:textbox>
                  <w:txbxContent>
                    <w:p w:rsidR="00A62F61" w:rsidRPr="00567E83" w:rsidRDefault="00A62F61" w:rsidP="00A62F61">
                      <w:pPr>
                        <w:jc w:val="both"/>
                        <w:rPr>
                          <w:b/>
                          <w:color w:val="FFFFFF"/>
                        </w:rPr>
                      </w:pPr>
                      <w:r>
                        <w:rPr>
                          <w:b/>
                          <w:color w:val="FFFFFF"/>
                        </w:rPr>
                        <w:t>Miércoles 21 de diciembre</w:t>
                      </w:r>
                    </w:p>
                  </w:txbxContent>
                </v:textbox>
                <w10:wrap anchorx="margin"/>
              </v:shape>
            </w:pict>
          </mc:Fallback>
        </mc:AlternateContent>
      </w:r>
    </w:p>
    <w:p w:rsidR="00A62F61" w:rsidRPr="00A62F61" w:rsidRDefault="00A62F61" w:rsidP="00A62F61">
      <w:pPr>
        <w:jc w:val="both"/>
        <w:rPr>
          <w:rFonts w:ascii="Arial" w:hAnsi="Arial" w:cs="Arial"/>
          <w:sz w:val="20"/>
          <w:szCs w:val="20"/>
          <w:lang w:val="es-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62F61" w:rsidRPr="00A62F61" w:rsidTr="00A62F61">
        <w:trPr>
          <w:trHeight w:val="1380"/>
        </w:trPr>
        <w:tc>
          <w:tcPr>
            <w:tcW w:w="9257" w:type="dxa"/>
            <w:shd w:val="clear" w:color="auto" w:fill="E6F1DF"/>
          </w:tcPr>
          <w:p w:rsidR="00A62F61" w:rsidRPr="00A62F61" w:rsidRDefault="00A62F61" w:rsidP="00A62F61">
            <w:pPr>
              <w:jc w:val="both"/>
              <w:rPr>
                <w:rFonts w:ascii="Arial" w:hAnsi="Arial" w:cs="Arial"/>
                <w:color w:val="365F91" w:themeColor="accent1" w:themeShade="BF"/>
                <w:sz w:val="20"/>
                <w:szCs w:val="20"/>
                <w:lang w:val="es-US"/>
              </w:rPr>
            </w:pPr>
          </w:p>
          <w:p w:rsidR="00A62F61" w:rsidRPr="00A62F61" w:rsidRDefault="00A62F61" w:rsidP="00A62F61">
            <w:pPr>
              <w:jc w:val="both"/>
              <w:rPr>
                <w:rFonts w:ascii="Arial" w:hAnsi="Arial" w:cs="Arial"/>
                <w:b/>
                <w:color w:val="365F91" w:themeColor="accent1" w:themeShade="BF"/>
                <w:sz w:val="20"/>
                <w:szCs w:val="20"/>
                <w:lang w:val="es-ES"/>
              </w:rPr>
            </w:pPr>
            <w:r w:rsidRPr="00A62F61">
              <w:rPr>
                <w:rFonts w:ascii="Arial" w:hAnsi="Arial" w:cs="Arial"/>
                <w:b/>
                <w:bCs/>
                <w:color w:val="365F91" w:themeColor="accent1" w:themeShade="BF"/>
                <w:sz w:val="20"/>
                <w:szCs w:val="20"/>
                <w:lang w:val="es-ES_tradnl"/>
              </w:rPr>
              <w:t>REGLAMENTO PARA LA DECLARACIÓN, PRESENTACIÓN Y REGISTRO DE LAS DECLARACIONES PATRIMONIALES JURADAS, OTORGADAS ELECTRÓNICAMENTE A TRAVÉS DE LA PAGINA WEB DE LA CONTRALORÍA GENERAL DEL ESTADO.</w:t>
            </w:r>
          </w:p>
          <w:p w:rsidR="00A62F61" w:rsidRPr="00A62F61" w:rsidRDefault="00A62F61" w:rsidP="00A62F61">
            <w:pPr>
              <w:jc w:val="both"/>
              <w:rPr>
                <w:rFonts w:ascii="Arial" w:hAnsi="Arial" w:cs="Arial"/>
                <w:b/>
                <w:color w:val="365F91" w:themeColor="accent1" w:themeShade="BF"/>
                <w:sz w:val="20"/>
                <w:szCs w:val="20"/>
                <w:lang w:val="es-ES"/>
              </w:rPr>
            </w:pPr>
          </w:p>
          <w:p w:rsidR="00A62F61" w:rsidRPr="00A62F61" w:rsidRDefault="00A62F61" w:rsidP="00A62F61">
            <w:pPr>
              <w:jc w:val="both"/>
              <w:rPr>
                <w:rFonts w:ascii="Arial" w:hAnsi="Arial" w:cs="Arial"/>
                <w:b/>
                <w:color w:val="365F91" w:themeColor="accent1" w:themeShade="BF"/>
                <w:sz w:val="20"/>
                <w:szCs w:val="20"/>
                <w:lang w:val="es-US"/>
              </w:rPr>
            </w:pPr>
            <w:r w:rsidRPr="00A62F61">
              <w:rPr>
                <w:rFonts w:ascii="Arial" w:hAnsi="Arial" w:cs="Arial"/>
                <w:b/>
                <w:color w:val="365F91" w:themeColor="accent1" w:themeShade="BF"/>
                <w:sz w:val="20"/>
                <w:szCs w:val="20"/>
                <w:lang w:val="es-US"/>
              </w:rPr>
              <w:t xml:space="preserve">Expedido por: </w:t>
            </w:r>
            <w:r w:rsidRPr="00A62F61">
              <w:rPr>
                <w:rFonts w:ascii="Arial" w:hAnsi="Arial" w:cs="Arial"/>
                <w:color w:val="365F91" w:themeColor="accent1" w:themeShade="BF"/>
                <w:sz w:val="20"/>
                <w:szCs w:val="20"/>
                <w:lang w:val="es-US"/>
              </w:rPr>
              <w:t xml:space="preserve">Acuerdo </w:t>
            </w:r>
            <w:r w:rsidRPr="00A62F61">
              <w:rPr>
                <w:rFonts w:ascii="Arial" w:hAnsi="Arial" w:cs="Arial"/>
                <w:bCs/>
                <w:color w:val="365F91" w:themeColor="accent1" w:themeShade="BF"/>
                <w:sz w:val="20"/>
                <w:szCs w:val="20"/>
                <w:lang w:val="es-ES_tradnl"/>
              </w:rPr>
              <w:t>No. 045–CG–2016</w:t>
            </w:r>
            <w:r w:rsidRPr="00A62F61">
              <w:rPr>
                <w:rFonts w:ascii="Arial" w:hAnsi="Arial" w:cs="Arial"/>
                <w:color w:val="365F91" w:themeColor="accent1" w:themeShade="BF"/>
                <w:sz w:val="20"/>
                <w:szCs w:val="20"/>
                <w:lang w:val="es-US"/>
              </w:rPr>
              <w:t xml:space="preserve"> de la Contraloría General del Estado, publicado en el Suplemento del Registro Oficial No. 907 de 21 de diciembre del 2016.  </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color w:val="365F91" w:themeColor="accent1" w:themeShade="BF"/>
                <w:sz w:val="20"/>
                <w:szCs w:val="20"/>
                <w:lang w:val="es-US"/>
              </w:rPr>
              <w:t>Novedad:</w:t>
            </w:r>
            <w:r w:rsidRPr="00A62F61">
              <w:rPr>
                <w:rFonts w:ascii="Arial" w:hAnsi="Arial" w:cs="Arial"/>
                <w:color w:val="365F91" w:themeColor="accent1" w:themeShade="BF"/>
                <w:sz w:val="20"/>
                <w:szCs w:val="20"/>
                <w:lang w:val="es-US"/>
              </w:rPr>
              <w:t xml:space="preserve"> Nuevo</w:t>
            </w:r>
          </w:p>
          <w:p w:rsidR="00A62F61" w:rsidRPr="00A62F61" w:rsidRDefault="00A62F61" w:rsidP="00A62F61">
            <w:pPr>
              <w:jc w:val="both"/>
              <w:rPr>
                <w:rFonts w:ascii="Arial" w:hAnsi="Arial" w:cs="Arial"/>
                <w:color w:val="365F91" w:themeColor="accent1" w:themeShade="BF"/>
                <w:sz w:val="20"/>
                <w:szCs w:val="20"/>
                <w:lang w:val="es-US"/>
              </w:rPr>
            </w:pPr>
          </w:p>
          <w:p w:rsidR="00A62F61" w:rsidRPr="00A62F61" w:rsidRDefault="00A62F61" w:rsidP="00A62F61">
            <w:pPr>
              <w:jc w:val="both"/>
              <w:rPr>
                <w:rFonts w:ascii="Arial" w:hAnsi="Arial" w:cs="Arial"/>
                <w:color w:val="365F91" w:themeColor="accent1" w:themeShade="BF"/>
                <w:sz w:val="20"/>
                <w:szCs w:val="20"/>
                <w:lang w:val="es-US"/>
              </w:rPr>
            </w:pPr>
            <w:hyperlink r:id="rId7" w:history="1">
              <w:r w:rsidRPr="00A62F61">
                <w:rPr>
                  <w:rStyle w:val="Hipervnculo"/>
                  <w:rFonts w:ascii="Arial" w:hAnsi="Arial" w:cs="Arial"/>
                  <w:color w:val="365F91" w:themeColor="accent1" w:themeShade="BF"/>
                  <w:sz w:val="20"/>
                  <w:szCs w:val="20"/>
                  <w:lang w:val="es-US"/>
                </w:rPr>
                <w:t>Ver Vigencia</w:t>
              </w:r>
            </w:hyperlink>
          </w:p>
          <w:p w:rsidR="00A62F61" w:rsidRPr="00A62F61" w:rsidRDefault="00A62F61" w:rsidP="00A62F61">
            <w:pPr>
              <w:jc w:val="both"/>
              <w:rPr>
                <w:rFonts w:ascii="Arial" w:hAnsi="Arial" w:cs="Arial"/>
                <w:b/>
                <w:bCs/>
                <w:color w:val="365F91" w:themeColor="accent1" w:themeShade="BF"/>
                <w:sz w:val="20"/>
                <w:szCs w:val="20"/>
                <w:lang w:val="es-ES_tradnl"/>
              </w:rPr>
            </w:pP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Artículo 1.- Objeto. - </w:t>
            </w:r>
            <w:r w:rsidRPr="00A62F61">
              <w:rPr>
                <w:rFonts w:ascii="Arial" w:hAnsi="Arial" w:cs="Arial"/>
                <w:color w:val="365F91" w:themeColor="accent1" w:themeShade="BF"/>
                <w:sz w:val="20"/>
                <w:szCs w:val="20"/>
                <w:lang w:val="es-ES_tradnl"/>
              </w:rPr>
              <w:t>Este Reglamento tiene por objeto regular el proceso de elaboración, presentación y registro de las Declaraciones Patrimoniales Juradas que deben realizar todas las personas al iniciar y al finalizar su gestión en el sector público, y periódicamente aquellas que se encuentran laborando dentro del mismo.</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Se denomina “declarante”, para fines de este Reglamento, a la persona cuya gestión inicia o concluye en el sector público; y, al servidor/a que rinde una declaración durante la ejecución de sus funciones.</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Artículo 2.- Ámbito de aplicación.- </w:t>
            </w:r>
            <w:r w:rsidRPr="00A62F61">
              <w:rPr>
                <w:rFonts w:ascii="Arial" w:hAnsi="Arial" w:cs="Arial"/>
                <w:color w:val="365F91" w:themeColor="accent1" w:themeShade="BF"/>
                <w:sz w:val="20"/>
                <w:szCs w:val="20"/>
                <w:lang w:val="es-ES_tradnl"/>
              </w:rPr>
              <w:t xml:space="preserve">El presente Reglamento rige para todos los servidores/as públicos a los que se refieren los artículos 229 y 231 de la Constitución de la República, y los artículos 2 y 3 de la Ley para la Presentación y Control de las Declaraciones Patrimoniales Juradas, </w:t>
            </w:r>
            <w:r w:rsidRPr="00A62F61">
              <w:rPr>
                <w:rFonts w:ascii="Arial" w:hAnsi="Arial" w:cs="Arial"/>
                <w:color w:val="365F91" w:themeColor="accent1" w:themeShade="BF"/>
                <w:sz w:val="20"/>
                <w:szCs w:val="20"/>
                <w:lang w:val="es-ES_tradnl"/>
              </w:rPr>
              <w:lastRenderedPageBreak/>
              <w:t>que en cualquier forma o a cualquier título, trabajen, presten servicios o ejerzan un cargo, función o dignidad dentro del sector público y ex servidores/as, que deben realizar su declaración de fin de gestión dentro de los veinte días siguientes al cese.</w:t>
            </w:r>
          </w:p>
          <w:p w:rsidR="0030615E" w:rsidRPr="0030615E" w:rsidRDefault="00A62F61" w:rsidP="00A62F61">
            <w:p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Los miembros de las Fuerzas Armadas, Policía Nacional, Unidad de Vigilancia Aduanera, Comisión de Tránsito del Ecuador y Policías Metropolitanos y Municipales harán una declaración patrimonial jurada electrónica adicional, previa la obtención de ascensos y al momento de su retiro.</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Artículo 3.- Ingreso al Sistema.- </w:t>
            </w:r>
            <w:r w:rsidRPr="00A62F61">
              <w:rPr>
                <w:rFonts w:ascii="Arial" w:hAnsi="Arial" w:cs="Arial"/>
                <w:color w:val="365F91" w:themeColor="accent1" w:themeShade="BF"/>
                <w:sz w:val="20"/>
                <w:szCs w:val="20"/>
                <w:lang w:val="es-ES_tradnl"/>
              </w:rPr>
              <w:t xml:space="preserve">Para formular la declaración patrimonial jurada electrónica de inicio de gestión, declaraciones periódicas y/o declaración de fin de la gestión, el declarante deberá ingresar a la página web de la Contraloría General del Estado </w:t>
            </w:r>
            <w:hyperlink r:id="rId8" w:history="1">
              <w:r w:rsidRPr="00A62F61">
                <w:rPr>
                  <w:rStyle w:val="Hipervnculo"/>
                  <w:rFonts w:ascii="Arial" w:hAnsi="Arial" w:cs="Arial"/>
                  <w:iCs/>
                  <w:color w:val="365F91" w:themeColor="accent1" w:themeShade="BF"/>
                  <w:sz w:val="20"/>
                  <w:szCs w:val="20"/>
                  <w:lang w:val="es-ES_tradnl"/>
                </w:rPr>
                <w:t>www.contraloria</w:t>
              </w:r>
            </w:hyperlink>
            <w:r w:rsidRPr="00A62F61">
              <w:rPr>
                <w:rFonts w:ascii="Arial" w:hAnsi="Arial" w:cs="Arial"/>
                <w:iCs/>
                <w:color w:val="365F91" w:themeColor="accent1" w:themeShade="BF"/>
                <w:sz w:val="20"/>
                <w:szCs w:val="20"/>
                <w:lang w:val="es-ES_tradnl"/>
              </w:rPr>
              <w:t xml:space="preserve">. gob.ec, </w:t>
            </w:r>
            <w:r w:rsidRPr="00A62F61">
              <w:rPr>
                <w:rFonts w:ascii="Arial" w:hAnsi="Arial" w:cs="Arial"/>
                <w:color w:val="365F91" w:themeColor="accent1" w:themeShade="BF"/>
                <w:sz w:val="20"/>
                <w:szCs w:val="20"/>
                <w:lang w:val="es-ES_tradnl"/>
              </w:rPr>
              <w:t>dentro del link “</w:t>
            </w:r>
            <w:r w:rsidRPr="00A62F61">
              <w:rPr>
                <w:rFonts w:ascii="Arial" w:hAnsi="Arial" w:cs="Arial"/>
                <w:iCs/>
                <w:color w:val="365F91" w:themeColor="accent1" w:themeShade="BF"/>
                <w:sz w:val="20"/>
                <w:szCs w:val="20"/>
                <w:lang w:val="es-ES_tradnl"/>
              </w:rPr>
              <w:t>Servicios en Línea”</w:t>
            </w:r>
            <w:r w:rsidRPr="00A62F61">
              <w:rPr>
                <w:rFonts w:ascii="Arial" w:hAnsi="Arial" w:cs="Arial"/>
                <w:color w:val="365F91" w:themeColor="accent1" w:themeShade="BF"/>
                <w:sz w:val="20"/>
                <w:szCs w:val="20"/>
                <w:lang w:val="es-ES_tradnl"/>
              </w:rPr>
              <w:t xml:space="preserve">, escoger el aplicativo </w:t>
            </w:r>
            <w:proofErr w:type="spellStart"/>
            <w:r w:rsidRPr="00A62F61">
              <w:rPr>
                <w:rFonts w:ascii="Arial" w:hAnsi="Arial" w:cs="Arial"/>
                <w:iCs/>
                <w:color w:val="365F91" w:themeColor="accent1" w:themeShade="BF"/>
                <w:sz w:val="20"/>
                <w:szCs w:val="20"/>
                <w:lang w:val="es-ES_tradnl"/>
              </w:rPr>
              <w:t>cgeDeclaracionPatrimonial</w:t>
            </w:r>
            <w:proofErr w:type="spellEnd"/>
            <w:r w:rsidRPr="00A62F61">
              <w:rPr>
                <w:rFonts w:ascii="Arial" w:hAnsi="Arial" w:cs="Arial"/>
                <w:color w:val="365F91" w:themeColor="accent1" w:themeShade="BF"/>
                <w:sz w:val="20"/>
                <w:szCs w:val="20"/>
                <w:lang w:val="es-ES_tradnl"/>
              </w:rPr>
              <w:t>, y cumplir con los procedimientos establecidos en el “</w:t>
            </w:r>
            <w:r w:rsidRPr="00A62F61">
              <w:rPr>
                <w:rFonts w:ascii="Arial" w:hAnsi="Arial" w:cs="Arial"/>
                <w:iCs/>
                <w:color w:val="365F91" w:themeColor="accent1" w:themeShade="BF"/>
                <w:sz w:val="20"/>
                <w:szCs w:val="20"/>
                <w:lang w:val="es-ES_tradnl"/>
              </w:rPr>
              <w:t>Instructivo de registro y uso de medios o servicios electrónicos que brinda la Contraloría General del Estado</w:t>
            </w:r>
            <w:r w:rsidRPr="00A62F61">
              <w:rPr>
                <w:rFonts w:ascii="Arial" w:hAnsi="Arial" w:cs="Arial"/>
                <w:color w:val="365F91" w:themeColor="accent1" w:themeShade="BF"/>
                <w:sz w:val="20"/>
                <w:szCs w:val="20"/>
                <w:lang w:val="es-ES_tradnl"/>
              </w:rPr>
              <w:t>”.</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Artículo 4.- Registro de la declaración patrimonial jurada electrónica. -</w:t>
            </w:r>
            <w:r w:rsidRPr="00A62F61">
              <w:rPr>
                <w:rFonts w:ascii="Arial" w:hAnsi="Arial" w:cs="Arial"/>
                <w:color w:val="365F91" w:themeColor="accent1" w:themeShade="BF"/>
                <w:sz w:val="20"/>
                <w:szCs w:val="20"/>
                <w:lang w:val="es-ES_tradnl"/>
              </w:rPr>
              <w:t xml:space="preserve">El declarante, deberá efectuar su declaración patrimonial jurada, en el formulario electrónico diseñado para el efecto </w:t>
            </w:r>
            <w:r w:rsidRPr="00A62F61">
              <w:rPr>
                <w:rFonts w:ascii="Arial" w:hAnsi="Arial" w:cs="Arial"/>
                <w:b/>
                <w:bCs/>
                <w:color w:val="365F91" w:themeColor="accent1" w:themeShade="BF"/>
                <w:sz w:val="20"/>
                <w:szCs w:val="20"/>
                <w:lang w:val="es-ES_tradnl"/>
              </w:rPr>
              <w:t>(Anexo 1)</w:t>
            </w:r>
            <w:r w:rsidRPr="00A62F61">
              <w:rPr>
                <w:rFonts w:ascii="Arial" w:hAnsi="Arial" w:cs="Arial"/>
                <w:color w:val="365F91" w:themeColor="accent1" w:themeShade="BF"/>
                <w:sz w:val="20"/>
                <w:szCs w:val="20"/>
                <w:lang w:val="es-ES_tradnl"/>
              </w:rPr>
              <w:t xml:space="preserve">; y, conforme al “instructivo” que tendrá acceso en el mismo sistema </w:t>
            </w:r>
            <w:r w:rsidRPr="00A62F61">
              <w:rPr>
                <w:rFonts w:ascii="Arial" w:hAnsi="Arial" w:cs="Arial"/>
                <w:b/>
                <w:bCs/>
                <w:color w:val="365F91" w:themeColor="accent1" w:themeShade="BF"/>
                <w:sz w:val="20"/>
                <w:szCs w:val="20"/>
                <w:lang w:val="es-ES_tradnl"/>
              </w:rPr>
              <w:t>(Anexo 3)</w:t>
            </w:r>
            <w:r w:rsidRPr="00A62F61">
              <w:rPr>
                <w:rFonts w:ascii="Arial" w:hAnsi="Arial" w:cs="Arial"/>
                <w:color w:val="365F91" w:themeColor="accent1" w:themeShade="BF"/>
                <w:sz w:val="20"/>
                <w:szCs w:val="20"/>
                <w:lang w:val="es-ES_tradnl"/>
              </w:rPr>
              <w:t>.</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En el evento de generar una nueva declaración, ya sea de inicio, periódica o de fin de gestión o por requerimiento del Contralor General del Estado, deberá seleccionar la opción “nueva” la que le permitirá ingresar a un nuevo formulario electrónico con los campos en blanco.</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El declarante podrá realizar las modificaciones que estime pertinentes a su declaración patrimonial jurada electrónica hasta antes de aceptar el contenido de “</w:t>
            </w:r>
            <w:r w:rsidRPr="00A62F61">
              <w:rPr>
                <w:rFonts w:ascii="Arial" w:hAnsi="Arial" w:cs="Arial"/>
                <w:iCs/>
                <w:color w:val="365F91" w:themeColor="accent1" w:themeShade="BF"/>
                <w:sz w:val="20"/>
                <w:szCs w:val="20"/>
                <w:lang w:val="es-ES_tradnl"/>
              </w:rPr>
              <w:t>observaciones y autorizaciones</w:t>
            </w:r>
            <w:r w:rsidRPr="00A62F61">
              <w:rPr>
                <w:rFonts w:ascii="Arial" w:hAnsi="Arial" w:cs="Arial"/>
                <w:color w:val="365F91" w:themeColor="accent1" w:themeShade="BF"/>
                <w:sz w:val="20"/>
                <w:szCs w:val="20"/>
                <w:lang w:val="es-ES_tradnl"/>
              </w:rPr>
              <w:t>, sin que ello signifique la realización de una nueva declaración”.</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Si el declarante comprobare que la información contenida en el formulario de la declaración patrimonial jurada electrónica estuviere incompleta o adoleciere de errores respecto de fechas u otros datos expresamente exigidos, podrá realizar una nueva declaración.</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El declarante se responsabiliza por toda la información registrada en el sistema de manera irregular y responderá con todos los efectos jurídicos que de ella se desprenda, por tratarse de un documento público otorgado electrónicamente, ante la autoridad pública competente, esto es, el Contralor General del Estado.</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El declarante tendrá acceso irrestricto e íntegro a su declaración, la cual obtendrá a través del sistema automatizado en línea “</w:t>
            </w:r>
            <w:proofErr w:type="spellStart"/>
            <w:r w:rsidRPr="00A62F61">
              <w:rPr>
                <w:rFonts w:ascii="Arial" w:hAnsi="Arial" w:cs="Arial"/>
                <w:iCs/>
                <w:color w:val="365F91" w:themeColor="accent1" w:themeShade="BF"/>
                <w:sz w:val="20"/>
                <w:szCs w:val="20"/>
                <w:lang w:val="es-ES_tradnl"/>
              </w:rPr>
              <w:t>cgeDeclaracionPatrimonial</w:t>
            </w:r>
            <w:proofErr w:type="spellEnd"/>
            <w:r w:rsidRPr="00A62F61">
              <w:rPr>
                <w:rFonts w:ascii="Arial" w:hAnsi="Arial" w:cs="Arial"/>
                <w:iCs/>
                <w:color w:val="365F91" w:themeColor="accent1" w:themeShade="BF"/>
                <w:sz w:val="20"/>
                <w:szCs w:val="20"/>
                <w:lang w:val="es-ES_tradnl"/>
              </w:rPr>
              <w:t xml:space="preserve">”, </w:t>
            </w:r>
            <w:r w:rsidRPr="00A62F61">
              <w:rPr>
                <w:rFonts w:ascii="Arial" w:hAnsi="Arial" w:cs="Arial"/>
                <w:color w:val="365F91" w:themeColor="accent1" w:themeShade="BF"/>
                <w:sz w:val="20"/>
                <w:szCs w:val="20"/>
                <w:lang w:val="es-ES_tradnl"/>
              </w:rPr>
              <w:t>desde la página web de la Contraloría General del Estado y de considerar necesario, podrá ser impresa, pero siempre bajo su total responsabilidad.</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El declarante de manera opcional y voluntaria podrá elevar esta declaración patrimonial jurada electrónica a escritura pública, la cual será para fines de carácter personal y no será objeto de registro alguno en la Contraloría General del Estado.</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Artículo 5.- Constancia de Otorgamiento de la Declaración Patrimonial Jurada Electrónica. - </w:t>
            </w:r>
            <w:r w:rsidRPr="00A62F61">
              <w:rPr>
                <w:rFonts w:ascii="Arial" w:hAnsi="Arial" w:cs="Arial"/>
                <w:color w:val="365F91" w:themeColor="accent1" w:themeShade="BF"/>
                <w:sz w:val="20"/>
                <w:szCs w:val="20"/>
                <w:lang w:val="es-ES_tradnl"/>
              </w:rPr>
              <w:t>Una vez que el declarante acepte el contenido de “observaciones y autorizaciones” en la declaración efectuada en línea, el sistema notificará automáticamente en el correo electrónico personal registrado para el efecto, la constancia de recepción de la declaración patrimonial jurada.</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 xml:space="preserve">El declarante deberá imprimir y firmar la” Constancia </w:t>
            </w:r>
            <w:r w:rsidRPr="00A62F61">
              <w:rPr>
                <w:rFonts w:ascii="Arial" w:hAnsi="Arial" w:cs="Arial"/>
                <w:iCs/>
                <w:color w:val="365F91" w:themeColor="accent1" w:themeShade="BF"/>
                <w:sz w:val="20"/>
                <w:szCs w:val="20"/>
                <w:lang w:val="es-ES_tradnl"/>
              </w:rPr>
              <w:t xml:space="preserve">de Otorgamiento de la Declaración Patrimonial Jurada Electrónica” </w:t>
            </w:r>
            <w:r w:rsidRPr="00A62F61">
              <w:rPr>
                <w:rFonts w:ascii="Arial" w:hAnsi="Arial" w:cs="Arial"/>
                <w:color w:val="365F91" w:themeColor="accent1" w:themeShade="BF"/>
                <w:sz w:val="20"/>
                <w:szCs w:val="20"/>
                <w:lang w:val="es-ES_tradnl"/>
              </w:rPr>
              <w:t xml:space="preserve">la misma que le servirá de presentación de la declaración, en las Unidades de </w:t>
            </w:r>
            <w:r w:rsidRPr="00A62F61">
              <w:rPr>
                <w:rFonts w:ascii="Arial" w:hAnsi="Arial" w:cs="Arial"/>
                <w:color w:val="365F91" w:themeColor="accent1" w:themeShade="BF"/>
                <w:sz w:val="20"/>
                <w:szCs w:val="20"/>
                <w:lang w:val="es-ES_tradnl"/>
              </w:rPr>
              <w:lastRenderedPageBreak/>
              <w:t xml:space="preserve">Administración del Talento Humano de las instituciones del sector público para verificación </w:t>
            </w:r>
            <w:r w:rsidRPr="00A62F61">
              <w:rPr>
                <w:rFonts w:ascii="Arial" w:hAnsi="Arial" w:cs="Arial"/>
                <w:b/>
                <w:bCs/>
                <w:color w:val="365F91" w:themeColor="accent1" w:themeShade="BF"/>
                <w:sz w:val="20"/>
                <w:szCs w:val="20"/>
                <w:lang w:val="es-ES_tradnl"/>
              </w:rPr>
              <w:t>(Anexo 2)</w:t>
            </w:r>
            <w:r w:rsidRPr="00A62F61">
              <w:rPr>
                <w:rFonts w:ascii="Arial" w:hAnsi="Arial" w:cs="Arial"/>
                <w:color w:val="365F91" w:themeColor="accent1" w:themeShade="BF"/>
                <w:sz w:val="20"/>
                <w:szCs w:val="20"/>
                <w:lang w:val="es-ES_tradnl"/>
              </w:rPr>
              <w:t>.</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El Secretario General, de conformidad con las atribuciones que le otorga el Estatuto Orgánico de Gestión Organizacional por Procesos Sustitutivo de la Contraloría General del Estado, certificará los actos generados respecto de la presentación de la Declaración Patrimonial Jurada Electrónica</w:t>
            </w:r>
            <w:r w:rsidRPr="00A62F61">
              <w:rPr>
                <w:rFonts w:ascii="Arial" w:hAnsi="Arial" w:cs="Arial"/>
                <w:b/>
                <w:bCs/>
                <w:color w:val="365F91" w:themeColor="accent1" w:themeShade="BF"/>
                <w:sz w:val="20"/>
                <w:szCs w:val="20"/>
                <w:lang w:val="es-ES_tradnl"/>
              </w:rPr>
              <w:t>.</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Artículo 6.- De las Unidades de Administración del Talento Humano de las instituciones del sector público. – </w:t>
            </w:r>
            <w:r w:rsidRPr="00A62F61">
              <w:rPr>
                <w:rFonts w:ascii="Arial" w:hAnsi="Arial" w:cs="Arial"/>
                <w:color w:val="365F91" w:themeColor="accent1" w:themeShade="BF"/>
                <w:sz w:val="20"/>
                <w:szCs w:val="20"/>
                <w:lang w:val="es-ES_tradnl"/>
              </w:rPr>
              <w:t>El titular de la Unidad de Administración del Talento Humano de las instituciones públicas o quien hiciera sus veces, designará al servidor/a responsable del aplicativo web diseñado para el efecto, para que verifique la presentación de las mismas por parte de los servidores/ as que inician o finalizan su gestión o si se trata de una declaración periódica.</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Para este fin, se solicitará un usuario y contraseña para acceder a los medios o servicios electrónicos que brinda la Contraloría General del Estado, a nivel nacional, para lo cual deberán cumplir con los procedimientos establecidos en el “</w:t>
            </w:r>
            <w:r w:rsidRPr="00A62F61">
              <w:rPr>
                <w:rFonts w:ascii="Arial" w:hAnsi="Arial" w:cs="Arial"/>
                <w:iCs/>
                <w:color w:val="365F91" w:themeColor="accent1" w:themeShade="BF"/>
                <w:sz w:val="20"/>
                <w:szCs w:val="20"/>
                <w:lang w:val="es-ES_tradnl"/>
              </w:rPr>
              <w:t>Instructivo de registro y uso de medios o servicios electrónicos que brinda la Contraloría General del Estado</w:t>
            </w:r>
            <w:r w:rsidRPr="00A62F61">
              <w:rPr>
                <w:rFonts w:ascii="Arial" w:hAnsi="Arial" w:cs="Arial"/>
                <w:color w:val="365F91" w:themeColor="accent1" w:themeShade="BF"/>
                <w:sz w:val="20"/>
                <w:szCs w:val="20"/>
                <w:lang w:val="es-ES_tradnl"/>
              </w:rPr>
              <w:t>”.</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Artículo 7.- De la información remitida por las Unidades de Administración del Talento Humano de las instituciones del sector público.- </w:t>
            </w:r>
            <w:r w:rsidRPr="00A62F61">
              <w:rPr>
                <w:rFonts w:ascii="Arial" w:hAnsi="Arial" w:cs="Arial"/>
                <w:color w:val="365F91" w:themeColor="accent1" w:themeShade="BF"/>
                <w:sz w:val="20"/>
                <w:szCs w:val="20"/>
                <w:lang w:val="es-ES_tradnl"/>
              </w:rPr>
              <w:t>Las Unidades de Administración del Talento Humano o quien hiciera sus veces, remitirán a la Contraloría General del Estado en los diez primeros días de cada mes, el detalle de los servidores/ as a quienes les correspondía efectuar las declaraciones periódicas, así como a los que se les otorgó nombramientos, contratos o cese de funciones celebrados el mes inmediato anterior.</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La información que la Unidad de Administración del Talento Humano de las instituciones del sector público deberá ingresar en el aplicativo web diseñado para el efecto; contendrá los siguientes parámetros:</w:t>
            </w:r>
          </w:p>
          <w:p w:rsidR="00A62F61" w:rsidRPr="00A62F61" w:rsidRDefault="00A62F61" w:rsidP="00A62F61">
            <w:pPr>
              <w:numPr>
                <w:ilvl w:val="0"/>
                <w:numId w:val="29"/>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Nombre de la Institución</w:t>
            </w:r>
          </w:p>
          <w:p w:rsidR="00A62F61" w:rsidRPr="00A62F61" w:rsidRDefault="00A62F61" w:rsidP="00A62F61">
            <w:pPr>
              <w:numPr>
                <w:ilvl w:val="0"/>
                <w:numId w:val="29"/>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Cédula de identidad o ciudadanía del servidor/a</w:t>
            </w:r>
          </w:p>
          <w:p w:rsidR="00A62F61" w:rsidRPr="00A62F61" w:rsidRDefault="00A62F61" w:rsidP="00A62F61">
            <w:pPr>
              <w:numPr>
                <w:ilvl w:val="0"/>
                <w:numId w:val="29"/>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Apellidos y Nombres completos</w:t>
            </w:r>
          </w:p>
          <w:p w:rsidR="00A62F61" w:rsidRPr="00A62F61" w:rsidRDefault="00A62F61" w:rsidP="00A62F61">
            <w:pPr>
              <w:numPr>
                <w:ilvl w:val="0"/>
                <w:numId w:val="29"/>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Tipo de Nombramiento (permanente, provisional, libre nombramiento y remoción y período fijo)</w:t>
            </w:r>
          </w:p>
          <w:p w:rsidR="00A62F61" w:rsidRPr="00A62F61" w:rsidRDefault="00A62F61" w:rsidP="00A62F61">
            <w:pPr>
              <w:numPr>
                <w:ilvl w:val="0"/>
                <w:numId w:val="29"/>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Tipo   de   Contrato (servicios   ocasionales,  contrato individual de trabajo a tiempo indefinido)</w:t>
            </w:r>
          </w:p>
          <w:p w:rsidR="00A62F61" w:rsidRPr="00A62F61" w:rsidRDefault="00A62F61" w:rsidP="00A62F61">
            <w:pPr>
              <w:numPr>
                <w:ilvl w:val="0"/>
                <w:numId w:val="29"/>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Tipo de Declaración o    Inicio de gestión o    Periódica</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o Fin de gestión (renuncia voluntaria formalmente presentada; incapacidad absoluta o permanente declarada judicialmente; supresión del puesto; pérdida de los derechos de ciudadanía declarada mediante sentencia ejecutoriada; remoción; destitución; revocatoria del mandato; por ingresar al sector público sin ganar el concurso de méritos y oposición; por acogerse a los planes de retiro voluntario con indemnización; por acogerse al retiro por jubilación; por compra de renuncias con indemnización; por muerte)</w:t>
            </w:r>
          </w:p>
          <w:p w:rsidR="00A62F61" w:rsidRPr="00A62F61" w:rsidRDefault="00A62F61" w:rsidP="00A62F61">
            <w:pPr>
              <w:numPr>
                <w:ilvl w:val="0"/>
                <w:numId w:val="29"/>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Cargo/función</w:t>
            </w:r>
          </w:p>
          <w:p w:rsidR="00A62F61" w:rsidRPr="00A62F61" w:rsidRDefault="00A62F61" w:rsidP="00A62F61">
            <w:pPr>
              <w:numPr>
                <w:ilvl w:val="0"/>
                <w:numId w:val="29"/>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Código de Barras de la Declaración</w:t>
            </w:r>
          </w:p>
          <w:p w:rsidR="00A62F61" w:rsidRPr="00A62F61" w:rsidRDefault="00A62F61" w:rsidP="00A62F61">
            <w:pPr>
              <w:jc w:val="both"/>
              <w:rPr>
                <w:rFonts w:ascii="Arial" w:hAnsi="Arial" w:cs="Arial"/>
                <w:color w:val="365F91" w:themeColor="accent1" w:themeShade="BF"/>
                <w:sz w:val="20"/>
                <w:szCs w:val="20"/>
                <w:lang w:val="es-ES"/>
              </w:rPr>
            </w:pPr>
            <w:r w:rsidRPr="00A62F61">
              <w:rPr>
                <w:rFonts w:ascii="Arial" w:hAnsi="Arial" w:cs="Arial"/>
                <w:color w:val="365F91" w:themeColor="accent1" w:themeShade="BF"/>
                <w:sz w:val="20"/>
                <w:szCs w:val="20"/>
                <w:lang w:val="es-ES_tradnl"/>
              </w:rPr>
              <w:t xml:space="preserve">Las Unidades de Administración del Talento Humano o quien hiciera sus veces, deberán velar por el </w:t>
            </w:r>
            <w:r w:rsidRPr="00A62F61">
              <w:rPr>
                <w:rFonts w:ascii="Arial" w:hAnsi="Arial" w:cs="Arial"/>
                <w:color w:val="365F91" w:themeColor="accent1" w:themeShade="BF"/>
                <w:sz w:val="20"/>
                <w:szCs w:val="20"/>
                <w:lang w:val="es-ES_tradnl"/>
              </w:rPr>
              <w:lastRenderedPageBreak/>
              <w:t>cumplimiento de esta disposición, de no hacerlo, será considerado como falta grave y sancionado en los términos que prevé la Ley Orgánica del Servicio Público.</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Artículo 8.- Del seguimiento de la información remitida por las Unidades de Administración del Talento Humano de las instituciones del sector público. – </w:t>
            </w:r>
            <w:r w:rsidRPr="00A62F61">
              <w:rPr>
                <w:rFonts w:ascii="Arial" w:hAnsi="Arial" w:cs="Arial"/>
                <w:color w:val="365F91" w:themeColor="accent1" w:themeShade="BF"/>
                <w:sz w:val="20"/>
                <w:szCs w:val="20"/>
                <w:lang w:val="es-ES_tradnl"/>
              </w:rPr>
              <w:t>La Dirección de Asuntos Éticos, Participación Ciudadana y Control Patrimonial de la Contraloría General del Estado, a través de la Gestión de Control Patrimonial, deberá realizar el seguimiento de la información remitida por las Unidades de Administración del Talento Humano de las instituciones del sector público, para fines de verificar la presentación, registro y acción de control de las declaraciones patrimoniales juradas electrónicas.</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Artículo 9.- Consultas en el sistema automatizado por parte de la Unidades de Administración del Talento Humano de las instituciones del sector público.- </w:t>
            </w:r>
            <w:r w:rsidRPr="00A62F61">
              <w:rPr>
                <w:rFonts w:ascii="Arial" w:hAnsi="Arial" w:cs="Arial"/>
                <w:color w:val="365F91" w:themeColor="accent1" w:themeShade="BF"/>
                <w:sz w:val="20"/>
                <w:szCs w:val="20"/>
                <w:lang w:val="es-ES_tradnl"/>
              </w:rPr>
              <w:t>El acceso de validación y consulta de los servidores autorizados de las entidades del sector público será a través de la opción “</w:t>
            </w:r>
            <w:r w:rsidRPr="00A62F61">
              <w:rPr>
                <w:rFonts w:ascii="Arial" w:hAnsi="Arial" w:cs="Arial"/>
                <w:iCs/>
                <w:color w:val="365F91" w:themeColor="accent1" w:themeShade="BF"/>
                <w:sz w:val="20"/>
                <w:szCs w:val="20"/>
                <w:lang w:val="es-ES_tradnl"/>
              </w:rPr>
              <w:t>Validación de la Declaración Jurada</w:t>
            </w:r>
            <w:r w:rsidRPr="00A62F61">
              <w:rPr>
                <w:rFonts w:ascii="Arial" w:hAnsi="Arial" w:cs="Arial"/>
                <w:color w:val="365F91" w:themeColor="accent1" w:themeShade="BF"/>
                <w:sz w:val="20"/>
                <w:szCs w:val="20"/>
                <w:lang w:val="es-ES_tradnl"/>
              </w:rPr>
              <w:t>”, dentro del link “</w:t>
            </w:r>
            <w:r w:rsidRPr="00A62F61">
              <w:rPr>
                <w:rFonts w:ascii="Arial" w:hAnsi="Arial" w:cs="Arial"/>
                <w:iCs/>
                <w:color w:val="365F91" w:themeColor="accent1" w:themeShade="BF"/>
                <w:sz w:val="20"/>
                <w:szCs w:val="20"/>
                <w:lang w:val="es-ES_tradnl"/>
              </w:rPr>
              <w:t>Servicios en L</w:t>
            </w:r>
            <w:r w:rsidRPr="00A62F61">
              <w:rPr>
                <w:rFonts w:ascii="Arial" w:hAnsi="Arial" w:cs="Arial"/>
                <w:color w:val="365F91" w:themeColor="accent1" w:themeShade="BF"/>
                <w:sz w:val="20"/>
                <w:szCs w:val="20"/>
                <w:lang w:val="es-ES_tradnl"/>
              </w:rPr>
              <w:t>ínea” de la página web de la Contraloría General del Estado, conforme el “</w:t>
            </w:r>
            <w:r w:rsidRPr="00A62F61">
              <w:rPr>
                <w:rFonts w:ascii="Arial" w:hAnsi="Arial" w:cs="Arial"/>
                <w:iCs/>
                <w:color w:val="365F91" w:themeColor="accent1" w:themeShade="BF"/>
                <w:sz w:val="20"/>
                <w:szCs w:val="20"/>
                <w:lang w:val="es-ES_tradnl"/>
              </w:rPr>
              <w:t>Instructivo de registro y uso de medios o servicios electrónicos que brinda la Contraloría General del Estado</w:t>
            </w:r>
            <w:r w:rsidRPr="00A62F61">
              <w:rPr>
                <w:rFonts w:ascii="Arial" w:hAnsi="Arial" w:cs="Arial"/>
                <w:color w:val="365F91" w:themeColor="accent1" w:themeShade="BF"/>
                <w:sz w:val="20"/>
                <w:szCs w:val="20"/>
                <w:lang w:val="es-ES_tradnl"/>
              </w:rPr>
              <w:t>”.</w:t>
            </w:r>
          </w:p>
          <w:p w:rsidR="00A62F61" w:rsidRPr="00A62F61" w:rsidRDefault="00A62F61" w:rsidP="00A62F61">
            <w:p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Las Unidades de Administración del Talento Humano tendrán quince días a partir de la fecha de emisión para validar el documento de “</w:t>
            </w:r>
            <w:r w:rsidRPr="00A62F61">
              <w:rPr>
                <w:rFonts w:ascii="Arial" w:hAnsi="Arial" w:cs="Arial"/>
                <w:iCs/>
                <w:color w:val="365F91" w:themeColor="accent1" w:themeShade="BF"/>
                <w:sz w:val="20"/>
                <w:szCs w:val="20"/>
                <w:lang w:val="es-ES_tradnl"/>
              </w:rPr>
              <w:t>Constancia de Otorgamiento de la Declaración Patrimonial Jurada Electrónica</w:t>
            </w:r>
            <w:r w:rsidRPr="00A62F61">
              <w:rPr>
                <w:rFonts w:ascii="Arial" w:hAnsi="Arial" w:cs="Arial"/>
                <w:color w:val="365F91" w:themeColor="accent1" w:themeShade="BF"/>
                <w:sz w:val="20"/>
                <w:szCs w:val="20"/>
                <w:lang w:val="es-ES_tradnl"/>
              </w:rPr>
              <w:t>”, emitido por este Organismo de Control.</w:t>
            </w:r>
          </w:p>
          <w:p w:rsidR="00A62F61" w:rsidRPr="00A62F61" w:rsidRDefault="00A62F61" w:rsidP="00A62F61">
            <w:pPr>
              <w:jc w:val="both"/>
              <w:rPr>
                <w:rFonts w:ascii="Arial" w:hAnsi="Arial" w:cs="Arial"/>
                <w:color w:val="365F91" w:themeColor="accent1" w:themeShade="BF"/>
                <w:sz w:val="20"/>
                <w:szCs w:val="20"/>
                <w:lang w:val="es-US"/>
              </w:rPr>
            </w:pPr>
          </w:p>
          <w:p w:rsidR="00A62F61" w:rsidRPr="00A62F61" w:rsidRDefault="00A62F61" w:rsidP="00A62F61">
            <w:pPr>
              <w:jc w:val="both"/>
              <w:rPr>
                <w:rFonts w:ascii="Arial" w:hAnsi="Arial" w:cs="Arial"/>
                <w:color w:val="365F91" w:themeColor="accent1" w:themeShade="BF"/>
                <w:sz w:val="20"/>
                <w:szCs w:val="20"/>
                <w:lang w:val="es-US"/>
              </w:rPr>
            </w:pPr>
            <w:hyperlink r:id="rId9" w:history="1">
              <w:r w:rsidRPr="00A62F61">
                <w:rPr>
                  <w:rStyle w:val="Hipervnculo"/>
                  <w:rFonts w:ascii="Arial" w:hAnsi="Arial" w:cs="Arial"/>
                  <w:color w:val="365F91" w:themeColor="accent1" w:themeShade="BF"/>
                  <w:sz w:val="20"/>
                  <w:szCs w:val="20"/>
                  <w:lang w:val="es-US"/>
                </w:rPr>
                <w:t>Ver Registro Oficial</w:t>
              </w:r>
            </w:hyperlink>
          </w:p>
          <w:p w:rsidR="00A62F61" w:rsidRPr="00A62F61" w:rsidRDefault="00A62F61" w:rsidP="00A62F61">
            <w:pPr>
              <w:jc w:val="both"/>
              <w:rPr>
                <w:rFonts w:ascii="Arial" w:hAnsi="Arial" w:cs="Arial"/>
                <w:color w:val="365F91" w:themeColor="accent1" w:themeShade="BF"/>
                <w:sz w:val="20"/>
                <w:szCs w:val="20"/>
                <w:lang w:val="es-ES_tradnl"/>
              </w:rPr>
            </w:pPr>
          </w:p>
        </w:tc>
      </w:tr>
    </w:tbl>
    <w:p w:rsidR="00A62F61" w:rsidRPr="00A62F61" w:rsidRDefault="00A62F61" w:rsidP="00A62F61">
      <w:pPr>
        <w:jc w:val="both"/>
        <w:rPr>
          <w:rFonts w:ascii="Arial" w:hAnsi="Arial" w:cs="Arial"/>
          <w:sz w:val="20"/>
          <w:szCs w:val="20"/>
          <w:lang w:val="es-US"/>
        </w:rPr>
      </w:pPr>
      <w:r w:rsidRPr="00A62F61">
        <w:rPr>
          <w:rFonts w:ascii="Arial" w:hAnsi="Arial" w:cs="Arial"/>
          <w:sz w:val="20"/>
          <w:szCs w:val="20"/>
        </w:rPr>
        <w:lastRenderedPageBreak/>
        <mc:AlternateContent>
          <mc:Choice Requires="wps">
            <w:drawing>
              <wp:anchor distT="0" distB="0" distL="114300" distR="114300" simplePos="0" relativeHeight="251661312" behindDoc="0" locked="0" layoutInCell="1" allowOverlap="1" wp14:anchorId="0E997768" wp14:editId="30867AF8">
                <wp:simplePos x="0" y="0"/>
                <wp:positionH relativeFrom="margin">
                  <wp:posOffset>-70485</wp:posOffset>
                </wp:positionH>
                <wp:positionV relativeFrom="paragraph">
                  <wp:posOffset>170815</wp:posOffset>
                </wp:positionV>
                <wp:extent cx="1698625" cy="266700"/>
                <wp:effectExtent l="0" t="0" r="15875" b="190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266700"/>
                        </a:xfrm>
                        <a:prstGeom prst="rect">
                          <a:avLst/>
                        </a:prstGeom>
                        <a:solidFill>
                          <a:srgbClr val="000080"/>
                        </a:solidFill>
                        <a:ln w="9525">
                          <a:solidFill>
                            <a:srgbClr val="000080"/>
                          </a:solidFill>
                          <a:miter lim="800000"/>
                          <a:headEnd/>
                          <a:tailEnd/>
                        </a:ln>
                      </wps:spPr>
                      <wps:txbx>
                        <w:txbxContent>
                          <w:p w:rsidR="00A62F61" w:rsidRPr="00567E83" w:rsidRDefault="00A62F61" w:rsidP="00A62F61">
                            <w:pPr>
                              <w:jc w:val="both"/>
                              <w:rPr>
                                <w:b/>
                                <w:color w:val="FFFFFF"/>
                              </w:rPr>
                            </w:pPr>
                            <w:r>
                              <w:rPr>
                                <w:b/>
                                <w:color w:val="FFFFFF"/>
                              </w:rPr>
                              <w:t>Jueves 22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 o:spid="_x0000_s1029" type="#_x0000_t202" style="position:absolute;left:0;text-align:left;margin-left:-5.55pt;margin-top:13.45pt;width:133.75pt;height:2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" fillcolor="navy" strokecolor="navy">
                <v:textbox>
                  <w:txbxContent>
                    <w:p w:rsidR="00A62F61" w:rsidRPr="00567E83" w:rsidRDefault="00A62F61" w:rsidP="00A62F61">
                      <w:pPr>
                        <w:jc w:val="both"/>
                        <w:rPr>
                          <w:b/>
                          <w:color w:val="FFFFFF"/>
                        </w:rPr>
                      </w:pPr>
                      <w:r>
                        <w:rPr>
                          <w:b/>
                          <w:color w:val="FFFFFF"/>
                        </w:rPr>
                        <w:t>Jueves 22 de diciembre</w:t>
                      </w:r>
                    </w:p>
                  </w:txbxContent>
                </v:textbox>
                <w10:wrap anchorx="margin"/>
              </v:shape>
            </w:pict>
          </mc:Fallback>
        </mc:AlternateContent>
      </w:r>
    </w:p>
    <w:p w:rsidR="00A62F61" w:rsidRPr="00A62F61" w:rsidRDefault="00A62F61" w:rsidP="00A62F61">
      <w:pPr>
        <w:jc w:val="both"/>
        <w:rPr>
          <w:rFonts w:ascii="Arial" w:hAnsi="Arial" w:cs="Arial"/>
          <w:sz w:val="20"/>
          <w:szCs w:val="20"/>
          <w:lang w:val="es-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62F61" w:rsidRPr="00A62F61" w:rsidTr="00A62F61">
        <w:trPr>
          <w:trHeight w:val="3685"/>
        </w:trPr>
        <w:tc>
          <w:tcPr>
            <w:tcW w:w="9257" w:type="dxa"/>
            <w:shd w:val="clear" w:color="auto" w:fill="DDFFFF"/>
          </w:tcPr>
          <w:p w:rsidR="00A62F61" w:rsidRDefault="00A62F61" w:rsidP="00A62F61">
            <w:pPr>
              <w:jc w:val="both"/>
              <w:rPr>
                <w:rFonts w:ascii="Arial" w:hAnsi="Arial" w:cs="Arial"/>
                <w:b/>
                <w:bCs/>
                <w:color w:val="365F91" w:themeColor="accent1" w:themeShade="BF"/>
                <w:sz w:val="20"/>
                <w:szCs w:val="20"/>
                <w:lang w:val="es-ES_tradnl"/>
              </w:rPr>
            </w:pPr>
            <w:r w:rsidRPr="00A62F61">
              <w:rPr>
                <w:rFonts w:ascii="Arial" w:hAnsi="Arial" w:cs="Arial"/>
                <w:b/>
                <w:bCs/>
                <w:color w:val="365F91" w:themeColor="accent1" w:themeShade="BF"/>
                <w:sz w:val="20"/>
                <w:szCs w:val="20"/>
                <w:lang w:val="es-ES_tradnl"/>
              </w:rPr>
              <w:t>PROCURADURÍA GENERAL DEL ESTADO</w:t>
            </w:r>
            <w:r w:rsidRPr="00A62F61">
              <w:rPr>
                <w:rFonts w:ascii="Arial" w:hAnsi="Arial" w:cs="Arial"/>
                <w:b/>
                <w:color w:val="365F91" w:themeColor="accent1" w:themeShade="BF"/>
                <w:sz w:val="20"/>
                <w:szCs w:val="20"/>
                <w:lang w:val="es-US"/>
              </w:rPr>
              <w:t xml:space="preserve"> </w:t>
            </w:r>
            <w:r w:rsidRPr="00A62F61">
              <w:rPr>
                <w:rFonts w:ascii="Arial" w:hAnsi="Arial" w:cs="Arial"/>
                <w:b/>
                <w:bCs/>
                <w:color w:val="365F91" w:themeColor="accent1" w:themeShade="BF"/>
                <w:sz w:val="20"/>
                <w:szCs w:val="20"/>
                <w:lang w:val="es-ES_tradnl"/>
              </w:rPr>
              <w:t>DIRECCIÓN NACIONAL DE ASESORÍA JURÍDICA</w:t>
            </w:r>
          </w:p>
          <w:p w:rsidR="0030615E" w:rsidRPr="00A62F61" w:rsidRDefault="0030615E" w:rsidP="00A62F61">
            <w:pPr>
              <w:jc w:val="both"/>
              <w:rPr>
                <w:rFonts w:ascii="Arial" w:hAnsi="Arial" w:cs="Arial"/>
                <w:b/>
                <w:color w:val="365F91" w:themeColor="accent1" w:themeShade="BF"/>
                <w:sz w:val="20"/>
                <w:szCs w:val="20"/>
                <w:lang w:val="es-US"/>
              </w:rPr>
            </w:pPr>
          </w:p>
          <w:p w:rsidR="00A62F61" w:rsidRPr="0030615E" w:rsidRDefault="00A62F61" w:rsidP="00A62F61">
            <w:pPr>
              <w:jc w:val="both"/>
              <w:rPr>
                <w:rFonts w:ascii="Arial" w:hAnsi="Arial" w:cs="Arial"/>
                <w:b/>
                <w:color w:val="365F91" w:themeColor="accent1" w:themeShade="BF"/>
                <w:sz w:val="20"/>
                <w:szCs w:val="20"/>
                <w:lang w:val="es-ES_tradnl"/>
              </w:rPr>
            </w:pPr>
            <w:r w:rsidRPr="00A62F61">
              <w:rPr>
                <w:rFonts w:ascii="Arial" w:hAnsi="Arial" w:cs="Arial"/>
                <w:b/>
                <w:bCs/>
                <w:color w:val="365F91" w:themeColor="accent1" w:themeShade="BF"/>
                <w:sz w:val="20"/>
                <w:szCs w:val="20"/>
                <w:lang w:val="es-ES_tradnl"/>
              </w:rPr>
              <w:t>INSTITUCIONAL</w:t>
            </w:r>
            <w:r w:rsidRPr="00A62F61">
              <w:rPr>
                <w:rFonts w:ascii="Arial" w:hAnsi="Arial" w:cs="Arial"/>
                <w:b/>
                <w:color w:val="365F91" w:themeColor="accent1" w:themeShade="BF"/>
                <w:sz w:val="20"/>
                <w:szCs w:val="20"/>
                <w:lang w:val="es-US"/>
              </w:rPr>
              <w:t xml:space="preserve"> </w:t>
            </w:r>
            <w:r w:rsidRPr="00A62F61">
              <w:rPr>
                <w:rFonts w:ascii="Arial" w:hAnsi="Arial" w:cs="Arial"/>
                <w:b/>
                <w:bCs/>
                <w:color w:val="365F91" w:themeColor="accent1" w:themeShade="BF"/>
                <w:sz w:val="20"/>
                <w:szCs w:val="20"/>
                <w:lang w:val="es-ES_tradnl"/>
              </w:rPr>
              <w:t>EXTRACTO DE CONSULTA</w:t>
            </w:r>
            <w:r w:rsidRPr="00A62F61">
              <w:rPr>
                <w:rFonts w:ascii="Arial" w:hAnsi="Arial" w:cs="Arial"/>
                <w:b/>
                <w:color w:val="365F91" w:themeColor="accent1" w:themeShade="BF"/>
                <w:sz w:val="20"/>
                <w:szCs w:val="20"/>
                <w:lang w:val="es-US"/>
              </w:rPr>
              <w:t xml:space="preserve"> </w:t>
            </w:r>
            <w:r w:rsidRPr="00A62F61">
              <w:rPr>
                <w:rFonts w:ascii="Arial" w:hAnsi="Arial" w:cs="Arial"/>
                <w:b/>
                <w:bCs/>
                <w:color w:val="365F91" w:themeColor="accent1" w:themeShade="BF"/>
                <w:sz w:val="20"/>
                <w:szCs w:val="20"/>
                <w:lang w:val="es-ES_tradnl"/>
              </w:rPr>
              <w:t>AGOSTO 2016</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color w:val="365F91" w:themeColor="accent1" w:themeShade="BF"/>
                <w:sz w:val="20"/>
                <w:szCs w:val="20"/>
                <w:lang w:val="es-US"/>
              </w:rPr>
              <w:t xml:space="preserve">Expedido por: </w:t>
            </w:r>
            <w:r w:rsidRPr="00A62F61">
              <w:rPr>
                <w:rFonts w:ascii="Arial" w:hAnsi="Arial" w:cs="Arial"/>
                <w:color w:val="365F91" w:themeColor="accent1" w:themeShade="BF"/>
                <w:sz w:val="20"/>
                <w:szCs w:val="20"/>
                <w:lang w:val="es-US"/>
              </w:rPr>
              <w:t>Oficio</w:t>
            </w:r>
            <w:r w:rsidRPr="00A62F61">
              <w:rPr>
                <w:rFonts w:ascii="Arial" w:hAnsi="Arial" w:cs="Arial"/>
                <w:b/>
                <w:bCs/>
                <w:color w:val="365F91" w:themeColor="accent1" w:themeShade="BF"/>
                <w:sz w:val="20"/>
                <w:szCs w:val="20"/>
                <w:lang w:val="es-ES_tradnl"/>
              </w:rPr>
              <w:t xml:space="preserve"> PGE. </w:t>
            </w:r>
            <w:r w:rsidRPr="00A62F61">
              <w:rPr>
                <w:rFonts w:ascii="Arial" w:hAnsi="Arial" w:cs="Arial"/>
                <w:color w:val="365F91" w:themeColor="accent1" w:themeShade="BF"/>
                <w:sz w:val="20"/>
                <w:szCs w:val="20"/>
                <w:lang w:val="es-ES_tradnl"/>
              </w:rPr>
              <w:t>N°: 07269 de 2-08-2016</w:t>
            </w:r>
            <w:r w:rsidRPr="00A62F61">
              <w:rPr>
                <w:rFonts w:ascii="Arial" w:hAnsi="Arial" w:cs="Arial"/>
                <w:color w:val="365F91" w:themeColor="accent1" w:themeShade="BF"/>
                <w:sz w:val="20"/>
                <w:szCs w:val="20"/>
                <w:lang w:val="es-US"/>
              </w:rPr>
              <w:t xml:space="preserve"> publicado en el Registro Oficial No. 908 de 22 de diciembre de 2016  </w:t>
            </w:r>
          </w:p>
          <w:p w:rsidR="00A62F61" w:rsidRPr="00A62F61" w:rsidRDefault="00A62F61" w:rsidP="00A62F61">
            <w:pPr>
              <w:jc w:val="both"/>
              <w:rPr>
                <w:rFonts w:ascii="Arial" w:hAnsi="Arial" w:cs="Arial"/>
                <w:b/>
                <w:color w:val="365F91" w:themeColor="accent1" w:themeShade="BF"/>
                <w:sz w:val="20"/>
                <w:szCs w:val="20"/>
                <w:lang w:val="es-US"/>
              </w:rPr>
            </w:pP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color w:val="365F91" w:themeColor="accent1" w:themeShade="BF"/>
                <w:sz w:val="20"/>
                <w:szCs w:val="20"/>
                <w:lang w:val="es-US"/>
              </w:rPr>
              <w:t>Novedad:</w:t>
            </w:r>
            <w:r w:rsidRPr="00A62F61">
              <w:rPr>
                <w:rFonts w:ascii="Arial" w:hAnsi="Arial" w:cs="Arial"/>
                <w:color w:val="365F91" w:themeColor="accent1" w:themeShade="BF"/>
                <w:sz w:val="20"/>
                <w:szCs w:val="20"/>
                <w:lang w:val="es-US"/>
              </w:rPr>
              <w:t xml:space="preserve"> Nuevo</w:t>
            </w:r>
          </w:p>
          <w:p w:rsidR="00A62F61" w:rsidRPr="00A62F61" w:rsidRDefault="00A62F61" w:rsidP="00A62F61">
            <w:pPr>
              <w:jc w:val="both"/>
              <w:rPr>
                <w:rFonts w:ascii="Arial" w:hAnsi="Arial" w:cs="Arial"/>
                <w:color w:val="365F91" w:themeColor="accent1" w:themeShade="BF"/>
                <w:sz w:val="20"/>
                <w:szCs w:val="20"/>
                <w:lang w:val="es-US"/>
              </w:rPr>
            </w:pPr>
          </w:p>
          <w:p w:rsidR="00A62F61" w:rsidRPr="00A62F61" w:rsidRDefault="00A62F61" w:rsidP="00A62F61">
            <w:pPr>
              <w:jc w:val="both"/>
              <w:rPr>
                <w:rFonts w:ascii="Arial" w:hAnsi="Arial" w:cs="Arial"/>
                <w:color w:val="365F91" w:themeColor="accent1" w:themeShade="BF"/>
                <w:sz w:val="20"/>
                <w:szCs w:val="20"/>
                <w:lang w:val="es-US"/>
              </w:rPr>
            </w:pPr>
            <w:hyperlink r:id="rId10" w:history="1">
              <w:r w:rsidRPr="00A62F61">
                <w:rPr>
                  <w:rStyle w:val="Hipervnculo"/>
                  <w:rFonts w:ascii="Arial" w:hAnsi="Arial" w:cs="Arial"/>
                  <w:color w:val="365F91" w:themeColor="accent1" w:themeShade="BF"/>
                  <w:sz w:val="20"/>
                  <w:szCs w:val="20"/>
                  <w:lang w:val="es-US"/>
                </w:rPr>
                <w:t>Ver Vigencia</w:t>
              </w:r>
            </w:hyperlink>
          </w:p>
          <w:p w:rsidR="00A62F61" w:rsidRPr="00A62F61" w:rsidRDefault="00A62F61" w:rsidP="00A62F61">
            <w:pPr>
              <w:jc w:val="both"/>
              <w:rPr>
                <w:rFonts w:ascii="Arial" w:hAnsi="Arial" w:cs="Arial"/>
                <w:color w:val="365F91" w:themeColor="accent1" w:themeShade="BF"/>
                <w:sz w:val="20"/>
                <w:szCs w:val="20"/>
                <w:lang w:val="es-US"/>
              </w:rPr>
            </w:pP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CONSULTANTE: </w:t>
            </w:r>
            <w:r w:rsidRPr="00A62F61">
              <w:rPr>
                <w:rFonts w:ascii="Arial" w:hAnsi="Arial" w:cs="Arial"/>
                <w:color w:val="365F91" w:themeColor="accent1" w:themeShade="BF"/>
                <w:sz w:val="20"/>
                <w:szCs w:val="20"/>
                <w:lang w:val="es-ES_tradnl"/>
              </w:rPr>
              <w:t>CONSEJO NACIONAL DE GOBIER</w:t>
            </w:r>
            <w:r w:rsidRPr="00A62F61">
              <w:rPr>
                <w:rFonts w:ascii="Arial" w:hAnsi="Arial" w:cs="Arial"/>
                <w:color w:val="365F91" w:themeColor="accent1" w:themeShade="BF"/>
                <w:sz w:val="20"/>
                <w:szCs w:val="20"/>
                <w:lang w:val="es-ES_tradnl"/>
              </w:rPr>
              <w:softHyphen/>
              <w:t>NOS PARROQUIALES DEL ECUADOR, CONAGOPARE</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lastRenderedPageBreak/>
              <w:t>CONSULTAS:</w:t>
            </w:r>
          </w:p>
          <w:p w:rsidR="00A62F61" w:rsidRPr="00A62F61" w:rsidRDefault="00A62F61" w:rsidP="00A62F61">
            <w:pPr>
              <w:numPr>
                <w:ilvl w:val="0"/>
                <w:numId w:val="30"/>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"Se nos inteligencia de manera clara y concreta, sobre el alcance de la figura de excepción a la prohibición de pluriempleo para los Vocales y Ejecutivos de los Gobiernos Parroquiales Rurales contenida tanto en la LOSEP como en el COOTAD, incluyendo el derecho a percibir las remuneraciones por tal excepción; o, determinar si existe alguna limitación en la ley".</w:t>
            </w:r>
          </w:p>
          <w:p w:rsidR="0030615E" w:rsidRDefault="00A62F61" w:rsidP="00A62F61">
            <w:pPr>
              <w:numPr>
                <w:ilvl w:val="0"/>
                <w:numId w:val="30"/>
              </w:num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 xml:space="preserve">"El CONAGOPARE, en su Instancia Nacional y sus Instancias Organizativas Territoriales Provinciales (Asociaciones Parroquiales) que de acuerdo con lo dispuesto en el artículo 313 del COOTAD, aprobaron su Estatuto unificado en sesión de los Presidentes Provinciales y fue publicado </w:t>
            </w:r>
          </w:p>
          <w:p w:rsidR="0030615E" w:rsidRDefault="0030615E" w:rsidP="0030615E">
            <w:pPr>
              <w:jc w:val="both"/>
              <w:rPr>
                <w:rFonts w:ascii="Arial" w:hAnsi="Arial" w:cs="Arial"/>
                <w:color w:val="365F91" w:themeColor="accent1" w:themeShade="BF"/>
                <w:sz w:val="20"/>
                <w:szCs w:val="20"/>
                <w:lang w:val="es-ES_tradnl"/>
              </w:rPr>
            </w:pPr>
          </w:p>
          <w:p w:rsidR="00A62F61" w:rsidRPr="00A62F61" w:rsidRDefault="00A62F61" w:rsidP="0030615E">
            <w:pPr>
              <w:jc w:val="both"/>
              <w:rPr>
                <w:rFonts w:ascii="Arial" w:hAnsi="Arial" w:cs="Arial"/>
                <w:color w:val="365F91" w:themeColor="accent1" w:themeShade="BF"/>
                <w:sz w:val="20"/>
                <w:szCs w:val="20"/>
                <w:lang w:val="es-ES_tradnl"/>
              </w:rPr>
            </w:pPr>
            <w:proofErr w:type="gramStart"/>
            <w:r w:rsidRPr="00A62F61">
              <w:rPr>
                <w:rFonts w:ascii="Arial" w:hAnsi="Arial" w:cs="Arial"/>
                <w:color w:val="365F91" w:themeColor="accent1" w:themeShade="BF"/>
                <w:sz w:val="20"/>
                <w:szCs w:val="20"/>
                <w:lang w:val="es-ES_tradnl"/>
              </w:rPr>
              <w:t>en</w:t>
            </w:r>
            <w:proofErr w:type="gramEnd"/>
            <w:r w:rsidRPr="00A62F61">
              <w:rPr>
                <w:rFonts w:ascii="Arial" w:hAnsi="Arial" w:cs="Arial"/>
                <w:color w:val="365F91" w:themeColor="accent1" w:themeShade="BF"/>
                <w:sz w:val="20"/>
                <w:szCs w:val="20"/>
                <w:lang w:val="es-ES_tradnl"/>
              </w:rPr>
              <w:t xml:space="preserve"> el Registro Oficial; tienen obligación de someter su Estatuto, a la aprobación posterior de algún Ministerio o Secretaría de Estado, cual si fuera de derecho privado".  </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PRONUNCIAMIENTOS:</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1. De conformidad a lo determinado en los artículos 211 y 212 de la Constitución de la República y los artículos 19 y 31 numerales 1 y 34 de la Ley Orgánica de la Contraloría General del Estado, corresponde a esa institución efectuar el control de la utilización de los recursos estatales y la auditoría de las entidades del sector público a través de exámenes especiales, pudiendo establecer recomendaciones las cuales, de conformidad con el artículo 92 de la citada Ley Orgánica, tienen el carácter de cumplimiento obligatorio para las instituciones auditadas.</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De la lectura de los términos de su primera pregunta, se evidencia que la misma no está dirigida a la inteligencia o aplicación de una norma, según el ámbito de mis competencias previstas en el numeral 3 del artículo 237 de la Constitución de la República y los artículos 3 letra e) y 13 de la Ley Orgánica de la Procuraduría General del Estado, razón por la cual y con fundamento en la norma jurídica citada me abstengo de atender su requerimiento.</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Sin perjuicio de lo expuesto en el párrafo precedente, mediante oficios Nos. 02149 y 03772 de 8 de junio y 19 de septiembre de 2011, esta Procuraduría se ha pronunciado sobre la excepción a la prohibición de pluriempleo aplicable a los vocales de las Juntas Parroquiales Rurales, contenidas en los artículos 12 de</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US"/>
              </w:rPr>
              <w:br w:type="column"/>
            </w:r>
            <w:proofErr w:type="gramStart"/>
            <w:r w:rsidRPr="00A62F61">
              <w:rPr>
                <w:rFonts w:ascii="Arial" w:hAnsi="Arial" w:cs="Arial"/>
                <w:color w:val="365F91" w:themeColor="accent1" w:themeShade="BF"/>
                <w:sz w:val="20"/>
                <w:szCs w:val="20"/>
                <w:lang w:val="es-ES_tradnl"/>
              </w:rPr>
              <w:t>la</w:t>
            </w:r>
            <w:proofErr w:type="gramEnd"/>
            <w:r w:rsidRPr="00A62F61">
              <w:rPr>
                <w:rFonts w:ascii="Arial" w:hAnsi="Arial" w:cs="Arial"/>
                <w:color w:val="365F91" w:themeColor="accent1" w:themeShade="BF"/>
                <w:sz w:val="20"/>
                <w:szCs w:val="20"/>
                <w:lang w:val="es-ES_tradnl"/>
              </w:rPr>
              <w:t xml:space="preserve"> Ley Orgánica del Servicio Público y 329 del Código Orgánico de Organización Territorial, Autonomía y Descentralización.</w:t>
            </w:r>
          </w:p>
          <w:p w:rsidR="00A62F61" w:rsidRPr="00A62F61" w:rsidRDefault="00A62F61" w:rsidP="00A62F61">
            <w:p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Esta copia es igual al documento que reposa en el Archivo de la Dirección Respectiva, de esta Procuraduría y al cual me remito en caso necesario. Lo certifico. - f.) Dra. Lina Rosa Silva, Secretaria 'General. - Procuraduría General del Estado. - Fecha 9 de noviembre de 2016.</w:t>
            </w:r>
          </w:p>
          <w:p w:rsidR="00A62F61" w:rsidRDefault="00A62F61" w:rsidP="00A62F61">
            <w:pPr>
              <w:jc w:val="both"/>
              <w:rPr>
                <w:rFonts w:ascii="Arial" w:hAnsi="Arial" w:cs="Arial"/>
                <w:color w:val="365F91" w:themeColor="accent1" w:themeShade="BF"/>
                <w:sz w:val="20"/>
                <w:szCs w:val="20"/>
                <w:lang w:val="es-ES_tradnl"/>
              </w:rPr>
            </w:pPr>
          </w:p>
          <w:p w:rsidR="00A83A18" w:rsidRDefault="00A83A18" w:rsidP="00A62F61">
            <w:pPr>
              <w:jc w:val="both"/>
              <w:rPr>
                <w:rFonts w:ascii="Arial" w:hAnsi="Arial" w:cs="Arial"/>
                <w:color w:val="365F91" w:themeColor="accent1" w:themeShade="BF"/>
                <w:sz w:val="20"/>
                <w:szCs w:val="20"/>
                <w:lang w:val="es-ES_tradnl"/>
              </w:rPr>
            </w:pPr>
          </w:p>
          <w:p w:rsidR="00A83A18" w:rsidRDefault="00A83A18" w:rsidP="00A62F61">
            <w:pPr>
              <w:jc w:val="both"/>
              <w:rPr>
                <w:rFonts w:ascii="Arial" w:hAnsi="Arial" w:cs="Arial"/>
                <w:color w:val="365F91" w:themeColor="accent1" w:themeShade="BF"/>
                <w:sz w:val="20"/>
                <w:szCs w:val="20"/>
                <w:lang w:val="es-ES_tradnl"/>
              </w:rPr>
            </w:pPr>
          </w:p>
          <w:p w:rsidR="00A83A18" w:rsidRDefault="00A83A18" w:rsidP="00A62F61">
            <w:pPr>
              <w:jc w:val="both"/>
              <w:rPr>
                <w:rFonts w:ascii="Arial" w:hAnsi="Arial" w:cs="Arial"/>
                <w:color w:val="365F91" w:themeColor="accent1" w:themeShade="BF"/>
                <w:sz w:val="20"/>
                <w:szCs w:val="20"/>
                <w:lang w:val="es-ES_tradnl"/>
              </w:rPr>
            </w:pPr>
          </w:p>
          <w:p w:rsidR="00A83A18" w:rsidRDefault="00A83A18" w:rsidP="00A62F61">
            <w:pPr>
              <w:jc w:val="both"/>
              <w:rPr>
                <w:rFonts w:ascii="Arial" w:hAnsi="Arial" w:cs="Arial"/>
                <w:color w:val="365F91" w:themeColor="accent1" w:themeShade="BF"/>
                <w:sz w:val="20"/>
                <w:szCs w:val="20"/>
                <w:lang w:val="es-ES_tradnl"/>
              </w:rPr>
            </w:pPr>
          </w:p>
          <w:p w:rsidR="00A83A18" w:rsidRPr="00A62F61" w:rsidRDefault="00A83A18" w:rsidP="00A62F61">
            <w:pPr>
              <w:jc w:val="both"/>
              <w:rPr>
                <w:rFonts w:ascii="Arial" w:hAnsi="Arial" w:cs="Arial"/>
                <w:color w:val="365F91" w:themeColor="accent1" w:themeShade="BF"/>
                <w:sz w:val="20"/>
                <w:szCs w:val="20"/>
                <w:lang w:val="es-ES_tradnl"/>
              </w:rPr>
            </w:pPr>
          </w:p>
          <w:p w:rsidR="00A62F61" w:rsidRPr="00A62F61" w:rsidRDefault="00A62F61" w:rsidP="00A62F61">
            <w:pPr>
              <w:jc w:val="both"/>
              <w:rPr>
                <w:rFonts w:ascii="Arial" w:hAnsi="Arial" w:cs="Arial"/>
                <w:b/>
                <w:color w:val="365F91" w:themeColor="accent1" w:themeShade="BF"/>
                <w:sz w:val="20"/>
                <w:szCs w:val="20"/>
                <w:lang w:val="es-US"/>
              </w:rPr>
            </w:pPr>
            <w:r w:rsidRPr="00A62F61">
              <w:rPr>
                <w:rFonts w:ascii="Arial" w:hAnsi="Arial" w:cs="Arial"/>
                <w:b/>
                <w:bCs/>
                <w:color w:val="365F91" w:themeColor="accent1" w:themeShade="BF"/>
                <w:sz w:val="20"/>
                <w:szCs w:val="20"/>
                <w:lang w:val="es-ES_tradnl"/>
              </w:rPr>
              <w:t>PROCURADURÍA GENERAL DEL ESTADO</w:t>
            </w:r>
            <w:r w:rsidRPr="00A62F61">
              <w:rPr>
                <w:rFonts w:ascii="Arial" w:hAnsi="Arial" w:cs="Arial"/>
                <w:b/>
                <w:color w:val="365F91" w:themeColor="accent1" w:themeShade="BF"/>
                <w:sz w:val="20"/>
                <w:szCs w:val="20"/>
                <w:lang w:val="es-US"/>
              </w:rPr>
              <w:t xml:space="preserve"> </w:t>
            </w:r>
            <w:r w:rsidRPr="00A62F61">
              <w:rPr>
                <w:rFonts w:ascii="Arial" w:hAnsi="Arial" w:cs="Arial"/>
                <w:b/>
                <w:bCs/>
                <w:color w:val="365F91" w:themeColor="accent1" w:themeShade="BF"/>
                <w:sz w:val="20"/>
                <w:szCs w:val="20"/>
                <w:lang w:val="es-ES_tradnl"/>
              </w:rPr>
              <w:t>DIRECCIÓN NACIONAL DE ASESORÍA JURÍDICA</w:t>
            </w:r>
          </w:p>
          <w:p w:rsidR="0030615E" w:rsidRPr="0030615E" w:rsidRDefault="00A62F61" w:rsidP="00A62F61">
            <w:pPr>
              <w:jc w:val="both"/>
              <w:rPr>
                <w:rFonts w:ascii="Arial" w:hAnsi="Arial" w:cs="Arial"/>
                <w:b/>
                <w:color w:val="365F91" w:themeColor="accent1" w:themeShade="BF"/>
                <w:sz w:val="20"/>
                <w:szCs w:val="20"/>
                <w:lang w:val="es-ES_tradnl"/>
              </w:rPr>
            </w:pPr>
            <w:r w:rsidRPr="00A62F61">
              <w:rPr>
                <w:rFonts w:ascii="Arial" w:hAnsi="Arial" w:cs="Arial"/>
                <w:b/>
                <w:bCs/>
                <w:color w:val="365F91" w:themeColor="accent1" w:themeShade="BF"/>
                <w:sz w:val="20"/>
                <w:szCs w:val="20"/>
                <w:lang w:val="es-ES_tradnl"/>
              </w:rPr>
              <w:t>INSTITUCIONAL</w:t>
            </w:r>
            <w:r w:rsidRPr="00A62F61">
              <w:rPr>
                <w:rFonts w:ascii="Arial" w:hAnsi="Arial" w:cs="Arial"/>
                <w:b/>
                <w:color w:val="365F91" w:themeColor="accent1" w:themeShade="BF"/>
                <w:sz w:val="20"/>
                <w:szCs w:val="20"/>
                <w:lang w:val="es-US"/>
              </w:rPr>
              <w:t xml:space="preserve"> </w:t>
            </w:r>
            <w:r w:rsidRPr="00A62F61">
              <w:rPr>
                <w:rFonts w:ascii="Arial" w:hAnsi="Arial" w:cs="Arial"/>
                <w:b/>
                <w:bCs/>
                <w:color w:val="365F91" w:themeColor="accent1" w:themeShade="BF"/>
                <w:sz w:val="20"/>
                <w:szCs w:val="20"/>
                <w:lang w:val="es-ES_tradnl"/>
              </w:rPr>
              <w:t>EXTRACTO DE CONSULTA</w:t>
            </w:r>
            <w:r w:rsidRPr="00A62F61">
              <w:rPr>
                <w:rFonts w:ascii="Arial" w:hAnsi="Arial" w:cs="Arial"/>
                <w:b/>
                <w:color w:val="365F91" w:themeColor="accent1" w:themeShade="BF"/>
                <w:sz w:val="20"/>
                <w:szCs w:val="20"/>
                <w:lang w:val="es-US"/>
              </w:rPr>
              <w:t xml:space="preserve"> </w:t>
            </w:r>
            <w:r w:rsidRPr="00A62F61">
              <w:rPr>
                <w:rFonts w:ascii="Arial" w:hAnsi="Arial" w:cs="Arial"/>
                <w:b/>
                <w:bCs/>
                <w:color w:val="365F91" w:themeColor="accent1" w:themeShade="BF"/>
                <w:sz w:val="20"/>
                <w:szCs w:val="20"/>
                <w:lang w:val="es-ES_tradnl"/>
              </w:rPr>
              <w:t>SEPTIEMBRE 2016</w:t>
            </w:r>
          </w:p>
          <w:p w:rsidR="00A62F61" w:rsidRPr="00A62F61" w:rsidRDefault="00A62F61" w:rsidP="00A62F61">
            <w:pPr>
              <w:jc w:val="both"/>
              <w:rPr>
                <w:rFonts w:ascii="Arial" w:hAnsi="Arial" w:cs="Arial"/>
                <w:b/>
                <w:color w:val="365F91" w:themeColor="accent1" w:themeShade="BF"/>
                <w:sz w:val="20"/>
                <w:szCs w:val="20"/>
                <w:lang w:val="es-ES_tradnl"/>
              </w:rPr>
            </w:pPr>
            <w:r w:rsidRPr="00A62F61">
              <w:rPr>
                <w:rFonts w:ascii="Arial" w:hAnsi="Arial" w:cs="Arial"/>
                <w:b/>
                <w:color w:val="365F91" w:themeColor="accent1" w:themeShade="BF"/>
                <w:sz w:val="20"/>
                <w:szCs w:val="20"/>
                <w:lang w:val="es-ES_tradnl"/>
              </w:rPr>
              <w:t xml:space="preserve">  </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color w:val="365F91" w:themeColor="accent1" w:themeShade="BF"/>
                <w:sz w:val="20"/>
                <w:szCs w:val="20"/>
                <w:lang w:val="es-US"/>
              </w:rPr>
              <w:t xml:space="preserve">Expedido por: </w:t>
            </w:r>
            <w:r w:rsidRPr="00A62F61">
              <w:rPr>
                <w:rFonts w:ascii="Arial" w:hAnsi="Arial" w:cs="Arial"/>
                <w:color w:val="365F91" w:themeColor="accent1" w:themeShade="BF"/>
                <w:sz w:val="20"/>
                <w:szCs w:val="20"/>
                <w:lang w:val="es-US"/>
              </w:rPr>
              <w:t>Oficio</w:t>
            </w:r>
            <w:r w:rsidRPr="00A62F61">
              <w:rPr>
                <w:rFonts w:ascii="Arial" w:hAnsi="Arial" w:cs="Arial"/>
                <w:b/>
                <w:bCs/>
                <w:color w:val="365F91" w:themeColor="accent1" w:themeShade="BF"/>
                <w:sz w:val="20"/>
                <w:szCs w:val="20"/>
                <w:lang w:val="es-ES_tradnl"/>
              </w:rPr>
              <w:t xml:space="preserve"> PGE. </w:t>
            </w:r>
            <w:r w:rsidRPr="00A62F61">
              <w:rPr>
                <w:rFonts w:ascii="Arial" w:hAnsi="Arial" w:cs="Arial"/>
                <w:color w:val="365F91" w:themeColor="accent1" w:themeShade="BF"/>
                <w:sz w:val="20"/>
                <w:szCs w:val="20"/>
                <w:lang w:val="es-ES_tradnl"/>
              </w:rPr>
              <w:t>N°: 07788 de 21-09-2016,</w:t>
            </w:r>
            <w:r w:rsidRPr="00A62F61">
              <w:rPr>
                <w:rFonts w:ascii="Arial" w:hAnsi="Arial" w:cs="Arial"/>
                <w:color w:val="365F91" w:themeColor="accent1" w:themeShade="BF"/>
                <w:sz w:val="20"/>
                <w:szCs w:val="20"/>
                <w:lang w:val="es-US"/>
              </w:rPr>
              <w:t xml:space="preserve"> publicado en el Registro Oficial No. 908 de 22 de diciembre de 2016  </w:t>
            </w:r>
          </w:p>
          <w:p w:rsidR="00A62F61" w:rsidRPr="00A62F61" w:rsidRDefault="00A62F61" w:rsidP="00A62F61">
            <w:pPr>
              <w:jc w:val="both"/>
              <w:rPr>
                <w:rFonts w:ascii="Arial" w:hAnsi="Arial" w:cs="Arial"/>
                <w:b/>
                <w:color w:val="365F91" w:themeColor="accent1" w:themeShade="BF"/>
                <w:sz w:val="20"/>
                <w:szCs w:val="20"/>
                <w:lang w:val="es-US"/>
              </w:rPr>
            </w:pP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color w:val="365F91" w:themeColor="accent1" w:themeShade="BF"/>
                <w:sz w:val="20"/>
                <w:szCs w:val="20"/>
                <w:lang w:val="es-US"/>
              </w:rPr>
              <w:t>Novedad:</w:t>
            </w:r>
            <w:r w:rsidRPr="00A62F61">
              <w:rPr>
                <w:rFonts w:ascii="Arial" w:hAnsi="Arial" w:cs="Arial"/>
                <w:color w:val="365F91" w:themeColor="accent1" w:themeShade="BF"/>
                <w:sz w:val="20"/>
                <w:szCs w:val="20"/>
                <w:lang w:val="es-US"/>
              </w:rPr>
              <w:t xml:space="preserve"> Nuevo</w:t>
            </w:r>
          </w:p>
          <w:p w:rsidR="00A62F61" w:rsidRPr="00A62F61" w:rsidRDefault="00A62F61" w:rsidP="00A62F61">
            <w:pPr>
              <w:jc w:val="both"/>
              <w:rPr>
                <w:rFonts w:ascii="Arial" w:hAnsi="Arial" w:cs="Arial"/>
                <w:color w:val="365F91" w:themeColor="accent1" w:themeShade="BF"/>
                <w:sz w:val="20"/>
                <w:szCs w:val="20"/>
                <w:lang w:val="es-US"/>
              </w:rPr>
            </w:pPr>
          </w:p>
          <w:p w:rsidR="00A62F61" w:rsidRPr="00A62F61" w:rsidRDefault="00A62F61" w:rsidP="00A62F61">
            <w:pPr>
              <w:jc w:val="both"/>
              <w:rPr>
                <w:rFonts w:ascii="Arial" w:hAnsi="Arial" w:cs="Arial"/>
                <w:color w:val="365F91" w:themeColor="accent1" w:themeShade="BF"/>
                <w:sz w:val="20"/>
                <w:szCs w:val="20"/>
                <w:lang w:val="es-US"/>
              </w:rPr>
            </w:pPr>
            <w:hyperlink r:id="rId11" w:history="1">
              <w:r w:rsidRPr="00A62F61">
                <w:rPr>
                  <w:rStyle w:val="Hipervnculo"/>
                  <w:rFonts w:ascii="Arial" w:hAnsi="Arial" w:cs="Arial"/>
                  <w:color w:val="365F91" w:themeColor="accent1" w:themeShade="BF"/>
                  <w:sz w:val="20"/>
                  <w:szCs w:val="20"/>
                  <w:lang w:val="es-US"/>
                </w:rPr>
                <w:t>Ver Vigencia</w:t>
              </w:r>
            </w:hyperlink>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CONSULTANTE: </w:t>
            </w:r>
            <w:r w:rsidRPr="00A62F61">
              <w:rPr>
                <w:rFonts w:ascii="Arial" w:hAnsi="Arial" w:cs="Arial"/>
                <w:color w:val="365F91" w:themeColor="accent1" w:themeShade="BF"/>
                <w:sz w:val="20"/>
                <w:szCs w:val="20"/>
                <w:lang w:val="es-ES_tradnl"/>
              </w:rPr>
              <w:t>GOBIERNO AUTÓNOMO DESCEN</w:t>
            </w:r>
            <w:r w:rsidRPr="00A62F61">
              <w:rPr>
                <w:rFonts w:ascii="Arial" w:hAnsi="Arial" w:cs="Arial"/>
                <w:color w:val="365F91" w:themeColor="accent1" w:themeShade="BF"/>
                <w:sz w:val="20"/>
                <w:szCs w:val="20"/>
                <w:lang w:val="es-ES_tradnl"/>
              </w:rPr>
              <w:softHyphen/>
              <w:t>TRALIZADO PROVINCIAL DE COTOPAXI</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CONSULTA:</w:t>
            </w:r>
          </w:p>
          <w:p w:rsidR="0030615E" w:rsidRDefault="00A62F61" w:rsidP="00A62F61">
            <w:p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 xml:space="preserve">"¿En este marco los cuerpos de bomberos al ser adscritos a los GAD municipales y gozar de </w:t>
            </w:r>
          </w:p>
          <w:p w:rsidR="0030615E" w:rsidRDefault="0030615E" w:rsidP="00A62F61">
            <w:pPr>
              <w:jc w:val="both"/>
              <w:rPr>
                <w:rFonts w:ascii="Arial" w:hAnsi="Arial" w:cs="Arial"/>
                <w:color w:val="365F91" w:themeColor="accent1" w:themeShade="BF"/>
                <w:sz w:val="20"/>
                <w:szCs w:val="20"/>
                <w:lang w:val="es-ES_tradnl"/>
              </w:rPr>
            </w:pPr>
          </w:p>
          <w:p w:rsidR="0030615E" w:rsidRDefault="00A62F61" w:rsidP="00A62F61">
            <w:p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 xml:space="preserve">autonomía administrativa y financiera, presupuestaria y operativa, se entendería que el Art. 39 de la </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Ley de Defensa Contra Incendios se deroga en forma expresa y no continuarían percibiendo las asignaciones previstas en la indicada norma legal</w:t>
            </w:r>
            <w:proofErr w:type="gramStart"/>
            <w:r w:rsidRPr="00A62F61">
              <w:rPr>
                <w:rFonts w:ascii="Arial" w:hAnsi="Arial" w:cs="Arial"/>
                <w:color w:val="365F91" w:themeColor="accent1" w:themeShade="BF"/>
                <w:sz w:val="20"/>
                <w:szCs w:val="20"/>
                <w:lang w:val="es-ES_tradnl"/>
              </w:rPr>
              <w:t>?</w:t>
            </w:r>
            <w:proofErr w:type="gramEnd"/>
            <w:r w:rsidRPr="00A62F61">
              <w:rPr>
                <w:rFonts w:ascii="Arial" w:hAnsi="Arial" w:cs="Arial"/>
                <w:color w:val="365F91" w:themeColor="accent1" w:themeShade="BF"/>
                <w:sz w:val="20"/>
                <w:szCs w:val="20"/>
                <w:lang w:val="es-ES_tradnl"/>
              </w:rPr>
              <w:t>".</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PRONUNCIAMIENTO:</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De la revisión de las disposiciones Reformatorias y Derogatorias contenidas en el COOTAD, así como del análisis de las normas jurídicas citadas y del pronunciamiento emitido por este Organismo, se evidencia que el Código Orgánico de Organización Territorial, Autonomía y Descentralización, no ha derogado en forma expresa a la Ley de Defensa contra Incendios, como tampoco existe reforma alguna; y, que además en materia de defensa contra incendios, el artículo 140 del citado Código se remite a esa ley especial.</w:t>
            </w:r>
          </w:p>
          <w:p w:rsidR="00A62F61" w:rsidRPr="00A62F61" w:rsidRDefault="00A62F61" w:rsidP="00A62F61">
            <w:p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Por lo expuesto, en atención a los términos de su consulta, se concluye que el artículo 39 de la Ley de Defensa Contra Incendios, no ha sido derogado en forma expresa por ninguna norma de igual o mayor jerarquía y por consiguiente, la disposición legal contenida en dicha norma, que establece la obligación de los consejos provinciales y concejos municipales (actualmente gobiernos autónomos descentralizados provinciales y municipales), de fijar en sus presupuestos las asignaciones correspondientes para ayudar al desarrollo de los cuerpos de bomberos de sus respectivas jurisdicciones, está en vigencia y debe ser observada por esas entidades.</w:t>
            </w:r>
          </w:p>
          <w:p w:rsidR="0030615E" w:rsidRPr="00A62F61" w:rsidRDefault="0030615E" w:rsidP="00A62F61">
            <w:pPr>
              <w:jc w:val="both"/>
              <w:rPr>
                <w:rFonts w:ascii="Arial" w:hAnsi="Arial" w:cs="Arial"/>
                <w:color w:val="365F91" w:themeColor="accent1" w:themeShade="BF"/>
                <w:sz w:val="20"/>
                <w:szCs w:val="20"/>
                <w:lang w:val="es-US"/>
              </w:rPr>
            </w:pP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color w:val="365F91" w:themeColor="accent1" w:themeShade="BF"/>
                <w:sz w:val="20"/>
                <w:szCs w:val="20"/>
                <w:lang w:val="es-US"/>
              </w:rPr>
              <w:t xml:space="preserve">Expedido por: </w:t>
            </w:r>
            <w:r w:rsidRPr="00A62F61">
              <w:rPr>
                <w:rFonts w:ascii="Arial" w:hAnsi="Arial" w:cs="Arial"/>
                <w:color w:val="365F91" w:themeColor="accent1" w:themeShade="BF"/>
                <w:sz w:val="20"/>
                <w:szCs w:val="20"/>
                <w:lang w:val="es-US"/>
              </w:rPr>
              <w:t>Oficio</w:t>
            </w:r>
            <w:r w:rsidRPr="00A62F61">
              <w:rPr>
                <w:rFonts w:ascii="Arial" w:hAnsi="Arial" w:cs="Arial"/>
                <w:b/>
                <w:bCs/>
                <w:color w:val="365F91" w:themeColor="accent1" w:themeShade="BF"/>
                <w:sz w:val="20"/>
                <w:szCs w:val="20"/>
                <w:lang w:val="es-ES_tradnl"/>
              </w:rPr>
              <w:t xml:space="preserve"> PGE. </w:t>
            </w:r>
            <w:r w:rsidRPr="00A62F61">
              <w:rPr>
                <w:rFonts w:ascii="Arial" w:hAnsi="Arial" w:cs="Arial"/>
                <w:color w:val="365F91" w:themeColor="accent1" w:themeShade="BF"/>
                <w:sz w:val="20"/>
                <w:szCs w:val="20"/>
                <w:lang w:val="es-ES_tradnl"/>
              </w:rPr>
              <w:t>N°: 07663 de 05-09-2016,</w:t>
            </w:r>
            <w:r w:rsidRPr="00A62F61">
              <w:rPr>
                <w:rFonts w:ascii="Arial" w:hAnsi="Arial" w:cs="Arial"/>
                <w:color w:val="365F91" w:themeColor="accent1" w:themeShade="BF"/>
                <w:sz w:val="20"/>
                <w:szCs w:val="20"/>
                <w:lang w:val="es-US"/>
              </w:rPr>
              <w:t xml:space="preserve"> publicado en el Registro Oficial No. 908 de 22 de diciembre de 2016  </w:t>
            </w:r>
          </w:p>
          <w:p w:rsidR="00A62F61" w:rsidRPr="00A62F61" w:rsidRDefault="00A62F61" w:rsidP="00A62F61">
            <w:pPr>
              <w:jc w:val="both"/>
              <w:rPr>
                <w:rFonts w:ascii="Arial" w:hAnsi="Arial" w:cs="Arial"/>
                <w:color w:val="365F91" w:themeColor="accent1" w:themeShade="BF"/>
                <w:sz w:val="20"/>
                <w:szCs w:val="20"/>
                <w:lang w:val="es-US"/>
              </w:rPr>
            </w:pP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 xml:space="preserve">CONSULTANTE: </w:t>
            </w:r>
            <w:r w:rsidRPr="00A62F61">
              <w:rPr>
                <w:rFonts w:ascii="Arial" w:hAnsi="Arial" w:cs="Arial"/>
                <w:color w:val="365F91" w:themeColor="accent1" w:themeShade="BF"/>
                <w:sz w:val="20"/>
                <w:szCs w:val="20"/>
                <w:lang w:val="es-ES_tradnl"/>
              </w:rPr>
              <w:t>EMPRESA PÚBLICA</w:t>
            </w:r>
            <w:r w:rsidRPr="00A62F61">
              <w:rPr>
                <w:rFonts w:ascii="Arial" w:hAnsi="Arial" w:cs="Arial"/>
                <w:color w:val="365F91" w:themeColor="accent1" w:themeShade="BF"/>
                <w:sz w:val="20"/>
                <w:szCs w:val="20"/>
                <w:lang w:val="es-US"/>
              </w:rPr>
              <w:t xml:space="preserve"> </w:t>
            </w:r>
            <w:r w:rsidRPr="00A62F61">
              <w:rPr>
                <w:rFonts w:ascii="Arial" w:hAnsi="Arial" w:cs="Arial"/>
                <w:color w:val="365F91" w:themeColor="accent1" w:themeShade="BF"/>
                <w:sz w:val="20"/>
                <w:szCs w:val="20"/>
                <w:lang w:val="es-ES_tradnl"/>
              </w:rPr>
              <w:t>METROPOLITANA DE MOVILIDAD Y OBRAS PÚBLICAS, EPMMOP</w:t>
            </w:r>
          </w:p>
          <w:p w:rsidR="00A62F61" w:rsidRPr="00A62F61" w:rsidRDefault="00A62F61" w:rsidP="00A62F61">
            <w:pPr>
              <w:jc w:val="both"/>
              <w:rPr>
                <w:rFonts w:ascii="Arial" w:hAnsi="Arial" w:cs="Arial"/>
                <w:b/>
                <w:bCs/>
                <w:color w:val="365F91" w:themeColor="accent1" w:themeShade="BF"/>
                <w:sz w:val="20"/>
                <w:szCs w:val="20"/>
                <w:lang w:val="es-ES_tradnl"/>
              </w:rPr>
            </w:pPr>
            <w:r w:rsidRPr="00A62F61">
              <w:rPr>
                <w:rFonts w:ascii="Arial" w:hAnsi="Arial" w:cs="Arial"/>
                <w:b/>
                <w:bCs/>
                <w:color w:val="365F91" w:themeColor="accent1" w:themeShade="BF"/>
                <w:sz w:val="20"/>
                <w:szCs w:val="20"/>
                <w:lang w:val="es-ES_tradnl"/>
              </w:rPr>
              <w:t>CONSULTA:</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"¿Cuál definición de remuneración debe ser observada por la Empresa Pública Metropolitana de Movilidad y Obras Públicas para establecer el monto correspondiente a la décima tercera remuneración de sus servidores, la prevista en el artículo 95 del Código del Trabajo, en el cual se define como remuneración todo lo que el trabajador reciba en dinero, o en su defecto lo señalado en el artículo 30 de la Ley Orgánica de Empresas Públicas, en el cual se excluyen de la remuneración los encargos y subrogaciones?".</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b/>
                <w:bCs/>
                <w:color w:val="365F91" w:themeColor="accent1" w:themeShade="BF"/>
                <w:sz w:val="20"/>
                <w:szCs w:val="20"/>
                <w:lang w:val="es-ES_tradnl"/>
              </w:rPr>
              <w:t>PRONUNCIAMIENTO:</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Se determina que la premisa que el artículo 33 de la Ley Orgánica de Empresas Públicas establece para la aplicación &gt; supletoria del Código del Trabajo, se cumple únicamente en lo relacionado con la forma de pago de la décima tercera remuneración. Dicha supletoriedad no es aplicable en lo relacionado a los componentes que integran la remuneración de los servidores de las empresas públicas, dado que esta situación está expresamente prevista por el artículo 30 numeral 2 de esa Ley.</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De lo hasta aquí analizado, se aprecia que el tenor literal de la letra c) del numeral 2 del artículo 30 de la Ley Orgánica de Empresas Públicas, cuyo texto fue transcrito en 'los antecedentes, excluye en forma expresa del concepto de remuneración, los valores que los servidores de las empresas públicas perciban por concepto de subrogación y encargo; mientras que en forma supletoria, el artículo 111 del Código de Trabajo, establece la forma de pago de la décima tercera remuneración para los servidores de esas entidades.</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Por lo expuesto, en atención a los términos de su consulta se concluye que para calcular el valor correspondiente a la décima tercera remuneración de los servidores de las empresas públicas, se debe aplicar la previsión contenida en la letra c) del numeral 2 del artículo 30 de la Ley Orgánica de Empresas Públicas, que expresamente excluye del concepto de remuneración a los pagos efectuados por encargos y subrogaciones.</w:t>
            </w:r>
          </w:p>
          <w:p w:rsidR="00A62F61" w:rsidRPr="00A62F61" w:rsidRDefault="00A62F61" w:rsidP="00A62F61">
            <w:pPr>
              <w:jc w:val="both"/>
              <w:rPr>
                <w:rFonts w:ascii="Arial" w:hAnsi="Arial" w:cs="Arial"/>
                <w:color w:val="365F91" w:themeColor="accent1" w:themeShade="BF"/>
                <w:sz w:val="20"/>
                <w:szCs w:val="20"/>
                <w:lang w:val="es-US"/>
              </w:rPr>
            </w:pPr>
            <w:r w:rsidRPr="00A62F61">
              <w:rPr>
                <w:rFonts w:ascii="Arial" w:hAnsi="Arial" w:cs="Arial"/>
                <w:color w:val="365F91" w:themeColor="accent1" w:themeShade="BF"/>
                <w:sz w:val="20"/>
                <w:szCs w:val="20"/>
                <w:lang w:val="es-ES_tradnl"/>
              </w:rPr>
              <w:t>El presente pronunciamiento se limita a la inteligencia y aplicación de normas jurídicas y no constituye orden de pago o liquidación, siendo competencia de la Entidad a su cargo, verificar en los casos particulares el cumplimiento de los requisitos legales pertinentes.</w:t>
            </w:r>
          </w:p>
          <w:p w:rsidR="00A62F61" w:rsidRPr="00A62F61" w:rsidRDefault="00A62F61" w:rsidP="00A62F61">
            <w:pPr>
              <w:jc w:val="both"/>
              <w:rPr>
                <w:rFonts w:ascii="Arial" w:hAnsi="Arial" w:cs="Arial"/>
                <w:color w:val="365F91" w:themeColor="accent1" w:themeShade="BF"/>
                <w:sz w:val="20"/>
                <w:szCs w:val="20"/>
                <w:lang w:val="es-ES_tradnl"/>
              </w:rPr>
            </w:pPr>
            <w:r w:rsidRPr="00A62F61">
              <w:rPr>
                <w:rFonts w:ascii="Arial" w:hAnsi="Arial" w:cs="Arial"/>
                <w:color w:val="365F91" w:themeColor="accent1" w:themeShade="BF"/>
                <w:sz w:val="20"/>
                <w:szCs w:val="20"/>
                <w:lang w:val="es-ES_tradnl"/>
              </w:rPr>
              <w:t>Esta copia es igual al documento que reposa en el Archivo de la Dirección Respectiva, de esta Procuraduría y al cual me remito en caso necesario. Lo certifico.- f.) Dra. Lina Rosa Silva, Secretaria General- Procuraduría General del Estado.- Fecha 9 de noviembre de 2016.</w:t>
            </w:r>
          </w:p>
          <w:p w:rsidR="00A62F61" w:rsidRPr="00A62F61" w:rsidRDefault="00A62F61" w:rsidP="00A62F61">
            <w:pPr>
              <w:jc w:val="both"/>
              <w:rPr>
                <w:rFonts w:ascii="Arial" w:hAnsi="Arial" w:cs="Arial"/>
                <w:color w:val="365F91" w:themeColor="accent1" w:themeShade="BF"/>
                <w:sz w:val="20"/>
                <w:szCs w:val="20"/>
                <w:lang w:val="es-US"/>
              </w:rPr>
            </w:pPr>
          </w:p>
        </w:tc>
      </w:tr>
    </w:tbl>
    <w:p w:rsidR="00A62F61" w:rsidRPr="00A62F61" w:rsidRDefault="00A62F61" w:rsidP="00A62F61">
      <w:pPr>
        <w:jc w:val="both"/>
        <w:rPr>
          <w:rFonts w:ascii="Arial" w:hAnsi="Arial" w:cs="Arial"/>
          <w:sz w:val="20"/>
          <w:szCs w:val="20"/>
          <w:lang w:val="es-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62F61" w:rsidRPr="00A62F61" w:rsidTr="00A62F61">
        <w:trPr>
          <w:trHeight w:val="1380"/>
        </w:trPr>
        <w:tc>
          <w:tcPr>
            <w:tcW w:w="9257" w:type="dxa"/>
            <w:shd w:val="clear" w:color="auto" w:fill="E6F1DF"/>
          </w:tcPr>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b/>
                <w:sz w:val="20"/>
                <w:szCs w:val="20"/>
                <w:lang w:val="es-US"/>
              </w:rPr>
            </w:pPr>
            <w:r w:rsidRPr="00A62F61">
              <w:rPr>
                <w:rFonts w:ascii="Arial" w:hAnsi="Arial" w:cs="Arial"/>
                <w:b/>
                <w:bCs/>
                <w:sz w:val="20"/>
                <w:szCs w:val="20"/>
                <w:lang w:val="es-ES_tradnl"/>
              </w:rPr>
              <w:t>INSTRUCTIVO</w:t>
            </w:r>
            <w:r w:rsidRPr="00A62F61">
              <w:rPr>
                <w:rFonts w:ascii="Arial" w:hAnsi="Arial" w:cs="Arial"/>
                <w:b/>
                <w:sz w:val="20"/>
                <w:szCs w:val="20"/>
                <w:lang w:val="es-US"/>
              </w:rPr>
              <w:t xml:space="preserve"> </w:t>
            </w:r>
            <w:r w:rsidRPr="00A62F61">
              <w:rPr>
                <w:rFonts w:ascii="Arial" w:hAnsi="Arial" w:cs="Arial"/>
                <w:b/>
                <w:bCs/>
                <w:sz w:val="20"/>
                <w:szCs w:val="20"/>
                <w:lang w:val="es-ES_tradnl"/>
              </w:rPr>
              <w:t>DE APLICACIÓN DEL PROCEDIMIENTO</w:t>
            </w:r>
            <w:r w:rsidRPr="00A62F61">
              <w:rPr>
                <w:rFonts w:ascii="Arial" w:hAnsi="Arial" w:cs="Arial"/>
                <w:b/>
                <w:sz w:val="20"/>
                <w:szCs w:val="20"/>
                <w:lang w:val="es-US"/>
              </w:rPr>
              <w:t xml:space="preserve"> </w:t>
            </w:r>
            <w:r w:rsidRPr="00A62F61">
              <w:rPr>
                <w:rFonts w:ascii="Arial" w:hAnsi="Arial" w:cs="Arial"/>
                <w:b/>
                <w:bCs/>
                <w:sz w:val="20"/>
                <w:szCs w:val="20"/>
                <w:lang w:val="es-ES_tradnl"/>
              </w:rPr>
              <w:t>ABREVIADO PARA LAS Y LOS DEFENSORES</w:t>
            </w:r>
            <w:r w:rsidRPr="00A62F61">
              <w:rPr>
                <w:rFonts w:ascii="Arial" w:hAnsi="Arial" w:cs="Arial"/>
                <w:b/>
                <w:sz w:val="20"/>
                <w:szCs w:val="20"/>
                <w:lang w:val="es-US"/>
              </w:rPr>
              <w:t xml:space="preserve"> </w:t>
            </w:r>
            <w:r w:rsidRPr="00A62F61">
              <w:rPr>
                <w:rFonts w:ascii="Arial" w:hAnsi="Arial" w:cs="Arial"/>
                <w:b/>
                <w:bCs/>
                <w:sz w:val="20"/>
                <w:szCs w:val="20"/>
                <w:lang w:val="es-ES_tradnl"/>
              </w:rPr>
              <w:t>PÚBLICOS</w:t>
            </w:r>
          </w:p>
          <w:p w:rsidR="00A62F61" w:rsidRPr="00A62F61" w:rsidRDefault="00A62F61" w:rsidP="00A62F61">
            <w:pPr>
              <w:jc w:val="both"/>
              <w:rPr>
                <w:rFonts w:ascii="Arial" w:hAnsi="Arial" w:cs="Arial"/>
                <w:b/>
                <w:sz w:val="20"/>
                <w:szCs w:val="20"/>
                <w:lang w:val="es-ES_tradnl"/>
              </w:rPr>
            </w:pPr>
          </w:p>
          <w:p w:rsidR="00A62F61" w:rsidRPr="00A62F61" w:rsidRDefault="00A62F61" w:rsidP="00A62F61">
            <w:pPr>
              <w:jc w:val="both"/>
              <w:rPr>
                <w:rFonts w:ascii="Arial" w:hAnsi="Arial" w:cs="Arial"/>
                <w:sz w:val="20"/>
                <w:szCs w:val="20"/>
                <w:lang w:val="es-US"/>
              </w:rPr>
            </w:pPr>
            <w:r w:rsidRPr="00A62F61">
              <w:rPr>
                <w:rFonts w:ascii="Arial" w:hAnsi="Arial" w:cs="Arial"/>
                <w:b/>
                <w:sz w:val="20"/>
                <w:szCs w:val="20"/>
                <w:lang w:val="es-US"/>
              </w:rPr>
              <w:t xml:space="preserve">Expedido por: </w:t>
            </w:r>
            <w:r w:rsidRPr="00A62F61">
              <w:rPr>
                <w:rFonts w:ascii="Arial" w:hAnsi="Arial" w:cs="Arial"/>
                <w:sz w:val="20"/>
                <w:szCs w:val="20"/>
                <w:lang w:val="es-US"/>
              </w:rPr>
              <w:t>Resolución DP-DPG 2016-167, publicado en el Registro Oficial No. 908 de 22 de diciembre de 2016</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US"/>
              </w:rPr>
              <w:t xml:space="preserve">  </w:t>
            </w:r>
          </w:p>
          <w:p w:rsidR="00A62F61" w:rsidRPr="00A62F61" w:rsidRDefault="00A62F61" w:rsidP="00A62F61">
            <w:pPr>
              <w:jc w:val="both"/>
              <w:rPr>
                <w:rFonts w:ascii="Arial" w:hAnsi="Arial" w:cs="Arial"/>
                <w:sz w:val="20"/>
                <w:szCs w:val="20"/>
                <w:lang w:val="es-US"/>
              </w:rPr>
            </w:pPr>
            <w:r w:rsidRPr="00A62F61">
              <w:rPr>
                <w:rFonts w:ascii="Arial" w:hAnsi="Arial" w:cs="Arial"/>
                <w:b/>
                <w:sz w:val="20"/>
                <w:szCs w:val="20"/>
                <w:lang w:val="es-US"/>
              </w:rPr>
              <w:t>Novedad:</w:t>
            </w:r>
            <w:r w:rsidRPr="00A62F61">
              <w:rPr>
                <w:rFonts w:ascii="Arial" w:hAnsi="Arial" w:cs="Arial"/>
                <w:sz w:val="20"/>
                <w:szCs w:val="20"/>
                <w:lang w:val="es-US"/>
              </w:rPr>
              <w:t xml:space="preserve"> Nuevo</w:t>
            </w:r>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hyperlink r:id="rId12" w:history="1">
              <w:r w:rsidRPr="00A62F61">
                <w:rPr>
                  <w:rStyle w:val="Hipervnculo"/>
                  <w:rFonts w:ascii="Arial" w:hAnsi="Arial" w:cs="Arial"/>
                  <w:sz w:val="20"/>
                  <w:szCs w:val="20"/>
                  <w:lang w:val="es-US"/>
                </w:rPr>
                <w:t>Ver Vigencia</w:t>
              </w:r>
            </w:hyperlink>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 xml:space="preserve">Art. 1.- Objeto. - </w:t>
            </w:r>
            <w:r w:rsidRPr="00A62F61">
              <w:rPr>
                <w:rFonts w:ascii="Arial" w:hAnsi="Arial" w:cs="Arial"/>
                <w:sz w:val="20"/>
                <w:szCs w:val="20"/>
                <w:lang w:val="es-ES_tradnl"/>
              </w:rPr>
              <w:t>El objeto de presente instructivo es garantizar el debido proceso en la aplicación del procedimiento abreviado prescrito en el artículo 635 y siguientes del Código Orgánico Integral Penal, evitando la vulneración del estado de inocencia y la prohibición de autoincriminación de las y los usuarios del servicio de defensa pública.</w:t>
            </w: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 xml:space="preserve">Art. 2.- Principios.- </w:t>
            </w:r>
            <w:r w:rsidRPr="00A62F61">
              <w:rPr>
                <w:rFonts w:ascii="Arial" w:hAnsi="Arial" w:cs="Arial"/>
                <w:sz w:val="20"/>
                <w:szCs w:val="20"/>
                <w:lang w:val="es-ES_tradnl"/>
              </w:rPr>
              <w:t>'Además de los principios constitucionales y legales, estándares universales del derecho y de los precedentes del Sistema Interamericano de Derechos Humanos, las y los defensores públicos serán estrictamente vigilantes en la aplicación del procedimiento abreviado del cumplimiento de los principios ,de inocencia, in dubio pro reo, defensa, prohibición de autoincriminación y debido proceso, además' de los inherentes del sistema procesal como los principios' acusatorio, dispositivo, igualdad de armas y del secreto y confidencialidad profesional.</w:t>
            </w: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 xml:space="preserve">Art. 3.- Ámbito. - </w:t>
            </w:r>
            <w:r w:rsidRPr="00A62F61">
              <w:rPr>
                <w:rFonts w:ascii="Arial" w:hAnsi="Arial" w:cs="Arial"/>
                <w:sz w:val="20"/>
                <w:szCs w:val="20"/>
                <w:lang w:val="es-ES_tradnl"/>
              </w:rPr>
              <w:t xml:space="preserve">El presente instructivo rige </w:t>
            </w:r>
            <w:proofErr w:type="spellStart"/>
            <w:r w:rsidRPr="00A62F61">
              <w:rPr>
                <w:rFonts w:ascii="Arial" w:hAnsi="Arial" w:cs="Arial"/>
                <w:sz w:val="20"/>
                <w:szCs w:val="20"/>
                <w:lang w:val="es-ES_tradnl"/>
              </w:rPr>
              <w:t>patRa</w:t>
            </w:r>
            <w:proofErr w:type="spellEnd"/>
            <w:r w:rsidRPr="00A62F61">
              <w:rPr>
                <w:rFonts w:ascii="Arial" w:hAnsi="Arial" w:cs="Arial"/>
                <w:sz w:val="20"/>
                <w:szCs w:val="20"/>
                <w:lang w:val="es-ES_tradnl"/>
              </w:rPr>
              <w:t xml:space="preserve"> todas y todos los defensores públicos del país que asesoren y patrocinen causas en materia penal, previo a la sustanciación de las audiencias de calificación de flagrancia, formulación de cargos, de evaluación y preparatoria de juicio o, específicamente, de procedimiento abreviado.</w:t>
            </w: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 xml:space="preserve">Art. 4.- Solidez del caso. - </w:t>
            </w:r>
            <w:r w:rsidRPr="00A62F61">
              <w:rPr>
                <w:rFonts w:ascii="Arial" w:hAnsi="Arial" w:cs="Arial"/>
                <w:sz w:val="20"/>
                <w:szCs w:val="20"/>
                <w:lang w:val="es-ES_tradnl"/>
              </w:rPr>
              <w:t xml:space="preserve">Previa a la posibilidad de someter la causa a procedimiento abreviado por iniciativa o propuesta del agente fiscal, y siempre y cuando la persona procesada preste su. consentimiento informado, la o el defensor público analizará 4e forma exhaustiva la solidez de la investigación pre procesal o procesal penal por parte del agente fiscal, a través de </w:t>
            </w:r>
            <w:proofErr w:type="spellStart"/>
            <w:r w:rsidRPr="00A62F61">
              <w:rPr>
                <w:rFonts w:ascii="Arial" w:hAnsi="Arial" w:cs="Arial"/>
                <w:sz w:val="20"/>
                <w:szCs w:val="20"/>
                <w:lang w:val="es-ES_tradnl"/>
              </w:rPr>
              <w:t>lossigujentes</w:t>
            </w:r>
            <w:proofErr w:type="spellEnd"/>
            <w:r w:rsidRPr="00A62F61">
              <w:rPr>
                <w:rFonts w:ascii="Arial" w:hAnsi="Arial" w:cs="Arial"/>
                <w:sz w:val="20"/>
                <w:szCs w:val="20"/>
                <w:lang w:val="es-ES_tradnl"/>
              </w:rPr>
              <w:t xml:space="preserve"> mínimos jurídicos;</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a) Que las evidencias sean determinantes en la convicción de probar la relación o existencia de un delito de ejercicio público de la acción cuya pena no sea mayor de diez arios con la autoría o participación de la persona procesada. La simple sospecha, mera presunción o existencia de indicios débiles e incongruentes no constituye razón suficiente para la sustanciación del procedimiento abreviado por parte de la Defensoría Pública.</w:t>
            </w:r>
          </w:p>
          <w:p w:rsidR="00A62F61" w:rsidRPr="00A62F61" w:rsidRDefault="00A62F61" w:rsidP="00A62F61">
            <w:pPr>
              <w:numPr>
                <w:ilvl w:val="0"/>
                <w:numId w:val="31"/>
              </w:numPr>
              <w:jc w:val="both"/>
              <w:rPr>
                <w:rFonts w:ascii="Arial" w:hAnsi="Arial" w:cs="Arial"/>
                <w:sz w:val="20"/>
                <w:szCs w:val="20"/>
                <w:lang w:val="es-ES_tradnl"/>
              </w:rPr>
            </w:pPr>
            <w:r w:rsidRPr="00A62F61">
              <w:rPr>
                <w:rFonts w:ascii="Arial" w:hAnsi="Arial" w:cs="Arial"/>
                <w:sz w:val="20"/>
                <w:szCs w:val="20"/>
                <w:lang w:val="es-ES_tradnl"/>
              </w:rPr>
              <w:t xml:space="preserve">Que en caso de haber un supuesto delito flagrante, éste no sea consecuencia de investigaciones previas o posibles vicios procesales que hagan presumir una representación de la flagrancia. La sola violación al debido proceso impide una voluntaria sustanciación del procedimiento abreviado por </w:t>
            </w:r>
            <w:r w:rsidRPr="00A62F61">
              <w:rPr>
                <w:rFonts w:ascii="Arial" w:hAnsi="Arial" w:cs="Arial"/>
                <w:sz w:val="20"/>
                <w:szCs w:val="20"/>
                <w:lang w:val="es-ES_tradnl"/>
              </w:rPr>
              <w:lastRenderedPageBreak/>
              <w:t>parte de la Defensoría Pública.</w:t>
            </w:r>
          </w:p>
          <w:p w:rsidR="00A62F61" w:rsidRPr="00A62F61" w:rsidRDefault="00A62F61" w:rsidP="00A62F61">
            <w:pPr>
              <w:numPr>
                <w:ilvl w:val="0"/>
                <w:numId w:val="31"/>
              </w:numPr>
              <w:jc w:val="both"/>
              <w:rPr>
                <w:rFonts w:ascii="Arial" w:hAnsi="Arial" w:cs="Arial"/>
                <w:sz w:val="20"/>
                <w:szCs w:val="20"/>
                <w:lang w:val="es-ES_tradnl"/>
              </w:rPr>
            </w:pPr>
            <w:r w:rsidRPr="00A62F61">
              <w:rPr>
                <w:rFonts w:ascii="Arial" w:hAnsi="Arial" w:cs="Arial"/>
                <w:sz w:val="20"/>
                <w:szCs w:val="20"/>
                <w:lang w:val="es-ES_tradnl"/>
              </w:rPr>
              <w:t>Que la agencia fiscal cuente con suficientes evidencias para producir una sólida y coherente acusación. Si a criterio de la o el defensor público los indicios generan una duda razonable, no habrá sustanciación del procedimiento abreviado.</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En cualquier caso, el procedimiento abreviado debería surgir de la iniciativa o propuesta de la agencia fiscal.</w:t>
            </w: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 xml:space="preserve">Art. 5.- Consentimiento informado. - </w:t>
            </w:r>
            <w:r w:rsidRPr="00A62F61">
              <w:rPr>
                <w:rFonts w:ascii="Arial" w:hAnsi="Arial" w:cs="Arial"/>
                <w:sz w:val="20"/>
                <w:szCs w:val="20"/>
                <w:lang w:val="es-ES_tradnl"/>
              </w:rPr>
              <w:t>En caso de contar la agencia fiscal con un caso sólido con altas probabilidades de producir un escenario de condena para la persona procesada, la o el defensor público aplicará el siguiente procedimiento:</w:t>
            </w: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a)</w:t>
            </w:r>
            <w:r w:rsidRPr="00A62F61">
              <w:rPr>
                <w:rFonts w:ascii="Arial" w:hAnsi="Arial" w:cs="Arial"/>
                <w:b/>
                <w:bCs/>
                <w:sz w:val="20"/>
                <w:szCs w:val="20"/>
                <w:lang w:val="es-ES_tradnl"/>
              </w:rPr>
              <w:tab/>
              <w:t xml:space="preserve">Información: </w:t>
            </w:r>
            <w:r w:rsidRPr="00A62F61">
              <w:rPr>
                <w:rFonts w:ascii="Arial" w:hAnsi="Arial" w:cs="Arial"/>
                <w:sz w:val="20"/>
                <w:szCs w:val="20"/>
                <w:lang w:val="es-ES_tradnl"/>
              </w:rPr>
              <w:t>La o el defensor público informará de forma exhaustiva a la persona procesada, así como a sus familiares o amigos en- caso de existir, sobre las consecuencias de someterse a un procedimiento abreviado, tanto en lo referente a las ventajas así como a las posibles desventajas procesales, además de los riesgos y consecuencias que acarrea el estado de la causa más allá de la admisión de la culpa y su concomitante condena, en especial de la influencia de este procedimiento en la vida y libertad de la persona procesada.</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La o el defensor público se asegurará que la persona procesada comprenda que el resultado de la aplicación de este procedimiento será una sentencia condenatoria, y que esta sentencia podría configurar una reincidencia, en caso de que la persona cometiera un delito con los mismos elementos de tipicidad.</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Si se trata de una persona extranjera, se le explicará además que una vez cumplida la sentencia se realizará una nueva audiencia en la que se analizará su posible deportación</w:t>
            </w:r>
          </w:p>
          <w:p w:rsidR="00A62F61" w:rsidRPr="00A62F61" w:rsidRDefault="00A62F61" w:rsidP="00A62F61">
            <w:pPr>
              <w:numPr>
                <w:ilvl w:val="0"/>
                <w:numId w:val="32"/>
              </w:numPr>
              <w:jc w:val="both"/>
              <w:rPr>
                <w:rFonts w:ascii="Arial" w:hAnsi="Arial" w:cs="Arial"/>
                <w:sz w:val="20"/>
                <w:szCs w:val="20"/>
                <w:lang w:val="es-ES_tradnl"/>
              </w:rPr>
            </w:pPr>
            <w:r w:rsidRPr="00A62F61">
              <w:rPr>
                <w:rFonts w:ascii="Arial" w:hAnsi="Arial" w:cs="Arial"/>
                <w:b/>
                <w:bCs/>
                <w:sz w:val="20"/>
                <w:szCs w:val="20"/>
                <w:lang w:val="es-ES_tradnl"/>
              </w:rPr>
              <w:t xml:space="preserve">Generación </w:t>
            </w:r>
            <w:r w:rsidRPr="00A62F61">
              <w:rPr>
                <w:rFonts w:ascii="Arial" w:hAnsi="Arial" w:cs="Arial"/>
                <w:sz w:val="20"/>
                <w:szCs w:val="20"/>
                <w:lang w:val="es-ES_tradnl"/>
              </w:rPr>
              <w:t xml:space="preserve">de </w:t>
            </w:r>
            <w:r w:rsidRPr="00A62F61">
              <w:rPr>
                <w:rFonts w:ascii="Arial" w:hAnsi="Arial" w:cs="Arial"/>
                <w:b/>
                <w:bCs/>
                <w:sz w:val="20"/>
                <w:szCs w:val="20"/>
                <w:lang w:val="es-ES_tradnl"/>
              </w:rPr>
              <w:t xml:space="preserve">convicción: </w:t>
            </w:r>
            <w:r w:rsidRPr="00A62F61">
              <w:rPr>
                <w:rFonts w:ascii="Arial" w:hAnsi="Arial" w:cs="Arial"/>
                <w:sz w:val="20"/>
                <w:szCs w:val="20"/>
                <w:lang w:val="es-ES_tradnl"/>
              </w:rPr>
              <w:t>La persona procesada deberá formarse una convicción libre y voluntaria sobre las ventajas, desventajas, riesgos y consecuencias en caso de someterse a un procedimiento abreviado. La convicción será personalísima, debiendo la o el defensor público evitar influir o promover injerencia sobre la persona procesada. La o el defensor público gestionará todas las facilidades para que la decisión esté libre de influencia alguna, sean estas de tiempo, espacio, calidad de la información o injerencia de cualquier servidor público.</w:t>
            </w:r>
          </w:p>
          <w:p w:rsidR="00A62F61" w:rsidRPr="00A62F61" w:rsidRDefault="00A62F61" w:rsidP="00A62F61">
            <w:pPr>
              <w:numPr>
                <w:ilvl w:val="0"/>
                <w:numId w:val="32"/>
              </w:numPr>
              <w:jc w:val="both"/>
              <w:rPr>
                <w:rFonts w:ascii="Arial" w:hAnsi="Arial" w:cs="Arial"/>
                <w:b/>
                <w:bCs/>
                <w:sz w:val="20"/>
                <w:szCs w:val="20"/>
                <w:lang w:val="es-ES_tradnl"/>
              </w:rPr>
            </w:pPr>
            <w:r w:rsidRPr="00A62F61">
              <w:rPr>
                <w:rFonts w:ascii="Arial" w:hAnsi="Arial" w:cs="Arial"/>
                <w:b/>
                <w:bCs/>
                <w:sz w:val="20"/>
                <w:szCs w:val="20"/>
                <w:lang w:val="es-ES_tradnl"/>
              </w:rPr>
              <w:t xml:space="preserve">Acreditación: </w:t>
            </w:r>
            <w:r w:rsidRPr="00A62F61">
              <w:rPr>
                <w:rFonts w:ascii="Arial" w:hAnsi="Arial" w:cs="Arial"/>
                <w:sz w:val="20"/>
                <w:szCs w:val="20"/>
                <w:lang w:val="es-ES_tradnl"/>
              </w:rPr>
              <w:t>Una vez aceptada, de forma firme y voluntaria, la decisión de someterse a procedimiento abreviado, la o el defensor público acreditará la decisión de la persona procesada a través del escrito de consentimiento informado suscrito por la o el usuario así como la defensa.</w:t>
            </w: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br w:type="column"/>
            </w:r>
            <w:r w:rsidRPr="00A62F61">
              <w:rPr>
                <w:rFonts w:ascii="Arial" w:hAnsi="Arial" w:cs="Arial"/>
                <w:sz w:val="20"/>
                <w:szCs w:val="20"/>
                <w:lang w:val="es-ES_tradnl"/>
              </w:rPr>
              <w:t>La persona procesada puede en cualquier momento cambiar su decisión de someterse a procedimiento abreviado, incluso antes o durante la audiencia respectiva. En este caso, la o el defensor público dejará de utilizar cualquier escrito o documento suscrito por la persona procesada sometiéndose a procedimiento abreviado.</w:t>
            </w: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 xml:space="preserve">Art- 6.- Diálogo sobre la penalidad. - </w:t>
            </w:r>
            <w:r w:rsidRPr="00A62F61">
              <w:rPr>
                <w:rFonts w:ascii="Arial" w:hAnsi="Arial" w:cs="Arial"/>
                <w:sz w:val="20"/>
                <w:szCs w:val="20"/>
                <w:lang w:val="es-ES_tradnl"/>
              </w:rPr>
              <w:t>Acreditado el consentimiento de forma libre y voluntaria por parte de la persona procesada para someterse a un procedimiento abreviado propuesto por la agencia fiscal, la o el defensor -público dialogará con la o el agente fiscal sobre los términos de la penalidad, propiciando en todo momento una reducción significativa del castigo.</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 xml:space="preserve">El diálogo para la sustanciación-del procedimiento abreviado observará la naturaleza del caso, el grado de la posible autoría o participación criminal, así como la existencia de un daño sobre la presunta víctima. También observará las condiciones del encarcelamiento del centro de privación de </w:t>
            </w:r>
            <w:r w:rsidRPr="00A62F61">
              <w:rPr>
                <w:rFonts w:ascii="Arial" w:hAnsi="Arial" w:cs="Arial"/>
                <w:sz w:val="20"/>
                <w:szCs w:val="20"/>
                <w:lang w:val="es-ES_tradnl"/>
              </w:rPr>
              <w:lastRenderedPageBreak/>
              <w:t>la libertad, así como las cuestiones objetivas y subjetivas de la persona procesada y su vinculación familiar.</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La o el defensor público no solo observará en este diálogo el cumplimiento del principio de economía procesal, sino las condiciones subjetivas y objetivas del encarcelamiento de la persona procesada aun cuando la pena sea significativamente reducida. En cualquier caso, el diálogo con la agencia fiscal, así como los términos de la penalidad, serán consultados y autorizados finalmente por la persona procesada para la prosecución de la respectiva audiencia a partir de su consentimiento.</w:t>
            </w: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 xml:space="preserve">Art- </w:t>
            </w:r>
            <w:r w:rsidRPr="00A62F61">
              <w:rPr>
                <w:rFonts w:ascii="Arial" w:hAnsi="Arial" w:cs="Arial"/>
                <w:sz w:val="20"/>
                <w:szCs w:val="20"/>
                <w:lang w:val="es-ES_tradnl"/>
              </w:rPr>
              <w:t xml:space="preserve">7.- </w:t>
            </w:r>
            <w:r w:rsidRPr="00A62F61">
              <w:rPr>
                <w:rFonts w:ascii="Arial" w:hAnsi="Arial" w:cs="Arial"/>
                <w:b/>
                <w:bCs/>
                <w:sz w:val="20"/>
                <w:szCs w:val="20"/>
                <w:lang w:val="es-ES_tradnl"/>
              </w:rPr>
              <w:t xml:space="preserve">Legítima excusa.- </w:t>
            </w:r>
            <w:r w:rsidRPr="00A62F61">
              <w:rPr>
                <w:rFonts w:ascii="Arial" w:hAnsi="Arial" w:cs="Arial"/>
                <w:sz w:val="20"/>
                <w:szCs w:val="20"/>
                <w:lang w:val="es-ES_tradnl"/>
              </w:rPr>
              <w:t>En caso de no ser lo suficientemente sólida la investigación o caso del fiscal, y de existir una predisposición por parte de la persona procesada de someterse a procedimiento abreviado a riesgo de vulnerar su propio estado de inocencia, la o el defensor público le sugerirá que este procedimiento sea sustanciado por otro profesional del derecho, sea defensor público o privado.</w:t>
            </w:r>
          </w:p>
          <w:p w:rsidR="00A62F61" w:rsidRPr="00A62F61" w:rsidRDefault="00A62F61" w:rsidP="00A62F61">
            <w:pPr>
              <w:jc w:val="both"/>
              <w:rPr>
                <w:rFonts w:ascii="Arial" w:hAnsi="Arial" w:cs="Arial"/>
                <w:sz w:val="20"/>
                <w:szCs w:val="20"/>
                <w:lang w:val="es-ES_tradnl"/>
              </w:rPr>
            </w:pPr>
            <w:r w:rsidRPr="00A62F61">
              <w:rPr>
                <w:rFonts w:ascii="Arial" w:hAnsi="Arial" w:cs="Arial"/>
                <w:sz w:val="20"/>
                <w:szCs w:val="20"/>
                <w:lang w:val="es-ES_tradnl"/>
              </w:rPr>
              <w:t>La excusa será presentada ante la o el jefe inmediato para la designación de un nuevo defensor público, si así lo solicita el procesado.</w:t>
            </w:r>
          </w:p>
          <w:p w:rsidR="00A62F61" w:rsidRPr="00A62F61" w:rsidRDefault="00A62F61" w:rsidP="00A62F61">
            <w:pPr>
              <w:jc w:val="both"/>
              <w:rPr>
                <w:rFonts w:ascii="Arial" w:hAnsi="Arial" w:cs="Arial"/>
                <w:sz w:val="20"/>
                <w:szCs w:val="20"/>
                <w:lang w:val="es-ES_tradnl"/>
              </w:rPr>
            </w:pPr>
          </w:p>
          <w:p w:rsidR="00A62F61" w:rsidRPr="00A62F61" w:rsidRDefault="00A62F61" w:rsidP="00A62F61">
            <w:pPr>
              <w:jc w:val="both"/>
              <w:rPr>
                <w:rFonts w:ascii="Arial" w:hAnsi="Arial" w:cs="Arial"/>
                <w:sz w:val="20"/>
                <w:szCs w:val="20"/>
                <w:lang w:val="es-US"/>
              </w:rPr>
            </w:pPr>
            <w:hyperlink r:id="rId13" w:history="1">
              <w:r w:rsidRPr="00A62F61">
                <w:rPr>
                  <w:rStyle w:val="Hipervnculo"/>
                  <w:rFonts w:ascii="Arial" w:hAnsi="Arial" w:cs="Arial"/>
                  <w:sz w:val="20"/>
                  <w:szCs w:val="20"/>
                  <w:lang w:val="es-US"/>
                </w:rPr>
                <w:t>Ver Registro Oficial</w:t>
              </w:r>
            </w:hyperlink>
          </w:p>
          <w:p w:rsidR="00A62F61" w:rsidRPr="00A62F61" w:rsidRDefault="00A62F61" w:rsidP="00A62F61">
            <w:pPr>
              <w:jc w:val="both"/>
              <w:rPr>
                <w:rFonts w:ascii="Arial" w:hAnsi="Arial" w:cs="Arial"/>
                <w:b/>
                <w:sz w:val="20"/>
                <w:szCs w:val="20"/>
                <w:lang w:val="es-US"/>
              </w:rPr>
            </w:pPr>
          </w:p>
        </w:tc>
      </w:tr>
    </w:tbl>
    <w:p w:rsidR="0030615E" w:rsidRDefault="0030615E" w:rsidP="00A62F61">
      <w:pPr>
        <w:jc w:val="both"/>
        <w:rPr>
          <w:rFonts w:ascii="Arial" w:hAnsi="Arial" w:cs="Arial"/>
          <w:sz w:val="20"/>
          <w:szCs w:val="20"/>
          <w:lang w:val="es-US"/>
        </w:rPr>
      </w:pPr>
      <w:r w:rsidRPr="00A62F61">
        <w:rPr>
          <w:rFonts w:ascii="Arial" w:hAnsi="Arial" w:cs="Arial"/>
          <w:sz w:val="20"/>
          <w:szCs w:val="20"/>
        </w:rPr>
        <w:lastRenderedPageBreak/>
        <mc:AlternateContent>
          <mc:Choice Requires="wps">
            <w:drawing>
              <wp:anchor distT="0" distB="0" distL="114300" distR="114300" simplePos="0" relativeHeight="251662336" behindDoc="0" locked="0" layoutInCell="1" allowOverlap="1" wp14:anchorId="00C6E707" wp14:editId="69999C7B">
                <wp:simplePos x="0" y="0"/>
                <wp:positionH relativeFrom="margin">
                  <wp:posOffset>-70485</wp:posOffset>
                </wp:positionH>
                <wp:positionV relativeFrom="paragraph">
                  <wp:posOffset>174625</wp:posOffset>
                </wp:positionV>
                <wp:extent cx="1781175" cy="266700"/>
                <wp:effectExtent l="0" t="0" r="28575" b="190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66700"/>
                        </a:xfrm>
                        <a:prstGeom prst="rect">
                          <a:avLst/>
                        </a:prstGeom>
                        <a:solidFill>
                          <a:srgbClr val="000080"/>
                        </a:solidFill>
                        <a:ln w="9525">
                          <a:solidFill>
                            <a:srgbClr val="000080"/>
                          </a:solidFill>
                          <a:miter lim="800000"/>
                          <a:headEnd/>
                          <a:tailEnd/>
                        </a:ln>
                      </wps:spPr>
                      <wps:txbx>
                        <w:txbxContent>
                          <w:p w:rsidR="00A62F61" w:rsidRPr="00567E83" w:rsidRDefault="00A62F61" w:rsidP="00A62F61">
                            <w:pPr>
                              <w:jc w:val="both"/>
                              <w:rPr>
                                <w:b/>
                                <w:color w:val="FFFFFF"/>
                              </w:rPr>
                            </w:pPr>
                            <w:r>
                              <w:rPr>
                                <w:b/>
                                <w:color w:val="FFFFFF"/>
                              </w:rPr>
                              <w:t>Miércoles 28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 o:spid="_x0000_s1030" type="#_x0000_t202" style="position:absolute;left:0;text-align:left;margin-left:-5.55pt;margin-top:13.75pt;width:140.25pt;height: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" fillcolor="navy" strokecolor="navy">
                <v:textbox>
                  <w:txbxContent>
                    <w:p w:rsidR="00A62F61" w:rsidRPr="00567E83" w:rsidRDefault="00A62F61" w:rsidP="00A62F61">
                      <w:pPr>
                        <w:jc w:val="both"/>
                        <w:rPr>
                          <w:b/>
                          <w:color w:val="FFFFFF"/>
                        </w:rPr>
                      </w:pPr>
                      <w:r>
                        <w:rPr>
                          <w:b/>
                          <w:color w:val="FFFFFF"/>
                        </w:rPr>
                        <w:t>Miércoles 28  de diciembre</w:t>
                      </w:r>
                    </w:p>
                  </w:txbxContent>
                </v:textbox>
                <w10:wrap anchorx="margin"/>
              </v:shape>
            </w:pict>
          </mc:Fallback>
        </mc:AlternateContent>
      </w:r>
    </w:p>
    <w:p w:rsidR="00A62F61" w:rsidRPr="00A62F61" w:rsidRDefault="00A62F61" w:rsidP="00A62F61">
      <w:pPr>
        <w:jc w:val="both"/>
        <w:rPr>
          <w:rFonts w:ascii="Arial" w:hAnsi="Arial" w:cs="Arial"/>
          <w:sz w:val="20"/>
          <w:szCs w:val="20"/>
          <w:lang w:val="es-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62F61" w:rsidRPr="00A62F61" w:rsidTr="00A62F61">
        <w:trPr>
          <w:trHeight w:val="5244"/>
        </w:trPr>
        <w:tc>
          <w:tcPr>
            <w:tcW w:w="9257" w:type="dxa"/>
            <w:shd w:val="clear" w:color="auto" w:fill="E6F1DF"/>
          </w:tcPr>
          <w:p w:rsidR="00A62F61" w:rsidRPr="00A62F61" w:rsidRDefault="00A62F61" w:rsidP="00A62F61">
            <w:pPr>
              <w:jc w:val="both"/>
              <w:rPr>
                <w:rFonts w:ascii="Arial" w:hAnsi="Arial" w:cs="Arial"/>
                <w:b/>
                <w:bCs/>
                <w:sz w:val="20"/>
                <w:szCs w:val="20"/>
                <w:lang w:val="es-ES_tradnl"/>
              </w:rPr>
            </w:pPr>
          </w:p>
          <w:p w:rsidR="00A62F61" w:rsidRPr="00A62F61" w:rsidRDefault="00A62F61" w:rsidP="00A62F61">
            <w:pPr>
              <w:jc w:val="both"/>
              <w:rPr>
                <w:rFonts w:ascii="Arial" w:hAnsi="Arial" w:cs="Arial"/>
                <w:b/>
                <w:sz w:val="20"/>
                <w:szCs w:val="20"/>
                <w:lang w:val="es-US"/>
              </w:rPr>
            </w:pPr>
            <w:r w:rsidRPr="00A62F61">
              <w:rPr>
                <w:rFonts w:ascii="Arial" w:hAnsi="Arial" w:cs="Arial"/>
                <w:b/>
                <w:bCs/>
                <w:sz w:val="20"/>
                <w:szCs w:val="20"/>
                <w:lang w:val="es-ES_tradnl"/>
              </w:rPr>
              <w:t>PROCURADURÍA GENERAL DEL ESTADO</w:t>
            </w:r>
            <w:r w:rsidRPr="00A62F61">
              <w:rPr>
                <w:rFonts w:ascii="Arial" w:hAnsi="Arial" w:cs="Arial"/>
                <w:b/>
                <w:sz w:val="20"/>
                <w:szCs w:val="20"/>
                <w:lang w:val="es-US"/>
              </w:rPr>
              <w:t xml:space="preserve"> </w:t>
            </w:r>
            <w:r w:rsidRPr="00A62F61">
              <w:rPr>
                <w:rFonts w:ascii="Arial" w:hAnsi="Arial" w:cs="Arial"/>
                <w:b/>
                <w:bCs/>
                <w:sz w:val="20"/>
                <w:szCs w:val="20"/>
                <w:lang w:val="es-ES_tradnl"/>
              </w:rPr>
              <w:t>DIRECCIÓN NACIONAL DE ASESORÍA JURÍDICA</w:t>
            </w:r>
          </w:p>
          <w:p w:rsidR="00A62F61" w:rsidRPr="00A62F61" w:rsidRDefault="00A62F61" w:rsidP="00A62F61">
            <w:pPr>
              <w:jc w:val="both"/>
              <w:rPr>
                <w:rFonts w:ascii="Arial" w:hAnsi="Arial" w:cs="Arial"/>
                <w:b/>
                <w:sz w:val="20"/>
                <w:szCs w:val="20"/>
                <w:lang w:val="es-US"/>
              </w:rPr>
            </w:pPr>
            <w:r w:rsidRPr="00A62F61">
              <w:rPr>
                <w:rFonts w:ascii="Arial" w:hAnsi="Arial" w:cs="Arial"/>
                <w:b/>
                <w:bCs/>
                <w:sz w:val="20"/>
                <w:szCs w:val="20"/>
                <w:lang w:val="es-ES_tradnl"/>
              </w:rPr>
              <w:t>INSTITUCIONAL</w:t>
            </w:r>
            <w:r w:rsidRPr="00A62F61">
              <w:rPr>
                <w:rFonts w:ascii="Arial" w:hAnsi="Arial" w:cs="Arial"/>
                <w:b/>
                <w:sz w:val="20"/>
                <w:szCs w:val="20"/>
                <w:lang w:val="es-US"/>
              </w:rPr>
              <w:t xml:space="preserve"> </w:t>
            </w:r>
            <w:r w:rsidRPr="00A62F61">
              <w:rPr>
                <w:rFonts w:ascii="Arial" w:hAnsi="Arial" w:cs="Arial"/>
                <w:b/>
                <w:bCs/>
                <w:sz w:val="20"/>
                <w:szCs w:val="20"/>
                <w:lang w:val="es-ES_tradnl"/>
              </w:rPr>
              <w:t>EXTRACTO DE CONSULTA</w:t>
            </w:r>
            <w:r w:rsidRPr="00A62F61">
              <w:rPr>
                <w:rFonts w:ascii="Arial" w:hAnsi="Arial" w:cs="Arial"/>
                <w:b/>
                <w:sz w:val="20"/>
                <w:szCs w:val="20"/>
                <w:lang w:val="es-US"/>
              </w:rPr>
              <w:t xml:space="preserve"> </w:t>
            </w:r>
            <w:r w:rsidRPr="00A62F61">
              <w:rPr>
                <w:rFonts w:ascii="Arial" w:hAnsi="Arial" w:cs="Arial"/>
                <w:b/>
                <w:bCs/>
                <w:sz w:val="20"/>
                <w:szCs w:val="20"/>
                <w:lang w:val="es-ES_tradnl"/>
              </w:rPr>
              <w:t>OCTUBRE 2016</w:t>
            </w:r>
          </w:p>
          <w:p w:rsidR="00A62F61" w:rsidRPr="00A62F61" w:rsidRDefault="00A62F61" w:rsidP="00A62F61">
            <w:pPr>
              <w:jc w:val="both"/>
              <w:rPr>
                <w:rFonts w:ascii="Arial" w:hAnsi="Arial" w:cs="Arial"/>
                <w:b/>
                <w:sz w:val="20"/>
                <w:szCs w:val="20"/>
                <w:lang w:val="es-ES_tradnl"/>
              </w:rPr>
            </w:pPr>
          </w:p>
          <w:p w:rsidR="00A62F61" w:rsidRPr="00A62F61" w:rsidRDefault="00A62F61" w:rsidP="00A62F61">
            <w:pPr>
              <w:jc w:val="both"/>
              <w:rPr>
                <w:rFonts w:ascii="Arial" w:hAnsi="Arial" w:cs="Arial"/>
                <w:sz w:val="20"/>
                <w:szCs w:val="20"/>
                <w:lang w:val="es-US"/>
              </w:rPr>
            </w:pPr>
            <w:r w:rsidRPr="00A62F61">
              <w:rPr>
                <w:rFonts w:ascii="Arial" w:hAnsi="Arial" w:cs="Arial"/>
                <w:b/>
                <w:sz w:val="20"/>
                <w:szCs w:val="20"/>
                <w:lang w:val="es-US"/>
              </w:rPr>
              <w:t xml:space="preserve">Expedido por: </w:t>
            </w:r>
            <w:r w:rsidRPr="00A62F61">
              <w:rPr>
                <w:rFonts w:ascii="Arial" w:hAnsi="Arial" w:cs="Arial"/>
                <w:sz w:val="20"/>
                <w:szCs w:val="20"/>
                <w:lang w:val="es-US"/>
              </w:rPr>
              <w:t>Oficio</w:t>
            </w:r>
            <w:r w:rsidRPr="00A62F61">
              <w:rPr>
                <w:rFonts w:ascii="Arial" w:hAnsi="Arial" w:cs="Arial"/>
                <w:b/>
                <w:bCs/>
                <w:sz w:val="20"/>
                <w:szCs w:val="20"/>
                <w:lang w:val="es-ES_tradnl"/>
              </w:rPr>
              <w:t xml:space="preserve"> PGE. </w:t>
            </w:r>
            <w:r w:rsidRPr="00A62F61">
              <w:rPr>
                <w:rFonts w:ascii="Arial" w:hAnsi="Arial" w:cs="Arial"/>
                <w:sz w:val="20"/>
                <w:szCs w:val="20"/>
                <w:lang w:val="es-ES_tradnl"/>
              </w:rPr>
              <w:t>N°: 08114 de 10-10-2016,</w:t>
            </w:r>
            <w:r w:rsidRPr="00A62F61">
              <w:rPr>
                <w:rFonts w:ascii="Arial" w:hAnsi="Arial" w:cs="Arial"/>
                <w:sz w:val="20"/>
                <w:szCs w:val="20"/>
                <w:lang w:val="es-US"/>
              </w:rPr>
              <w:t xml:space="preserve"> publicado en el Registro Oficial No. 911 de 28 de diciembre de 2016 </w:t>
            </w:r>
          </w:p>
          <w:p w:rsidR="00A62F61" w:rsidRPr="00A62F61" w:rsidRDefault="00A62F61" w:rsidP="00A62F61">
            <w:pPr>
              <w:jc w:val="both"/>
              <w:rPr>
                <w:rFonts w:ascii="Arial" w:hAnsi="Arial" w:cs="Arial"/>
                <w:b/>
                <w:sz w:val="20"/>
                <w:szCs w:val="20"/>
                <w:lang w:val="es-ES_tradnl"/>
              </w:rPr>
            </w:pPr>
            <w:r w:rsidRPr="00A62F61">
              <w:rPr>
                <w:rFonts w:ascii="Arial" w:hAnsi="Arial" w:cs="Arial"/>
                <w:sz w:val="20"/>
                <w:szCs w:val="20"/>
                <w:lang w:val="es-US"/>
              </w:rPr>
              <w:t xml:space="preserve"> </w:t>
            </w:r>
          </w:p>
          <w:p w:rsidR="00A62F61" w:rsidRPr="00A62F61" w:rsidRDefault="00A62F61" w:rsidP="00A62F61">
            <w:pPr>
              <w:jc w:val="both"/>
              <w:rPr>
                <w:rFonts w:ascii="Arial" w:hAnsi="Arial" w:cs="Arial"/>
                <w:sz w:val="20"/>
                <w:szCs w:val="20"/>
                <w:lang w:val="es-US"/>
              </w:rPr>
            </w:pPr>
            <w:r w:rsidRPr="00A62F61">
              <w:rPr>
                <w:rFonts w:ascii="Arial" w:hAnsi="Arial" w:cs="Arial"/>
                <w:b/>
                <w:sz w:val="20"/>
                <w:szCs w:val="20"/>
                <w:lang w:val="es-US"/>
              </w:rPr>
              <w:t>Novedad:</w:t>
            </w:r>
            <w:r w:rsidRPr="00A62F61">
              <w:rPr>
                <w:rFonts w:ascii="Arial" w:hAnsi="Arial" w:cs="Arial"/>
                <w:sz w:val="20"/>
                <w:szCs w:val="20"/>
                <w:lang w:val="es-US"/>
              </w:rPr>
              <w:t xml:space="preserve"> Nuevo</w:t>
            </w:r>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hyperlink r:id="rId14" w:history="1">
              <w:r w:rsidRPr="00A62F61">
                <w:rPr>
                  <w:rStyle w:val="Hipervnculo"/>
                  <w:rFonts w:ascii="Arial" w:hAnsi="Arial" w:cs="Arial"/>
                  <w:sz w:val="20"/>
                  <w:szCs w:val="20"/>
                  <w:lang w:val="es-US"/>
                </w:rPr>
                <w:t>Ver Vigencia</w:t>
              </w:r>
            </w:hyperlink>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 xml:space="preserve">CONSULTANTE: </w:t>
            </w:r>
            <w:r w:rsidRPr="00A62F61">
              <w:rPr>
                <w:rFonts w:ascii="Arial" w:hAnsi="Arial" w:cs="Arial"/>
                <w:sz w:val="20"/>
                <w:szCs w:val="20"/>
                <w:lang w:val="es-ES_tradnl"/>
              </w:rPr>
              <w:t>GOBIERNO AUTÓNOMO DESCENTRALIZADO   MUNICIPAL   DEL   CANTÓN IBARRA</w:t>
            </w: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CONSULTA:</w:t>
            </w:r>
          </w:p>
          <w:p w:rsidR="00A62F61" w:rsidRPr="0030615E" w:rsidRDefault="00A62F61" w:rsidP="00A62F61">
            <w:pPr>
              <w:jc w:val="both"/>
              <w:rPr>
                <w:rFonts w:ascii="Arial" w:hAnsi="Arial" w:cs="Arial"/>
                <w:sz w:val="20"/>
                <w:szCs w:val="20"/>
                <w:lang w:val="es-ES_tradnl"/>
              </w:rPr>
            </w:pPr>
            <w:r w:rsidRPr="00A62F61">
              <w:rPr>
                <w:rFonts w:ascii="Arial" w:hAnsi="Arial" w:cs="Arial"/>
                <w:sz w:val="20"/>
                <w:szCs w:val="20"/>
                <w:lang w:val="es-ES_tradnl"/>
              </w:rPr>
              <w:t xml:space="preserve">“¿Para la celebración de los contratos de comodato de bienes de propiedad municipal, se requiere la </w:t>
            </w:r>
            <w:r w:rsidRPr="00A62F61">
              <w:rPr>
                <w:rFonts w:ascii="Arial" w:hAnsi="Arial" w:cs="Arial"/>
                <w:sz w:val="20"/>
                <w:szCs w:val="20"/>
                <w:lang w:val="es-ES_tradnl"/>
              </w:rPr>
              <w:lastRenderedPageBreak/>
              <w:t>autorización del Concejo Municipal, en la forma establecida en el literal n) del Artículo 60 del Código Orgánico de Organización Territorial, Autonomía y Descentralización?”.</w:t>
            </w:r>
          </w:p>
          <w:p w:rsidR="00A62F61" w:rsidRPr="00A62F61" w:rsidRDefault="00A62F61" w:rsidP="00A62F61">
            <w:pPr>
              <w:jc w:val="both"/>
              <w:rPr>
                <w:rFonts w:ascii="Arial" w:hAnsi="Arial" w:cs="Arial"/>
                <w:b/>
                <w:bCs/>
                <w:sz w:val="20"/>
                <w:szCs w:val="20"/>
                <w:lang w:val="es-ES_tradnl"/>
              </w:rPr>
            </w:pP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PRONUNCIAMIENTO:</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El artículo 2077 del Código Civil define al comodato o préstamo de uso, como “(…) un contrato en que una de</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US"/>
              </w:rPr>
              <w:br w:type="column"/>
            </w:r>
            <w:proofErr w:type="gramStart"/>
            <w:r w:rsidRPr="00A62F61">
              <w:rPr>
                <w:rFonts w:ascii="Arial" w:hAnsi="Arial" w:cs="Arial"/>
                <w:sz w:val="20"/>
                <w:szCs w:val="20"/>
                <w:lang w:val="es-ES_tradnl"/>
              </w:rPr>
              <w:t>las</w:t>
            </w:r>
            <w:proofErr w:type="gramEnd"/>
            <w:r w:rsidRPr="00A62F61">
              <w:rPr>
                <w:rFonts w:ascii="Arial" w:hAnsi="Arial" w:cs="Arial"/>
                <w:sz w:val="20"/>
                <w:szCs w:val="20"/>
                <w:lang w:val="es-ES_tradnl"/>
              </w:rPr>
              <w:t xml:space="preserve"> partes entrega a la otra gratuitamente una especie, mueble o raíz, para que haga uso de ella, con cargo de restituir la misma especie después de terminado el uso”; estableciendo en su inciso final que este se perfecciona con la tradición de la cosa.</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Sobre el derecho de uso del bien en comodato, el artículo 2079 del Código Civil dispone que “El comodante conserva sobre la cosa prestada todos los derechos que antes tenía, pero no su ejercicio, en cuanto fuere incompatible con el uso concedido al comodatario.”</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De lo hasta aquí señalado se establece que en los contratos de comodato, los gobiernos autónomos descentralizados comprometen su patrimonio al obligarse a la entrega de un bien mueble o inmueble a favor de un tercero, para su uso por un tiempo determinado en la forma convenida en dicho contrato.</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Por lo expuesto, en atención a los términos de su consulta, se concluye que de acuerdo a lo establecido en la letra n) del artículo 60 del Código Orgánico de Organización Territorial, Autonomía y Descentralización y el artículo 4 del Reglamento General para la Administración, Utilización, Manejo y Control de los Bienes y Existencias del Sector Público, corresponde al Concejo Municipal en ejercicio de su facultad legislativa, contenida en la letra a) del artículo 57 del Código Ibídem normar los casos y montos en los cuales el Alcalde requiere su autorización para suscribir contratos de comodato de bienes muebles o inmuebles que formen parte del patrimonio de los gobiernos autónomos descentralizados municipales.</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El presente pronunciamiento se limita a la inteligencia de normas jurídicas, siendo responsabilidad de la entidad consultante la aplicación de las disposiciones legales y reglamentarias a casos particulares.</w:t>
            </w:r>
          </w:p>
          <w:p w:rsidR="00A62F61" w:rsidRPr="00A62F61" w:rsidRDefault="00A62F61" w:rsidP="00A62F61">
            <w:pPr>
              <w:jc w:val="both"/>
              <w:rPr>
                <w:rFonts w:ascii="Arial" w:hAnsi="Arial" w:cs="Arial"/>
                <w:b/>
                <w:sz w:val="20"/>
                <w:szCs w:val="20"/>
                <w:lang w:val="es-US"/>
              </w:rPr>
            </w:pPr>
          </w:p>
          <w:p w:rsidR="00A62F61" w:rsidRPr="00A62F61" w:rsidRDefault="00A62F61" w:rsidP="00A62F61">
            <w:pPr>
              <w:jc w:val="both"/>
              <w:rPr>
                <w:rFonts w:ascii="Arial" w:hAnsi="Arial" w:cs="Arial"/>
                <w:b/>
                <w:sz w:val="20"/>
                <w:szCs w:val="20"/>
                <w:lang w:val="es-US"/>
              </w:rPr>
            </w:pPr>
          </w:p>
        </w:tc>
      </w:tr>
    </w:tbl>
    <w:p w:rsidR="00A62F61" w:rsidRPr="00A62F61" w:rsidRDefault="00A62F61" w:rsidP="00A62F61">
      <w:pPr>
        <w:jc w:val="both"/>
        <w:rPr>
          <w:rFonts w:ascii="Arial" w:hAnsi="Arial" w:cs="Arial"/>
          <w:sz w:val="20"/>
          <w:szCs w:val="20"/>
          <w:lang w:val="es-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62F61" w:rsidRPr="00A62F61" w:rsidTr="0030615E">
        <w:trPr>
          <w:trHeight w:val="6084"/>
        </w:trPr>
        <w:tc>
          <w:tcPr>
            <w:tcW w:w="9257" w:type="dxa"/>
            <w:shd w:val="clear" w:color="auto" w:fill="DDFFFF"/>
          </w:tcPr>
          <w:p w:rsidR="00A62F61" w:rsidRPr="00A62F61" w:rsidRDefault="0030615E" w:rsidP="00A62F61">
            <w:pPr>
              <w:jc w:val="both"/>
              <w:rPr>
                <w:rFonts w:ascii="Arial" w:hAnsi="Arial" w:cs="Arial"/>
                <w:sz w:val="20"/>
                <w:szCs w:val="20"/>
                <w:lang w:val="es-US"/>
              </w:rPr>
            </w:pPr>
            <w:r w:rsidRPr="00A62F61">
              <w:rPr>
                <w:rFonts w:ascii="Arial" w:hAnsi="Arial" w:cs="Arial"/>
                <w:sz w:val="20"/>
                <w:szCs w:val="20"/>
              </w:rPr>
              <w:lastRenderedPageBreak/>
              <mc:AlternateContent>
                <mc:Choice Requires="wps">
                  <w:drawing>
                    <wp:anchor distT="0" distB="0" distL="114300" distR="114300" simplePos="0" relativeHeight="251663360" behindDoc="0" locked="0" layoutInCell="1" allowOverlap="1" wp14:anchorId="79723EFF" wp14:editId="2EE7C3F5">
                      <wp:simplePos x="0" y="0"/>
                      <wp:positionH relativeFrom="margin">
                        <wp:posOffset>-89535</wp:posOffset>
                      </wp:positionH>
                      <wp:positionV relativeFrom="paragraph">
                        <wp:posOffset>-444500</wp:posOffset>
                      </wp:positionV>
                      <wp:extent cx="1885950" cy="228600"/>
                      <wp:effectExtent l="0" t="0" r="19050" b="190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28600"/>
                              </a:xfrm>
                              <a:prstGeom prst="rect">
                                <a:avLst/>
                              </a:prstGeom>
                              <a:solidFill>
                                <a:srgbClr val="000080"/>
                              </a:solidFill>
                              <a:ln w="9525">
                                <a:solidFill>
                                  <a:srgbClr val="000080"/>
                                </a:solidFill>
                                <a:miter lim="800000"/>
                                <a:headEnd/>
                                <a:tailEnd/>
                              </a:ln>
                            </wps:spPr>
                            <wps:txbx>
                              <w:txbxContent>
                                <w:p w:rsidR="00A62F61" w:rsidRPr="00567E83" w:rsidRDefault="00A62F61" w:rsidP="00A62F61">
                                  <w:pPr>
                                    <w:jc w:val="both"/>
                                    <w:rPr>
                                      <w:b/>
                                      <w:color w:val="FFFFFF"/>
                                    </w:rPr>
                                  </w:pPr>
                                  <w:r>
                                    <w:rPr>
                                      <w:b/>
                                      <w:color w:val="FFFFFF"/>
                                    </w:rPr>
                                    <w:t>Viernes  30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 o:spid="_x0000_s1031" type="#_x0000_t202" style="position:absolute;left:0;text-align:left;margin-left:-7.05pt;margin-top:-35pt;width:148.5pt;height:1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" fillcolor="navy" strokecolor="navy">
                      <v:textbox>
                        <w:txbxContent>
                          <w:p w:rsidR="00A62F61" w:rsidRPr="00567E83" w:rsidRDefault="00A62F61" w:rsidP="00A62F61">
                            <w:pPr>
                              <w:jc w:val="both"/>
                              <w:rPr>
                                <w:b/>
                                <w:color w:val="FFFFFF"/>
                              </w:rPr>
                            </w:pPr>
                            <w:r>
                              <w:rPr>
                                <w:b/>
                                <w:color w:val="FFFFFF"/>
                              </w:rPr>
                              <w:t>Viernes  30  de Diciembre</w:t>
                            </w:r>
                          </w:p>
                        </w:txbxContent>
                      </v:textbox>
                      <w10:wrap anchorx="margin"/>
                    </v:shape>
                  </w:pict>
                </mc:Fallback>
              </mc:AlternateContent>
            </w: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LEY ORGÁNICA DE EXTINCIÓN DE</w:t>
            </w:r>
            <w:r w:rsidRPr="00A62F61">
              <w:rPr>
                <w:rFonts w:ascii="Arial" w:hAnsi="Arial" w:cs="Arial"/>
                <w:b/>
                <w:sz w:val="20"/>
                <w:szCs w:val="20"/>
                <w:lang w:val="es-US"/>
              </w:rPr>
              <w:t xml:space="preserve"> </w:t>
            </w:r>
            <w:r w:rsidRPr="00A62F61">
              <w:rPr>
                <w:rFonts w:ascii="Arial" w:hAnsi="Arial" w:cs="Arial"/>
                <w:b/>
                <w:bCs/>
                <w:sz w:val="20"/>
                <w:szCs w:val="20"/>
                <w:lang w:val="es-ES_tradnl"/>
              </w:rPr>
              <w:t>LAS UNIVERSIDADES Y ESCUELAS</w:t>
            </w:r>
            <w:r w:rsidRPr="00A62F61">
              <w:rPr>
                <w:rFonts w:ascii="Arial" w:hAnsi="Arial" w:cs="Arial"/>
                <w:b/>
                <w:sz w:val="20"/>
                <w:szCs w:val="20"/>
                <w:lang w:val="es-US"/>
              </w:rPr>
              <w:t xml:space="preserve"> </w:t>
            </w:r>
            <w:r w:rsidRPr="00A62F61">
              <w:rPr>
                <w:rFonts w:ascii="Arial" w:hAnsi="Arial" w:cs="Arial"/>
                <w:b/>
                <w:bCs/>
                <w:sz w:val="20"/>
                <w:szCs w:val="20"/>
                <w:lang w:val="es-ES_tradnl"/>
              </w:rPr>
              <w:t>POLITÉCNICAS SUSPENDIDAS POR EL</w:t>
            </w:r>
            <w:r w:rsidRPr="00A62F61">
              <w:rPr>
                <w:rFonts w:ascii="Arial" w:hAnsi="Arial" w:cs="Arial"/>
                <w:b/>
                <w:sz w:val="20"/>
                <w:szCs w:val="20"/>
                <w:lang w:val="es-US"/>
              </w:rPr>
              <w:t xml:space="preserve"> </w:t>
            </w:r>
            <w:r w:rsidRPr="00A62F61">
              <w:rPr>
                <w:rFonts w:ascii="Arial" w:hAnsi="Arial" w:cs="Arial"/>
                <w:b/>
                <w:bCs/>
                <w:sz w:val="20"/>
                <w:szCs w:val="20"/>
                <w:lang w:val="es-ES_tradnl"/>
              </w:rPr>
              <w:t>CONSEJO DE EVALUACIÓN, ACREDITACIÓN</w:t>
            </w:r>
            <w:r w:rsidRPr="00A62F61">
              <w:rPr>
                <w:rFonts w:ascii="Arial" w:hAnsi="Arial" w:cs="Arial"/>
                <w:b/>
                <w:sz w:val="20"/>
                <w:szCs w:val="20"/>
                <w:lang w:val="es-US"/>
              </w:rPr>
              <w:t xml:space="preserve"> </w:t>
            </w:r>
            <w:r w:rsidRPr="00A62F61">
              <w:rPr>
                <w:rFonts w:ascii="Arial" w:hAnsi="Arial" w:cs="Arial"/>
                <w:b/>
                <w:bCs/>
                <w:sz w:val="20"/>
                <w:szCs w:val="20"/>
                <w:lang w:val="es-ES_tradnl"/>
              </w:rPr>
              <w:t>Y ASEGURAMIENTO DE LA CALIDAD DE</w:t>
            </w:r>
            <w:r w:rsidRPr="00A62F61">
              <w:rPr>
                <w:rFonts w:ascii="Arial" w:hAnsi="Arial" w:cs="Arial"/>
                <w:b/>
                <w:sz w:val="20"/>
                <w:szCs w:val="20"/>
                <w:lang w:val="es-US"/>
              </w:rPr>
              <w:t xml:space="preserve"> </w:t>
            </w:r>
            <w:r w:rsidRPr="00A62F61">
              <w:rPr>
                <w:rFonts w:ascii="Arial" w:hAnsi="Arial" w:cs="Arial"/>
                <w:b/>
                <w:bCs/>
                <w:sz w:val="20"/>
                <w:szCs w:val="20"/>
                <w:lang w:val="es-ES_tradnl"/>
              </w:rPr>
              <w:t>LA EDUCACIÓN SUPERIOR (CEAACES) Y,</w:t>
            </w:r>
            <w:r w:rsidRPr="00A62F61">
              <w:rPr>
                <w:rFonts w:ascii="Arial" w:hAnsi="Arial" w:cs="Arial"/>
                <w:b/>
                <w:sz w:val="20"/>
                <w:szCs w:val="20"/>
                <w:lang w:val="es-US"/>
              </w:rPr>
              <w:t xml:space="preserve"> </w:t>
            </w:r>
            <w:r w:rsidRPr="00A62F61">
              <w:rPr>
                <w:rFonts w:ascii="Arial" w:hAnsi="Arial" w:cs="Arial"/>
                <w:b/>
                <w:bCs/>
                <w:sz w:val="20"/>
                <w:szCs w:val="20"/>
                <w:lang w:val="es-ES_tradnl"/>
              </w:rPr>
              <w:t>MECANISMOS PARA ASEGURAR LA</w:t>
            </w:r>
            <w:r w:rsidRPr="00A62F61">
              <w:rPr>
                <w:rFonts w:ascii="Arial" w:hAnsi="Arial" w:cs="Arial"/>
                <w:b/>
                <w:sz w:val="20"/>
                <w:szCs w:val="20"/>
                <w:lang w:val="es-US"/>
              </w:rPr>
              <w:t xml:space="preserve"> </w:t>
            </w:r>
            <w:r w:rsidRPr="00A62F61">
              <w:rPr>
                <w:rFonts w:ascii="Arial" w:hAnsi="Arial" w:cs="Arial"/>
                <w:b/>
                <w:bCs/>
                <w:sz w:val="20"/>
                <w:szCs w:val="20"/>
                <w:lang w:val="es-ES_tradnl"/>
              </w:rPr>
              <w:t>EFICIENCIA EN LA DISTRIBUCIÓN Y USO DE</w:t>
            </w:r>
            <w:r w:rsidRPr="00A62F61">
              <w:rPr>
                <w:rFonts w:ascii="Arial" w:hAnsi="Arial" w:cs="Arial"/>
                <w:b/>
                <w:sz w:val="20"/>
                <w:szCs w:val="20"/>
                <w:lang w:val="es-US"/>
              </w:rPr>
              <w:t xml:space="preserve"> </w:t>
            </w:r>
            <w:r w:rsidRPr="00A62F61">
              <w:rPr>
                <w:rFonts w:ascii="Arial" w:hAnsi="Arial" w:cs="Arial"/>
                <w:b/>
                <w:bCs/>
                <w:sz w:val="20"/>
                <w:szCs w:val="20"/>
                <w:lang w:val="es-ES_tradnl"/>
              </w:rPr>
              <w:t>RECURSOS PÚBLICOS EN EL SISTEMA DE</w:t>
            </w:r>
            <w:r w:rsidRPr="00A62F61">
              <w:rPr>
                <w:rFonts w:ascii="Arial" w:hAnsi="Arial" w:cs="Arial"/>
                <w:b/>
                <w:sz w:val="20"/>
                <w:szCs w:val="20"/>
                <w:lang w:val="es-US"/>
              </w:rPr>
              <w:t xml:space="preserve"> </w:t>
            </w:r>
            <w:r w:rsidRPr="00A62F61">
              <w:rPr>
                <w:rFonts w:ascii="Arial" w:hAnsi="Arial" w:cs="Arial"/>
                <w:b/>
                <w:bCs/>
                <w:sz w:val="20"/>
                <w:szCs w:val="20"/>
                <w:lang w:val="es-ES_tradnl"/>
              </w:rPr>
              <w:t>EDUCACIÓN SUPERIOR</w:t>
            </w:r>
          </w:p>
          <w:p w:rsidR="00A62F61" w:rsidRPr="00A62F61" w:rsidRDefault="00A62F61" w:rsidP="00A62F61">
            <w:pPr>
              <w:jc w:val="both"/>
              <w:rPr>
                <w:rFonts w:ascii="Arial" w:hAnsi="Arial" w:cs="Arial"/>
                <w:b/>
                <w:sz w:val="20"/>
                <w:szCs w:val="20"/>
                <w:lang w:val="es-ES_tradnl"/>
              </w:rPr>
            </w:pPr>
          </w:p>
          <w:p w:rsidR="00A62F61" w:rsidRPr="00A62F61" w:rsidRDefault="00A62F61" w:rsidP="00A62F61">
            <w:pPr>
              <w:jc w:val="both"/>
              <w:rPr>
                <w:rFonts w:ascii="Arial" w:hAnsi="Arial" w:cs="Arial"/>
                <w:sz w:val="20"/>
                <w:szCs w:val="20"/>
                <w:lang w:val="es-US"/>
              </w:rPr>
            </w:pPr>
            <w:r w:rsidRPr="00A62F61">
              <w:rPr>
                <w:rFonts w:ascii="Arial" w:hAnsi="Arial" w:cs="Arial"/>
                <w:b/>
                <w:sz w:val="20"/>
                <w:szCs w:val="20"/>
                <w:lang w:val="es-US"/>
              </w:rPr>
              <w:t>Expedido por: Ley S/N</w:t>
            </w:r>
            <w:r w:rsidRPr="00A62F61">
              <w:rPr>
                <w:rFonts w:ascii="Arial" w:hAnsi="Arial" w:cs="Arial"/>
                <w:sz w:val="20"/>
                <w:szCs w:val="20"/>
                <w:lang w:val="es-US"/>
              </w:rPr>
              <w:t xml:space="preserve">, publicada en el Suplemento Registro Oficial 913 de 30 de diciembre de2016  </w:t>
            </w:r>
          </w:p>
          <w:p w:rsidR="00A62F61" w:rsidRPr="00A62F61" w:rsidRDefault="00A62F61" w:rsidP="00A62F61">
            <w:pPr>
              <w:jc w:val="both"/>
              <w:rPr>
                <w:rFonts w:ascii="Arial" w:hAnsi="Arial" w:cs="Arial"/>
                <w:b/>
                <w:sz w:val="20"/>
                <w:szCs w:val="20"/>
                <w:lang w:val="es-US"/>
              </w:rPr>
            </w:pPr>
          </w:p>
          <w:p w:rsidR="00A62F61" w:rsidRPr="00A62F61" w:rsidRDefault="00A62F61" w:rsidP="00A62F61">
            <w:pPr>
              <w:jc w:val="both"/>
              <w:rPr>
                <w:rFonts w:ascii="Arial" w:hAnsi="Arial" w:cs="Arial"/>
                <w:sz w:val="20"/>
                <w:szCs w:val="20"/>
                <w:lang w:val="es-US"/>
              </w:rPr>
            </w:pPr>
            <w:r w:rsidRPr="00A62F61">
              <w:rPr>
                <w:rFonts w:ascii="Arial" w:hAnsi="Arial" w:cs="Arial"/>
                <w:b/>
                <w:sz w:val="20"/>
                <w:szCs w:val="20"/>
                <w:lang w:val="es-US"/>
              </w:rPr>
              <w:t>Novedad:</w:t>
            </w:r>
            <w:r w:rsidRPr="00A62F61">
              <w:rPr>
                <w:rFonts w:ascii="Arial" w:hAnsi="Arial" w:cs="Arial"/>
                <w:sz w:val="20"/>
                <w:szCs w:val="20"/>
                <w:lang w:val="es-US"/>
              </w:rPr>
              <w:t xml:space="preserve"> Nuevo</w:t>
            </w:r>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US"/>
              </w:rPr>
              <w:t>Ver Vigencia</w:t>
            </w:r>
          </w:p>
          <w:p w:rsidR="00A62F61" w:rsidRPr="00A62F61" w:rsidRDefault="00A62F61" w:rsidP="00A62F61">
            <w:pPr>
              <w:jc w:val="both"/>
              <w:rPr>
                <w:rFonts w:ascii="Arial" w:hAnsi="Arial" w:cs="Arial"/>
                <w:sz w:val="20"/>
                <w:szCs w:val="20"/>
                <w:lang w:val="es-US"/>
              </w:rPr>
            </w:pPr>
          </w:p>
          <w:p w:rsidR="00A62F61" w:rsidRPr="00A83A18" w:rsidRDefault="00A62F61" w:rsidP="00A62F61">
            <w:pPr>
              <w:jc w:val="both"/>
              <w:rPr>
                <w:rFonts w:ascii="Arial" w:hAnsi="Arial" w:cs="Arial"/>
                <w:sz w:val="20"/>
                <w:szCs w:val="20"/>
                <w:lang w:val="es-ES_tradnl"/>
              </w:rPr>
            </w:pPr>
            <w:r w:rsidRPr="00A62F61">
              <w:rPr>
                <w:rFonts w:ascii="Arial" w:hAnsi="Arial" w:cs="Arial"/>
                <w:b/>
                <w:bCs/>
                <w:sz w:val="20"/>
                <w:szCs w:val="20"/>
                <w:lang w:val="es-ES_tradnl"/>
              </w:rPr>
              <w:t xml:space="preserve">Artículo 1.- Ámbito.- </w:t>
            </w:r>
            <w:r w:rsidRPr="00A62F61">
              <w:rPr>
                <w:rFonts w:ascii="Arial" w:hAnsi="Arial" w:cs="Arial"/>
                <w:sz w:val="20"/>
                <w:szCs w:val="20"/>
                <w:lang w:val="es-ES_tradnl"/>
              </w:rPr>
              <w:t>Esta Ley es de aplicación obligatoria para los organismos e instituciones que integran y rigen el Sistema de Educación Superior, en relación a la extinción de las universidades y escuelas politécnicas suspendidas definitivamente por el Consejo de Evaluación, Acreditación y Aseguramiento de la Calidad de la Educación Superior (CEAACES) y, a los mecanismos que aseguren la rendición de cuentas, la distribución y uso efic</w:t>
            </w:r>
            <w:r w:rsidR="00A83A18">
              <w:rPr>
                <w:rFonts w:ascii="Arial" w:hAnsi="Arial" w:cs="Arial"/>
                <w:sz w:val="20"/>
                <w:szCs w:val="20"/>
                <w:lang w:val="es-ES_tradnl"/>
              </w:rPr>
              <w:t>iente de los recursos públicos.</w:t>
            </w:r>
          </w:p>
          <w:p w:rsidR="00A62F61" w:rsidRPr="00A83A18" w:rsidRDefault="00A62F61" w:rsidP="00A62F61">
            <w:pPr>
              <w:jc w:val="both"/>
              <w:rPr>
                <w:rFonts w:ascii="Arial" w:hAnsi="Arial" w:cs="Arial"/>
                <w:sz w:val="20"/>
                <w:szCs w:val="20"/>
                <w:lang w:val="es-ES_tradnl"/>
              </w:rPr>
            </w:pPr>
            <w:r w:rsidRPr="00A62F61">
              <w:rPr>
                <w:rFonts w:ascii="Arial" w:hAnsi="Arial" w:cs="Arial"/>
                <w:b/>
                <w:bCs/>
                <w:sz w:val="20"/>
                <w:szCs w:val="20"/>
                <w:lang w:val="es-ES_tradnl"/>
              </w:rPr>
              <w:t xml:space="preserve">Artículo 2.- Del objeto.- </w:t>
            </w:r>
            <w:r w:rsidRPr="00A62F61">
              <w:rPr>
                <w:rFonts w:ascii="Arial" w:hAnsi="Arial" w:cs="Arial"/>
                <w:sz w:val="20"/>
                <w:szCs w:val="20"/>
                <w:lang w:val="es-ES_tradnl"/>
              </w:rPr>
              <w:t>La presente Ley tiene por objeto cerrar definitivamente la etapa de la educación superior que representó la existencia de instituciones que no cumplían con los parámetros de calidad; extinguir a las universidades y escuelas politécnicas suspendidas definitivamente por el Consejo de Evaluación, Acreditación y Aseguramiento de la Calidad de la Educación Superior (CEAACES) creadas mediante Ley; garantizar el derecho a la educación superior de calidad y, establecer los mecanismos que aseguren la rendición de cuentas, la distribución y uso eficiente de los recursos públicos a favor de las instituciones del Sistema d</w:t>
            </w:r>
            <w:r w:rsidR="00A83A18">
              <w:rPr>
                <w:rFonts w:ascii="Arial" w:hAnsi="Arial" w:cs="Arial"/>
                <w:sz w:val="20"/>
                <w:szCs w:val="20"/>
                <w:lang w:val="es-ES_tradnl"/>
              </w:rPr>
              <w:t>e Educación Superior.</w:t>
            </w:r>
          </w:p>
          <w:p w:rsidR="00A62F61" w:rsidRPr="00A83A18" w:rsidRDefault="00A62F61" w:rsidP="00A62F61">
            <w:pPr>
              <w:jc w:val="both"/>
              <w:rPr>
                <w:rFonts w:ascii="Arial" w:hAnsi="Arial" w:cs="Arial"/>
                <w:sz w:val="20"/>
                <w:szCs w:val="20"/>
                <w:lang w:val="es-ES_tradnl"/>
              </w:rPr>
            </w:pPr>
            <w:r w:rsidRPr="00A62F61">
              <w:rPr>
                <w:rFonts w:ascii="Arial" w:hAnsi="Arial" w:cs="Arial"/>
                <w:b/>
                <w:bCs/>
                <w:sz w:val="20"/>
                <w:szCs w:val="20"/>
                <w:lang w:val="es-ES_tradnl"/>
              </w:rPr>
              <w:t xml:space="preserve">Artículo 3.- De la extinción.- </w:t>
            </w:r>
            <w:r w:rsidRPr="00A62F61">
              <w:rPr>
                <w:rFonts w:ascii="Arial" w:hAnsi="Arial" w:cs="Arial"/>
                <w:sz w:val="20"/>
                <w:szCs w:val="20"/>
                <w:lang w:val="es-ES_tradnl"/>
              </w:rPr>
              <w:t>Extínganse en un plazo perentorio de sesenta días a partir de la publicación de la presente Ley en el Registro Oficial las siguientes univers</w:t>
            </w:r>
            <w:r w:rsidR="00A83A18">
              <w:rPr>
                <w:rFonts w:ascii="Arial" w:hAnsi="Arial" w:cs="Arial"/>
                <w:sz w:val="20"/>
                <w:szCs w:val="20"/>
                <w:lang w:val="es-ES_tradnl"/>
              </w:rPr>
              <w:t>idades y escuelas politécnicas:</w:t>
            </w:r>
          </w:p>
          <w:p w:rsidR="00A62F61" w:rsidRPr="00A62F61" w:rsidRDefault="00A62F61" w:rsidP="00A62F61">
            <w:pPr>
              <w:jc w:val="both"/>
              <w:rPr>
                <w:rFonts w:ascii="Arial" w:hAnsi="Arial" w:cs="Arial"/>
                <w:sz w:val="20"/>
                <w:szCs w:val="20"/>
                <w:lang w:val="es-ES_tradnl"/>
              </w:rPr>
            </w:pPr>
            <w:r w:rsidRPr="00A62F61">
              <w:rPr>
                <w:rFonts w:ascii="Arial" w:hAnsi="Arial" w:cs="Arial"/>
                <w:sz w:val="20"/>
                <w:szCs w:val="20"/>
                <w:lang w:val="es-ES_tradnl"/>
              </w:rPr>
              <w:t>Escuela Superior Politécnica Ecológica Amazónica.</w:t>
            </w:r>
          </w:p>
          <w:p w:rsidR="00A62F61" w:rsidRPr="00A62F61" w:rsidRDefault="00A62F61" w:rsidP="00A62F61">
            <w:pPr>
              <w:jc w:val="both"/>
              <w:rPr>
                <w:rFonts w:ascii="Arial" w:hAnsi="Arial" w:cs="Arial"/>
                <w:sz w:val="20"/>
                <w:szCs w:val="20"/>
                <w:lang w:val="es-ES_tradnl"/>
              </w:rPr>
            </w:pPr>
            <w:r w:rsidRPr="00A62F61">
              <w:rPr>
                <w:rFonts w:ascii="Arial" w:hAnsi="Arial" w:cs="Arial"/>
                <w:sz w:val="20"/>
                <w:szCs w:val="20"/>
                <w:lang w:val="es-ES_tradnl"/>
              </w:rPr>
              <w:t>Universidad Tecnológica América.</w:t>
            </w:r>
          </w:p>
          <w:p w:rsidR="00A62F61" w:rsidRPr="00A62F61" w:rsidRDefault="00A62F61" w:rsidP="00A62F61">
            <w:pPr>
              <w:jc w:val="both"/>
              <w:rPr>
                <w:rFonts w:ascii="Arial" w:hAnsi="Arial" w:cs="Arial"/>
                <w:sz w:val="20"/>
                <w:szCs w:val="20"/>
                <w:lang w:val="es-ES_tradnl"/>
              </w:rPr>
            </w:pPr>
            <w:r w:rsidRPr="00A62F61">
              <w:rPr>
                <w:rFonts w:ascii="Arial" w:hAnsi="Arial" w:cs="Arial"/>
                <w:sz w:val="20"/>
                <w:szCs w:val="20"/>
                <w:lang w:val="es-ES_tradnl"/>
              </w:rPr>
              <w:t xml:space="preserve">Escuela   Superior   Politécnica   Ecológica   "Profesor </w:t>
            </w:r>
            <w:proofErr w:type="spellStart"/>
            <w:r w:rsidRPr="00A62F61">
              <w:rPr>
                <w:rFonts w:ascii="Arial" w:hAnsi="Arial" w:cs="Arial"/>
                <w:sz w:val="20"/>
                <w:szCs w:val="20"/>
                <w:lang w:val="es-ES_tradnl"/>
              </w:rPr>
              <w:t>Servio</w:t>
            </w:r>
            <w:proofErr w:type="spellEnd"/>
            <w:r w:rsidRPr="00A62F61">
              <w:rPr>
                <w:rFonts w:ascii="Arial" w:hAnsi="Arial" w:cs="Arial"/>
                <w:sz w:val="20"/>
                <w:szCs w:val="20"/>
                <w:lang w:val="es-ES_tradnl"/>
              </w:rPr>
              <w:t xml:space="preserve"> Tulio Montero </w:t>
            </w:r>
            <w:proofErr w:type="spellStart"/>
            <w:r w:rsidRPr="00A62F61">
              <w:rPr>
                <w:rFonts w:ascii="Arial" w:hAnsi="Arial" w:cs="Arial"/>
                <w:sz w:val="20"/>
                <w:szCs w:val="20"/>
                <w:lang w:val="es-ES_tradnl"/>
              </w:rPr>
              <w:t>Ludeña</w:t>
            </w:r>
            <w:proofErr w:type="spellEnd"/>
            <w:r w:rsidRPr="00A62F61">
              <w:rPr>
                <w:rFonts w:ascii="Arial" w:hAnsi="Arial" w:cs="Arial"/>
                <w:sz w:val="20"/>
                <w:szCs w:val="20"/>
                <w:lang w:val="es-ES_tradnl"/>
              </w:rPr>
              <w:t>".</w:t>
            </w:r>
          </w:p>
          <w:p w:rsidR="0030615E" w:rsidRDefault="00A62F61" w:rsidP="00A62F61">
            <w:pPr>
              <w:jc w:val="both"/>
              <w:rPr>
                <w:rFonts w:ascii="Arial" w:hAnsi="Arial" w:cs="Arial"/>
                <w:sz w:val="20"/>
                <w:szCs w:val="20"/>
                <w:lang w:val="es-ES_tradnl"/>
              </w:rPr>
            </w:pPr>
            <w:r w:rsidRPr="00A62F61">
              <w:rPr>
                <w:rFonts w:ascii="Arial" w:hAnsi="Arial" w:cs="Arial"/>
                <w:sz w:val="20"/>
                <w:szCs w:val="20"/>
                <w:lang w:val="es-ES_tradnl"/>
              </w:rPr>
              <w:t>Universidad Técnica Particular de Cienc</w:t>
            </w:r>
            <w:r w:rsidR="00A83A18">
              <w:rPr>
                <w:rFonts w:ascii="Arial" w:hAnsi="Arial" w:cs="Arial"/>
                <w:sz w:val="20"/>
                <w:szCs w:val="20"/>
                <w:lang w:val="es-ES_tradnl"/>
              </w:rPr>
              <w:t>ias Ambientales "José Peralta".</w:t>
            </w:r>
          </w:p>
          <w:p w:rsidR="00A62F61" w:rsidRPr="00A62F61" w:rsidRDefault="00A62F61" w:rsidP="00A62F61">
            <w:pPr>
              <w:jc w:val="both"/>
              <w:rPr>
                <w:rFonts w:ascii="Arial" w:hAnsi="Arial" w:cs="Arial"/>
                <w:sz w:val="20"/>
                <w:szCs w:val="20"/>
                <w:lang w:val="es-ES_tradnl"/>
              </w:rPr>
            </w:pPr>
            <w:r w:rsidRPr="00A62F61">
              <w:rPr>
                <w:rFonts w:ascii="Arial" w:hAnsi="Arial" w:cs="Arial"/>
                <w:sz w:val="20"/>
                <w:szCs w:val="20"/>
                <w:lang w:val="es-ES_tradnl"/>
              </w:rPr>
              <w:t>Universidad Tecnológica "San Antonio de Máchala".</w:t>
            </w:r>
          </w:p>
          <w:p w:rsidR="00A62F61" w:rsidRPr="00A62F61" w:rsidRDefault="00A62F61" w:rsidP="00A62F61">
            <w:pPr>
              <w:jc w:val="both"/>
              <w:rPr>
                <w:rFonts w:ascii="Arial" w:hAnsi="Arial" w:cs="Arial"/>
                <w:sz w:val="20"/>
                <w:szCs w:val="20"/>
                <w:lang w:val="es-ES_tradnl"/>
              </w:rPr>
            </w:pPr>
            <w:r w:rsidRPr="00A62F61">
              <w:rPr>
                <w:rFonts w:ascii="Arial" w:hAnsi="Arial" w:cs="Arial"/>
                <w:sz w:val="20"/>
                <w:szCs w:val="20"/>
                <w:lang w:val="es-ES_tradnl"/>
              </w:rPr>
              <w:t>Universidad Autónoma de Quito.</w:t>
            </w:r>
          </w:p>
          <w:p w:rsidR="00A62F61" w:rsidRPr="00A62F61" w:rsidRDefault="00A62F61" w:rsidP="00A62F61">
            <w:pPr>
              <w:jc w:val="both"/>
              <w:rPr>
                <w:rFonts w:ascii="Arial" w:hAnsi="Arial" w:cs="Arial"/>
                <w:sz w:val="20"/>
                <w:szCs w:val="20"/>
                <w:lang w:val="es-ES_tradnl"/>
              </w:rPr>
            </w:pPr>
            <w:r w:rsidRPr="00A62F61">
              <w:rPr>
                <w:rFonts w:ascii="Arial" w:hAnsi="Arial" w:cs="Arial"/>
                <w:sz w:val="20"/>
                <w:szCs w:val="20"/>
                <w:lang w:val="es-ES_tradnl"/>
              </w:rPr>
              <w:t>Universidad Cristiana Latinoamericana.</w:t>
            </w:r>
          </w:p>
          <w:p w:rsidR="00A62F61" w:rsidRPr="00A62F61" w:rsidRDefault="00A62F61" w:rsidP="00A62F61">
            <w:pPr>
              <w:jc w:val="both"/>
              <w:rPr>
                <w:rFonts w:ascii="Arial" w:hAnsi="Arial" w:cs="Arial"/>
                <w:sz w:val="20"/>
                <w:szCs w:val="20"/>
                <w:lang w:val="es-ES_tradnl"/>
              </w:rPr>
            </w:pPr>
            <w:r w:rsidRPr="00A62F61">
              <w:rPr>
                <w:rFonts w:ascii="Arial" w:hAnsi="Arial" w:cs="Arial"/>
                <w:sz w:val="20"/>
                <w:szCs w:val="20"/>
                <w:lang w:val="es-ES_tradnl"/>
              </w:rPr>
              <w:lastRenderedPageBreak/>
              <w:t>Universidad "Alfredo Pérez Guerrero".</w:t>
            </w:r>
          </w:p>
          <w:p w:rsidR="00A62F61" w:rsidRPr="00A62F61" w:rsidRDefault="00A62F61" w:rsidP="00A62F61">
            <w:pPr>
              <w:jc w:val="both"/>
              <w:rPr>
                <w:rFonts w:ascii="Arial" w:hAnsi="Arial" w:cs="Arial"/>
                <w:sz w:val="20"/>
                <w:szCs w:val="20"/>
                <w:lang w:val="es-ES_tradnl"/>
              </w:rPr>
            </w:pPr>
            <w:proofErr w:type="spellStart"/>
            <w:r w:rsidRPr="00A62F61">
              <w:rPr>
                <w:rFonts w:ascii="Arial" w:hAnsi="Arial" w:cs="Arial"/>
                <w:sz w:val="20"/>
                <w:szCs w:val="20"/>
                <w:lang w:val="es-ES_tradnl"/>
              </w:rPr>
              <w:t>Universitas</w:t>
            </w:r>
            <w:proofErr w:type="spellEnd"/>
            <w:r w:rsidRPr="00A62F61">
              <w:rPr>
                <w:rFonts w:ascii="Arial" w:hAnsi="Arial" w:cs="Arial"/>
                <w:sz w:val="20"/>
                <w:szCs w:val="20"/>
                <w:lang w:val="es-ES_tradnl"/>
              </w:rPr>
              <w:t xml:space="preserve"> </w:t>
            </w:r>
            <w:proofErr w:type="spellStart"/>
            <w:r w:rsidRPr="00A62F61">
              <w:rPr>
                <w:rFonts w:ascii="Arial" w:hAnsi="Arial" w:cs="Arial"/>
                <w:sz w:val="20"/>
                <w:szCs w:val="20"/>
                <w:lang w:val="es-ES_tradnl"/>
              </w:rPr>
              <w:t>Equatorialis</w:t>
            </w:r>
            <w:proofErr w:type="spellEnd"/>
            <w:r w:rsidRPr="00A62F61">
              <w:rPr>
                <w:rFonts w:ascii="Arial" w:hAnsi="Arial" w:cs="Arial"/>
                <w:sz w:val="20"/>
                <w:szCs w:val="20"/>
                <w:lang w:val="es-ES_tradnl"/>
              </w:rPr>
              <w:t>.</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br w:type="column"/>
              <w:t>Universidad Panamericana de Cuenca.</w:t>
            </w:r>
          </w:p>
          <w:p w:rsidR="00A62F61" w:rsidRPr="00A62F61" w:rsidRDefault="00A62F61" w:rsidP="00A62F61">
            <w:pPr>
              <w:jc w:val="both"/>
              <w:rPr>
                <w:rFonts w:ascii="Arial" w:hAnsi="Arial" w:cs="Arial"/>
                <w:sz w:val="20"/>
                <w:szCs w:val="20"/>
                <w:lang w:val="es-ES_tradnl"/>
              </w:rPr>
            </w:pPr>
            <w:r w:rsidRPr="00A62F61">
              <w:rPr>
                <w:rFonts w:ascii="Arial" w:hAnsi="Arial" w:cs="Arial"/>
                <w:sz w:val="20"/>
                <w:szCs w:val="20"/>
                <w:lang w:val="es-ES_tradnl"/>
              </w:rPr>
              <w:t>Universidad "OG MANDINO".</w:t>
            </w:r>
          </w:p>
          <w:p w:rsidR="00A62F61" w:rsidRPr="00A62F61" w:rsidRDefault="00A62F61" w:rsidP="00A62F61">
            <w:pPr>
              <w:jc w:val="both"/>
              <w:rPr>
                <w:rFonts w:ascii="Arial" w:hAnsi="Arial" w:cs="Arial"/>
                <w:sz w:val="20"/>
                <w:szCs w:val="20"/>
                <w:lang w:val="es-ES_tradnl"/>
              </w:rPr>
            </w:pPr>
            <w:r w:rsidRPr="00A62F61">
              <w:rPr>
                <w:rFonts w:ascii="Arial" w:hAnsi="Arial" w:cs="Arial"/>
                <w:sz w:val="20"/>
                <w:szCs w:val="20"/>
                <w:lang w:val="es-ES_tradnl"/>
              </w:rPr>
              <w:t>Universidad Interamericana del Ecuador.</w:t>
            </w:r>
          </w:p>
          <w:p w:rsidR="00A62F61" w:rsidRDefault="00A62F61" w:rsidP="00A62F61">
            <w:pPr>
              <w:jc w:val="both"/>
              <w:rPr>
                <w:rFonts w:ascii="Arial" w:hAnsi="Arial" w:cs="Arial"/>
                <w:sz w:val="20"/>
                <w:szCs w:val="20"/>
                <w:lang w:val="es-ES_tradnl"/>
              </w:rPr>
            </w:pPr>
            <w:r w:rsidRPr="00A62F61">
              <w:rPr>
                <w:rFonts w:ascii="Arial" w:hAnsi="Arial" w:cs="Arial"/>
                <w:sz w:val="20"/>
                <w:szCs w:val="20"/>
                <w:lang w:val="es-ES_tradnl"/>
              </w:rPr>
              <w:t xml:space="preserve">Universidad </w:t>
            </w:r>
            <w:r w:rsidR="00A83A18">
              <w:rPr>
                <w:rFonts w:ascii="Arial" w:hAnsi="Arial" w:cs="Arial"/>
                <w:sz w:val="20"/>
                <w:szCs w:val="20"/>
                <w:lang w:val="es-ES_tradnl"/>
              </w:rPr>
              <w:t>Intercontinental.</w:t>
            </w:r>
          </w:p>
          <w:p w:rsidR="00A83A18" w:rsidRPr="00A62F61" w:rsidRDefault="00A83A18" w:rsidP="00A62F61">
            <w:pPr>
              <w:jc w:val="both"/>
              <w:rPr>
                <w:rFonts w:ascii="Arial" w:hAnsi="Arial" w:cs="Arial"/>
                <w:sz w:val="20"/>
                <w:szCs w:val="20"/>
                <w:lang w:val="es-ES_tradnl"/>
              </w:rPr>
            </w:pP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 xml:space="preserve">CAPÍTULO </w:t>
            </w:r>
            <w:r w:rsidRPr="00A62F61">
              <w:rPr>
                <w:rFonts w:ascii="Arial" w:hAnsi="Arial" w:cs="Arial"/>
                <w:b/>
                <w:bCs/>
                <w:sz w:val="20"/>
                <w:szCs w:val="20"/>
              </w:rPr>
              <w:t>II</w:t>
            </w:r>
          </w:p>
          <w:p w:rsidR="00A62F61" w:rsidRPr="00A62F61" w:rsidRDefault="00A62F61" w:rsidP="00A62F61">
            <w:pPr>
              <w:jc w:val="both"/>
              <w:rPr>
                <w:rFonts w:ascii="Arial" w:hAnsi="Arial" w:cs="Arial"/>
                <w:b/>
                <w:bCs/>
                <w:sz w:val="20"/>
                <w:szCs w:val="20"/>
                <w:lang w:val="es-ES_tradnl"/>
              </w:rPr>
            </w:pPr>
            <w:r w:rsidRPr="00A62F61">
              <w:rPr>
                <w:rFonts w:ascii="Arial" w:hAnsi="Arial" w:cs="Arial"/>
                <w:b/>
                <w:bCs/>
                <w:sz w:val="20"/>
                <w:szCs w:val="20"/>
                <w:lang w:val="es-ES_tradnl"/>
              </w:rPr>
              <w:t>DEL PATRIMONIO DE LAS UNIVERSIDADES Y ESCUELAS POLITÉCNICAS EXTINTAS</w:t>
            </w:r>
          </w:p>
          <w:p w:rsidR="00A62F61" w:rsidRPr="00A62F61" w:rsidRDefault="00A62F61" w:rsidP="00A62F61">
            <w:pPr>
              <w:jc w:val="both"/>
              <w:rPr>
                <w:rFonts w:ascii="Arial" w:hAnsi="Arial" w:cs="Arial"/>
                <w:sz w:val="20"/>
                <w:szCs w:val="20"/>
                <w:lang w:val="es-US"/>
              </w:rPr>
            </w:pPr>
          </w:p>
          <w:p w:rsidR="00A83A18" w:rsidRDefault="00A62F61" w:rsidP="00A62F61">
            <w:pPr>
              <w:jc w:val="both"/>
              <w:rPr>
                <w:rFonts w:ascii="Arial" w:hAnsi="Arial" w:cs="Arial"/>
                <w:sz w:val="20"/>
                <w:szCs w:val="20"/>
                <w:lang w:val="es-ES_tradnl"/>
              </w:rPr>
            </w:pPr>
            <w:r w:rsidRPr="00A62F61">
              <w:rPr>
                <w:rFonts w:ascii="Arial" w:hAnsi="Arial" w:cs="Arial"/>
                <w:b/>
                <w:bCs/>
                <w:sz w:val="20"/>
                <w:szCs w:val="20"/>
                <w:lang w:val="es-ES_tradnl"/>
              </w:rPr>
              <w:t>Artículo 4.- Constitución del Fideicomiso Mercantil.-</w:t>
            </w:r>
            <w:r w:rsidRPr="00A62F61">
              <w:rPr>
                <w:rFonts w:ascii="Arial" w:hAnsi="Arial" w:cs="Arial"/>
                <w:sz w:val="20"/>
                <w:szCs w:val="20"/>
                <w:lang w:val="es-US"/>
              </w:rPr>
              <w:t xml:space="preserve"> </w:t>
            </w:r>
            <w:r w:rsidRPr="00A62F61">
              <w:rPr>
                <w:rFonts w:ascii="Arial" w:hAnsi="Arial" w:cs="Arial"/>
                <w:sz w:val="20"/>
                <w:szCs w:val="20"/>
                <w:lang w:val="es-ES_tradnl"/>
              </w:rPr>
              <w:t xml:space="preserve">Excepcionalmente y antes de la extinción, en un plazo perentorio de cuarenta y cinco días, a partir de la publicación de la presente Ley en el Registro Oficial, las instituciones de educación superior, referidas en el artículo anterior, tienen la obligación de constituir un fideicomiso mercantil de administración, a través de los administradores temporales, fideicomiso que tendrá como beneficiarías a las instituciones de educación superior determinadas en el </w:t>
            </w:r>
            <w:r w:rsidR="00A83A18">
              <w:rPr>
                <w:rFonts w:ascii="Arial" w:hAnsi="Arial" w:cs="Arial"/>
                <w:sz w:val="20"/>
                <w:szCs w:val="20"/>
                <w:lang w:val="es-ES_tradnl"/>
              </w:rPr>
              <w:t>artículo 14 de la presente Ley.</w:t>
            </w:r>
          </w:p>
          <w:p w:rsidR="00A83A18" w:rsidRPr="00A83A18" w:rsidRDefault="00A83A18" w:rsidP="00A62F61">
            <w:pPr>
              <w:jc w:val="both"/>
              <w:rPr>
                <w:rFonts w:ascii="Arial" w:hAnsi="Arial" w:cs="Arial"/>
                <w:sz w:val="20"/>
                <w:szCs w:val="20"/>
                <w:lang w:val="es-ES_tradnl"/>
              </w:rPr>
            </w:pPr>
          </w:p>
          <w:p w:rsidR="00A62F61" w:rsidRDefault="00A62F61" w:rsidP="00A62F61">
            <w:pPr>
              <w:jc w:val="both"/>
              <w:rPr>
                <w:rFonts w:ascii="Arial" w:hAnsi="Arial" w:cs="Arial"/>
                <w:sz w:val="20"/>
                <w:szCs w:val="20"/>
                <w:lang w:val="es-ES_tradnl"/>
              </w:rPr>
            </w:pPr>
            <w:r w:rsidRPr="00A62F61">
              <w:rPr>
                <w:rFonts w:ascii="Arial" w:hAnsi="Arial" w:cs="Arial"/>
                <w:sz w:val="20"/>
                <w:szCs w:val="20"/>
                <w:lang w:val="es-ES_tradnl"/>
              </w:rPr>
              <w:t>El fideicomiso tendrá por objeto constituir el patrimonio autónomo con los activos de las entidades señaladas en el artículo 3 precedente, para pagar con los resultados de su administración los pasivos a favor de los trabajadores, del sector público, y las acreencias establecidas en el artículo 7 de la presente Ley y transferir los excedentes, en caso de haberlos, a favor de las instituciones de educación superior beneficiarías, de acuerdo a los estatutos de las instituciones suspendidas o a lo establecido por el Consejo de Edu</w:t>
            </w:r>
            <w:r w:rsidR="00A83A18">
              <w:rPr>
                <w:rFonts w:ascii="Arial" w:hAnsi="Arial" w:cs="Arial"/>
                <w:sz w:val="20"/>
                <w:szCs w:val="20"/>
                <w:lang w:val="es-ES_tradnl"/>
              </w:rPr>
              <w:t>cación Superior, según el caso.</w:t>
            </w:r>
          </w:p>
          <w:p w:rsidR="00A83A18" w:rsidRPr="00A83A18" w:rsidRDefault="00A83A18" w:rsidP="00A62F61">
            <w:pPr>
              <w:jc w:val="both"/>
              <w:rPr>
                <w:rFonts w:ascii="Arial" w:hAnsi="Arial" w:cs="Arial"/>
                <w:sz w:val="20"/>
                <w:szCs w:val="20"/>
                <w:lang w:val="es-ES_tradnl"/>
              </w:rPr>
            </w:pPr>
          </w:p>
          <w:p w:rsidR="00A62F61" w:rsidRDefault="00A62F61" w:rsidP="00A62F61">
            <w:pPr>
              <w:jc w:val="both"/>
              <w:rPr>
                <w:rFonts w:ascii="Arial" w:hAnsi="Arial" w:cs="Arial"/>
                <w:sz w:val="20"/>
                <w:szCs w:val="20"/>
                <w:lang w:val="es-ES_tradnl"/>
              </w:rPr>
            </w:pPr>
            <w:r w:rsidRPr="00A62F61">
              <w:rPr>
                <w:rFonts w:ascii="Arial" w:hAnsi="Arial" w:cs="Arial"/>
                <w:sz w:val="20"/>
                <w:szCs w:val="20"/>
                <w:lang w:val="es-ES_tradnl"/>
              </w:rPr>
              <w:t>El fideicomiso será administrado por la Corporación Financiera Nacional, que actuará como Fiduciaria. El fideicomiso tendrá una Junta integrada por tres representantes del Conse</w:t>
            </w:r>
            <w:r w:rsidR="00A83A18">
              <w:rPr>
                <w:rFonts w:ascii="Arial" w:hAnsi="Arial" w:cs="Arial"/>
                <w:sz w:val="20"/>
                <w:szCs w:val="20"/>
                <w:lang w:val="es-ES_tradnl"/>
              </w:rPr>
              <w:t>jo de Educación Superior (CES).</w:t>
            </w:r>
          </w:p>
          <w:p w:rsidR="00A83A18" w:rsidRPr="00A83A18" w:rsidRDefault="00A83A18" w:rsidP="00A62F61">
            <w:pPr>
              <w:jc w:val="both"/>
              <w:rPr>
                <w:rFonts w:ascii="Arial" w:hAnsi="Arial" w:cs="Arial"/>
                <w:sz w:val="20"/>
                <w:szCs w:val="20"/>
                <w:lang w:val="es-ES_tradnl"/>
              </w:rPr>
            </w:pPr>
          </w:p>
          <w:p w:rsidR="00A62F61" w:rsidRDefault="00A62F61" w:rsidP="00A62F61">
            <w:pPr>
              <w:jc w:val="both"/>
              <w:rPr>
                <w:rFonts w:ascii="Arial" w:hAnsi="Arial" w:cs="Arial"/>
                <w:sz w:val="20"/>
                <w:szCs w:val="20"/>
                <w:lang w:val="es-ES_tradnl"/>
              </w:rPr>
            </w:pPr>
            <w:r w:rsidRPr="00A62F61">
              <w:rPr>
                <w:rFonts w:ascii="Arial" w:hAnsi="Arial" w:cs="Arial"/>
                <w:sz w:val="20"/>
                <w:szCs w:val="20"/>
                <w:lang w:val="es-ES_tradnl"/>
              </w:rPr>
              <w:t>Para el cumplimiento del objeto del fideicomiso, la fiduciaria, en un plazo no mayor a doce meses, se encargará de la enajenación de los activos, del pago de las acreencias, de la transferencia de los excedentes, en caso de haberlos, y de la liquidación del fideicomiso, conforme a las resoluciones de procedimiento y control que dicte la Junta del fideicomiso. El plazo para el cumplimiento del objeto del fideicomiso podrá prorrogarse por resolución de la Junta por una sola vez y por un máximo de ciento ochenta días, por causas debidam</w:t>
            </w:r>
            <w:r w:rsidR="00A83A18">
              <w:rPr>
                <w:rFonts w:ascii="Arial" w:hAnsi="Arial" w:cs="Arial"/>
                <w:sz w:val="20"/>
                <w:szCs w:val="20"/>
                <w:lang w:val="es-ES_tradnl"/>
              </w:rPr>
              <w:t>ente justificadas e informadas.</w:t>
            </w:r>
          </w:p>
          <w:p w:rsidR="00A83A18" w:rsidRPr="00A83A18" w:rsidRDefault="00A83A18" w:rsidP="00A62F61">
            <w:pPr>
              <w:jc w:val="both"/>
              <w:rPr>
                <w:rFonts w:ascii="Arial" w:hAnsi="Arial" w:cs="Arial"/>
                <w:sz w:val="20"/>
                <w:szCs w:val="20"/>
                <w:lang w:val="es-ES_tradnl"/>
              </w:rPr>
            </w:pPr>
          </w:p>
          <w:p w:rsidR="00A83A18" w:rsidRDefault="00A62F61" w:rsidP="00A62F61">
            <w:pPr>
              <w:jc w:val="both"/>
              <w:rPr>
                <w:rFonts w:ascii="Arial" w:hAnsi="Arial" w:cs="Arial"/>
                <w:sz w:val="20"/>
                <w:szCs w:val="20"/>
                <w:lang w:val="es-ES_tradnl"/>
              </w:rPr>
            </w:pPr>
            <w:r w:rsidRPr="00A62F61">
              <w:rPr>
                <w:rFonts w:ascii="Arial" w:hAnsi="Arial" w:cs="Arial"/>
                <w:b/>
                <w:bCs/>
                <w:sz w:val="20"/>
                <w:szCs w:val="20"/>
                <w:lang w:val="es-ES_tradnl"/>
              </w:rPr>
              <w:t xml:space="preserve">Artículo 5.- Transferencia del patrimonio.- </w:t>
            </w:r>
            <w:r w:rsidRPr="00A62F61">
              <w:rPr>
                <w:rFonts w:ascii="Arial" w:hAnsi="Arial" w:cs="Arial"/>
                <w:sz w:val="20"/>
                <w:szCs w:val="20"/>
                <w:lang w:val="es-ES_tradnl"/>
              </w:rPr>
              <w:t xml:space="preserve">Los administradores temporales, dentro del plazo </w:t>
            </w:r>
          </w:p>
          <w:p w:rsidR="00A83A18" w:rsidRDefault="00A83A18" w:rsidP="00A62F61">
            <w:pPr>
              <w:jc w:val="both"/>
              <w:rPr>
                <w:rFonts w:ascii="Arial" w:hAnsi="Arial" w:cs="Arial"/>
                <w:sz w:val="20"/>
                <w:szCs w:val="20"/>
                <w:lang w:val="es-ES_tradnl"/>
              </w:rPr>
            </w:pP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establecido en el artículo 3, y antes de la extinción de las universidades y escuelas politécnicas referidas en el artículo 2, en su calidad de representantes legales de estas instituciones, transferirán a título de fideicomiso mercantil a favor del fideicomiso, los activos y derechos de su propiedad, de forma que, una vez registrados e integrados al patrimonio del fideicomiso, sirvan para cubrir los pasivos, otras obligaciones de las universidades y escuelas politécnicas extintas referidas y obligaciones derivadas de la aplicación de la presente Ley.</w:t>
            </w:r>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p>
          <w:p w:rsidR="00A62F61" w:rsidRPr="00A83A18" w:rsidRDefault="0030615E" w:rsidP="00A62F61">
            <w:pPr>
              <w:jc w:val="both"/>
              <w:rPr>
                <w:rFonts w:ascii="Arial" w:hAnsi="Arial" w:cs="Arial"/>
                <w:color w:val="3399FF"/>
                <w:sz w:val="20"/>
                <w:szCs w:val="20"/>
                <w:u w:val="single"/>
                <w:lang w:val="es-US"/>
              </w:rPr>
            </w:pPr>
            <w:r w:rsidRPr="00A83A18">
              <w:rPr>
                <w:rFonts w:ascii="Arial" w:hAnsi="Arial" w:cs="Arial"/>
                <w:color w:val="3399FF"/>
                <w:sz w:val="20"/>
                <w:szCs w:val="20"/>
                <w:u w:val="single"/>
                <w:lang w:val="es-US"/>
              </w:rPr>
              <w:t>Ver Registro Oficial</w:t>
            </w:r>
          </w:p>
        </w:tc>
      </w:tr>
      <w:tr w:rsidR="00A62F61" w:rsidRPr="00A62F61" w:rsidTr="0030615E">
        <w:trPr>
          <w:trHeight w:val="130"/>
        </w:trPr>
        <w:tc>
          <w:tcPr>
            <w:tcW w:w="9257" w:type="dxa"/>
            <w:shd w:val="clear" w:color="auto" w:fill="DDFFFF"/>
          </w:tcPr>
          <w:p w:rsidR="0030615E" w:rsidRDefault="00A62F61" w:rsidP="00A62F61">
            <w:pPr>
              <w:jc w:val="both"/>
              <w:rPr>
                <w:rFonts w:ascii="Arial" w:hAnsi="Arial" w:cs="Arial"/>
                <w:sz w:val="20"/>
                <w:szCs w:val="20"/>
                <w:lang w:val="es-US"/>
              </w:rPr>
            </w:pPr>
            <w:r w:rsidRPr="00A62F61">
              <w:rPr>
                <w:rFonts w:ascii="Arial" w:hAnsi="Arial" w:cs="Arial"/>
                <w:sz w:val="20"/>
                <w:szCs w:val="20"/>
                <w:lang w:val="es-US"/>
              </w:rPr>
              <w:lastRenderedPageBreak/>
              <w:t xml:space="preserve">     </w:t>
            </w:r>
          </w:p>
          <w:p w:rsidR="0030615E" w:rsidRDefault="0030615E" w:rsidP="0030615E">
            <w:pPr>
              <w:jc w:val="center"/>
              <w:rPr>
                <w:rFonts w:ascii="Arial" w:hAnsi="Arial" w:cs="Arial"/>
                <w:b/>
                <w:bCs/>
                <w:sz w:val="20"/>
                <w:szCs w:val="20"/>
                <w:lang w:val="es-ES_tradnl"/>
              </w:rPr>
            </w:pPr>
          </w:p>
          <w:p w:rsidR="00A62F61" w:rsidRPr="00A62F61" w:rsidRDefault="00A62F61" w:rsidP="0030615E">
            <w:pPr>
              <w:jc w:val="center"/>
              <w:rPr>
                <w:rFonts w:ascii="Arial" w:hAnsi="Arial" w:cs="Arial"/>
                <w:sz w:val="20"/>
                <w:szCs w:val="20"/>
                <w:lang w:val="es-US"/>
              </w:rPr>
            </w:pPr>
            <w:r w:rsidRPr="00A62F61">
              <w:rPr>
                <w:rFonts w:ascii="Arial" w:hAnsi="Arial" w:cs="Arial"/>
                <w:b/>
                <w:bCs/>
                <w:sz w:val="20"/>
                <w:szCs w:val="20"/>
                <w:lang w:val="es-ES_tradnl"/>
              </w:rPr>
              <w:t>REGLAMENTO PARA EL REGISTRO EN EL FORO DE ABOGADOS DEL ECUADOR</w:t>
            </w:r>
          </w:p>
          <w:p w:rsidR="00A62F61" w:rsidRPr="00A62F61" w:rsidRDefault="00A62F61" w:rsidP="00A62F61">
            <w:pPr>
              <w:jc w:val="both"/>
              <w:rPr>
                <w:rFonts w:ascii="Arial" w:hAnsi="Arial" w:cs="Arial"/>
                <w:b/>
                <w:sz w:val="20"/>
                <w:szCs w:val="20"/>
                <w:lang w:val="es-US"/>
              </w:rPr>
            </w:pPr>
          </w:p>
          <w:p w:rsidR="00A62F61" w:rsidRPr="00A62F61" w:rsidRDefault="00A62F61" w:rsidP="00A62F61">
            <w:pPr>
              <w:jc w:val="both"/>
              <w:rPr>
                <w:rFonts w:ascii="Arial" w:hAnsi="Arial" w:cs="Arial"/>
                <w:sz w:val="20"/>
                <w:szCs w:val="20"/>
                <w:lang w:val="es-US"/>
              </w:rPr>
            </w:pPr>
            <w:r w:rsidRPr="00A62F61">
              <w:rPr>
                <w:rFonts w:ascii="Arial" w:hAnsi="Arial" w:cs="Arial"/>
                <w:b/>
                <w:sz w:val="20"/>
                <w:szCs w:val="20"/>
                <w:lang w:val="es-US"/>
              </w:rPr>
              <w:t xml:space="preserve">Expedido por: Resolución Pleno del Consejo de la Judicatura No. 087-2016, </w:t>
            </w:r>
            <w:r w:rsidRPr="00A62F61">
              <w:rPr>
                <w:rFonts w:ascii="Arial" w:hAnsi="Arial" w:cs="Arial"/>
                <w:sz w:val="20"/>
                <w:szCs w:val="20"/>
                <w:lang w:val="es-US"/>
              </w:rPr>
              <w:t xml:space="preserve"> publicada en el Suplemento Registro Oficial 913 de 30 de diciembre de2016  </w:t>
            </w:r>
          </w:p>
          <w:p w:rsidR="00A62F61" w:rsidRPr="00A62F61" w:rsidRDefault="00A62F61" w:rsidP="00A62F61">
            <w:pPr>
              <w:jc w:val="both"/>
              <w:rPr>
                <w:rFonts w:ascii="Arial" w:hAnsi="Arial" w:cs="Arial"/>
                <w:b/>
                <w:sz w:val="20"/>
                <w:szCs w:val="20"/>
                <w:lang w:val="es-US"/>
              </w:rPr>
            </w:pPr>
          </w:p>
          <w:p w:rsidR="00A62F61" w:rsidRPr="00A62F61" w:rsidRDefault="00A62F61" w:rsidP="00A62F61">
            <w:pPr>
              <w:jc w:val="both"/>
              <w:rPr>
                <w:rFonts w:ascii="Arial" w:hAnsi="Arial" w:cs="Arial"/>
                <w:sz w:val="20"/>
                <w:szCs w:val="20"/>
                <w:lang w:val="es-US"/>
              </w:rPr>
            </w:pPr>
            <w:r w:rsidRPr="00A62F61">
              <w:rPr>
                <w:rFonts w:ascii="Arial" w:hAnsi="Arial" w:cs="Arial"/>
                <w:b/>
                <w:sz w:val="20"/>
                <w:szCs w:val="20"/>
                <w:lang w:val="es-US"/>
              </w:rPr>
              <w:t>Novedad:</w:t>
            </w:r>
            <w:r w:rsidRPr="00A62F61">
              <w:rPr>
                <w:rFonts w:ascii="Arial" w:hAnsi="Arial" w:cs="Arial"/>
                <w:sz w:val="20"/>
                <w:szCs w:val="20"/>
                <w:lang w:val="es-US"/>
              </w:rPr>
              <w:t xml:space="preserve"> Nuevo </w:t>
            </w:r>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hyperlink r:id="rId15" w:history="1">
              <w:r w:rsidRPr="00A62F61">
                <w:rPr>
                  <w:rStyle w:val="Hipervnculo"/>
                  <w:rFonts w:ascii="Arial" w:hAnsi="Arial" w:cs="Arial"/>
                  <w:sz w:val="20"/>
                  <w:szCs w:val="20"/>
                  <w:lang w:val="es-US"/>
                </w:rPr>
                <w:t>Ver Vigencia</w:t>
              </w:r>
            </w:hyperlink>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 xml:space="preserve">Artículo 1.- Objeto.- </w:t>
            </w:r>
            <w:r w:rsidRPr="00A62F61">
              <w:rPr>
                <w:rFonts w:ascii="Arial" w:hAnsi="Arial" w:cs="Arial"/>
                <w:sz w:val="20"/>
                <w:szCs w:val="20"/>
                <w:lang w:val="es-ES_tradnl"/>
              </w:rPr>
              <w:t>Este reglamento tiene por objeto establecer las disposiciones para el registro en el Foro de Abogados del Ecuador.</w:t>
            </w:r>
          </w:p>
          <w:p w:rsidR="00A62F61" w:rsidRPr="00A62F61" w:rsidRDefault="00A62F61" w:rsidP="00A62F61">
            <w:pPr>
              <w:jc w:val="both"/>
              <w:rPr>
                <w:rFonts w:ascii="Arial" w:hAnsi="Arial" w:cs="Arial"/>
                <w:sz w:val="20"/>
                <w:szCs w:val="20"/>
                <w:lang w:val="es-US"/>
              </w:rPr>
            </w:pPr>
          </w:p>
          <w:p w:rsidR="00A62F61" w:rsidRDefault="00A62F61" w:rsidP="00A62F61">
            <w:pPr>
              <w:jc w:val="both"/>
              <w:rPr>
                <w:rFonts w:ascii="Arial" w:hAnsi="Arial" w:cs="Arial"/>
                <w:sz w:val="20"/>
                <w:szCs w:val="20"/>
                <w:lang w:val="es-ES_tradnl"/>
              </w:rPr>
            </w:pPr>
            <w:r w:rsidRPr="00A62F61">
              <w:rPr>
                <w:rFonts w:ascii="Arial" w:hAnsi="Arial" w:cs="Arial"/>
                <w:b/>
                <w:bCs/>
                <w:sz w:val="20"/>
                <w:szCs w:val="20"/>
                <w:lang w:val="es-ES_tradnl"/>
              </w:rPr>
              <w:t xml:space="preserve">Artículo 2.- Ámbito.- </w:t>
            </w:r>
            <w:r w:rsidRPr="00A62F61">
              <w:rPr>
                <w:rFonts w:ascii="Arial" w:hAnsi="Arial" w:cs="Arial"/>
                <w:sz w:val="20"/>
                <w:szCs w:val="20"/>
                <w:lang w:val="es-ES_tradnl"/>
              </w:rPr>
              <w:t>Es aplicable para los abogados nacionales y extranjeros, que cuentan con título profesional debidamente registrado en la Secretaría de Educación Superior, Ciencia, Tecnología e Innovación.</w:t>
            </w:r>
          </w:p>
          <w:p w:rsidR="00A83A18" w:rsidRDefault="00A83A18" w:rsidP="00A62F61">
            <w:pPr>
              <w:jc w:val="both"/>
              <w:rPr>
                <w:rFonts w:ascii="Arial" w:hAnsi="Arial" w:cs="Arial"/>
                <w:sz w:val="20"/>
                <w:szCs w:val="20"/>
                <w:lang w:val="es-ES_tradnl"/>
              </w:rPr>
            </w:pPr>
          </w:p>
          <w:p w:rsidR="00A83A18" w:rsidRPr="00A62F61" w:rsidRDefault="00A83A18" w:rsidP="00A62F61">
            <w:pPr>
              <w:jc w:val="both"/>
              <w:rPr>
                <w:rFonts w:ascii="Arial" w:hAnsi="Arial" w:cs="Arial"/>
                <w:sz w:val="20"/>
                <w:szCs w:val="20"/>
                <w:lang w:val="es-US"/>
              </w:rPr>
            </w:pPr>
          </w:p>
          <w:p w:rsidR="0030615E" w:rsidRPr="00A83A18" w:rsidRDefault="00A62F61" w:rsidP="00A62F61">
            <w:pPr>
              <w:jc w:val="both"/>
              <w:rPr>
                <w:rFonts w:ascii="Arial" w:hAnsi="Arial" w:cs="Arial"/>
                <w:sz w:val="20"/>
                <w:szCs w:val="20"/>
                <w:lang w:val="es-ES_tradnl"/>
              </w:rPr>
            </w:pPr>
            <w:r w:rsidRPr="00A62F61">
              <w:rPr>
                <w:rFonts w:ascii="Arial" w:hAnsi="Arial" w:cs="Arial"/>
                <w:b/>
                <w:bCs/>
                <w:sz w:val="20"/>
                <w:szCs w:val="20"/>
                <w:lang w:val="es-ES_tradnl"/>
              </w:rPr>
              <w:t xml:space="preserve">Artículo 3.- Objetivos específicos.- </w:t>
            </w:r>
            <w:r w:rsidRPr="00A62F61">
              <w:rPr>
                <w:rFonts w:ascii="Arial" w:hAnsi="Arial" w:cs="Arial"/>
                <w:sz w:val="20"/>
                <w:szCs w:val="20"/>
                <w:lang w:val="es-ES_tradnl"/>
              </w:rPr>
              <w:t>Constituyen objetivos específicos de este reglamento los siguientes:</w:t>
            </w:r>
          </w:p>
          <w:p w:rsidR="00A62F61" w:rsidRPr="00A62F61" w:rsidRDefault="00A62F61" w:rsidP="00A62F61">
            <w:pPr>
              <w:numPr>
                <w:ilvl w:val="0"/>
                <w:numId w:val="43"/>
              </w:numPr>
              <w:jc w:val="both"/>
              <w:rPr>
                <w:rFonts w:ascii="Arial" w:hAnsi="Arial" w:cs="Arial"/>
                <w:sz w:val="20"/>
                <w:szCs w:val="20"/>
                <w:lang w:val="es-ES_tradnl"/>
              </w:rPr>
            </w:pPr>
            <w:r w:rsidRPr="00A62F61">
              <w:rPr>
                <w:rFonts w:ascii="Arial" w:hAnsi="Arial" w:cs="Arial"/>
                <w:sz w:val="20"/>
                <w:szCs w:val="20"/>
                <w:lang w:val="es-ES_tradnl"/>
              </w:rPr>
              <w:t>Establecer las disposiciones para la inscripción individual en el Foro de Abogados del Ecuador y, la entrega de la credencial que incorporará la matrícula profesional;</w:t>
            </w:r>
          </w:p>
          <w:p w:rsidR="00A62F61" w:rsidRPr="00A62F61" w:rsidRDefault="00A62F61" w:rsidP="00A62F61">
            <w:pPr>
              <w:numPr>
                <w:ilvl w:val="0"/>
                <w:numId w:val="43"/>
              </w:numPr>
              <w:jc w:val="both"/>
              <w:rPr>
                <w:rFonts w:ascii="Arial" w:hAnsi="Arial" w:cs="Arial"/>
                <w:sz w:val="20"/>
                <w:szCs w:val="20"/>
                <w:lang w:val="es-ES_tradnl"/>
              </w:rPr>
            </w:pPr>
            <w:r w:rsidRPr="00A62F61">
              <w:rPr>
                <w:rFonts w:ascii="Arial" w:hAnsi="Arial" w:cs="Arial"/>
                <w:sz w:val="20"/>
                <w:szCs w:val="20"/>
                <w:lang w:val="es-ES_tradnl"/>
              </w:rPr>
              <w:t>Regular el procedimiento de conservación, mantenimiento y actualización de la información contenida en el registro del Foro de Abogados del Ecuador; y,</w:t>
            </w:r>
          </w:p>
          <w:p w:rsidR="00A62F61" w:rsidRPr="00A62F61" w:rsidRDefault="00A62F61" w:rsidP="00A62F61">
            <w:pPr>
              <w:numPr>
                <w:ilvl w:val="0"/>
                <w:numId w:val="43"/>
              </w:numPr>
              <w:jc w:val="both"/>
              <w:rPr>
                <w:rFonts w:ascii="Arial" w:hAnsi="Arial" w:cs="Arial"/>
                <w:sz w:val="20"/>
                <w:szCs w:val="20"/>
                <w:lang w:val="es-ES_tradnl"/>
              </w:rPr>
            </w:pPr>
            <w:r w:rsidRPr="00A62F61">
              <w:rPr>
                <w:rFonts w:ascii="Arial" w:hAnsi="Arial" w:cs="Arial"/>
                <w:sz w:val="20"/>
                <w:szCs w:val="20"/>
                <w:lang w:val="es-ES_tradnl"/>
              </w:rPr>
              <w:t>Promover la generación de beneficios a favor de los miembros del Foro de Abogados del Ecuador.</w:t>
            </w:r>
          </w:p>
          <w:p w:rsidR="00A62F61" w:rsidRDefault="00A62F61" w:rsidP="00A62F61">
            <w:pPr>
              <w:jc w:val="both"/>
              <w:rPr>
                <w:rFonts w:ascii="Arial" w:hAnsi="Arial" w:cs="Arial"/>
                <w:sz w:val="20"/>
                <w:szCs w:val="20"/>
                <w:lang w:val="es-ES_tradnl"/>
              </w:rPr>
            </w:pPr>
            <w:r w:rsidRPr="00A62F61">
              <w:rPr>
                <w:rFonts w:ascii="Arial" w:hAnsi="Arial" w:cs="Arial"/>
                <w:b/>
                <w:bCs/>
                <w:sz w:val="20"/>
                <w:szCs w:val="20"/>
                <w:lang w:val="es-ES_tradnl"/>
              </w:rPr>
              <w:t xml:space="preserve">Artículo 4.- Principios.- </w:t>
            </w:r>
            <w:r w:rsidRPr="00A62F61">
              <w:rPr>
                <w:rFonts w:ascii="Arial" w:hAnsi="Arial" w:cs="Arial"/>
                <w:sz w:val="20"/>
                <w:szCs w:val="20"/>
                <w:lang w:val="es-ES_tradnl"/>
              </w:rPr>
              <w:t>Para la interpretación y aplicación de este reglamento, se observará los principios de transparencia, igualdad, no discriminación, probidad, servicio a la colectividad e interculturalidad.</w:t>
            </w:r>
          </w:p>
          <w:p w:rsidR="00A83A18" w:rsidRPr="00A62F61" w:rsidRDefault="00A83A18"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 xml:space="preserve">TÍTULO </w:t>
            </w:r>
            <w:r w:rsidRPr="00A62F61">
              <w:rPr>
                <w:rFonts w:ascii="Arial" w:hAnsi="Arial" w:cs="Arial"/>
                <w:b/>
                <w:bCs/>
                <w:sz w:val="20"/>
                <w:szCs w:val="20"/>
                <w:lang w:val="es-US"/>
              </w:rPr>
              <w:t>II</w:t>
            </w: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DE LOS RESPONSABLES Y MIEMBROS DEL FORO DE ABOGADOS DEL ECUADOR</w:t>
            </w: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CAPÍTULO I</w:t>
            </w:r>
          </w:p>
          <w:p w:rsidR="00A62F61" w:rsidRDefault="00A62F61" w:rsidP="00A62F61">
            <w:pPr>
              <w:jc w:val="both"/>
              <w:rPr>
                <w:rFonts w:ascii="Arial" w:hAnsi="Arial" w:cs="Arial"/>
                <w:b/>
                <w:bCs/>
                <w:sz w:val="20"/>
                <w:szCs w:val="20"/>
                <w:lang w:val="es-ES_tradnl"/>
              </w:rPr>
            </w:pPr>
            <w:r w:rsidRPr="00A62F61">
              <w:rPr>
                <w:rFonts w:ascii="Arial" w:hAnsi="Arial" w:cs="Arial"/>
                <w:b/>
                <w:bCs/>
                <w:sz w:val="20"/>
                <w:szCs w:val="20"/>
                <w:lang w:val="es-ES_tradnl"/>
              </w:rPr>
              <w:t>DE LOS RESPONSABLES</w:t>
            </w:r>
          </w:p>
          <w:p w:rsidR="00A83A18" w:rsidRPr="00A62F61" w:rsidRDefault="00A83A18"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 xml:space="preserve">Artículo 5.- De los responsables del registro en el Foro de Abogados del Ecuador.- </w:t>
            </w:r>
            <w:r w:rsidRPr="00A62F61">
              <w:rPr>
                <w:rFonts w:ascii="Arial" w:hAnsi="Arial" w:cs="Arial"/>
                <w:sz w:val="20"/>
                <w:szCs w:val="20"/>
                <w:lang w:val="es-ES_tradnl"/>
              </w:rPr>
              <w:t>Son responsables del registro en el Foro de Abogados del Ecuador:</w:t>
            </w:r>
          </w:p>
          <w:p w:rsidR="00A62F61" w:rsidRPr="00A62F61" w:rsidRDefault="00A62F61" w:rsidP="00A62F61">
            <w:pPr>
              <w:numPr>
                <w:ilvl w:val="0"/>
                <w:numId w:val="44"/>
              </w:numPr>
              <w:jc w:val="both"/>
              <w:rPr>
                <w:rFonts w:ascii="Arial" w:hAnsi="Arial" w:cs="Arial"/>
                <w:sz w:val="20"/>
                <w:szCs w:val="20"/>
                <w:lang w:val="es-ES_tradnl"/>
              </w:rPr>
            </w:pPr>
            <w:r w:rsidRPr="00A62F61">
              <w:rPr>
                <w:rFonts w:ascii="Arial" w:hAnsi="Arial" w:cs="Arial"/>
                <w:sz w:val="20"/>
                <w:szCs w:val="20"/>
                <w:lang w:val="es-ES_tradnl"/>
              </w:rPr>
              <w:t>La Escuela de la Función Judicial; y,</w:t>
            </w:r>
          </w:p>
          <w:p w:rsidR="00A62F61" w:rsidRDefault="00A62F61" w:rsidP="00A62F61">
            <w:pPr>
              <w:numPr>
                <w:ilvl w:val="0"/>
                <w:numId w:val="44"/>
              </w:numPr>
              <w:jc w:val="both"/>
              <w:rPr>
                <w:rFonts w:ascii="Arial" w:hAnsi="Arial" w:cs="Arial"/>
                <w:sz w:val="20"/>
                <w:szCs w:val="20"/>
                <w:lang w:val="es-ES_tradnl"/>
              </w:rPr>
            </w:pPr>
            <w:r w:rsidRPr="00A62F61">
              <w:rPr>
                <w:rFonts w:ascii="Arial" w:hAnsi="Arial" w:cs="Arial"/>
                <w:sz w:val="20"/>
                <w:szCs w:val="20"/>
                <w:lang w:val="es-ES_tradnl"/>
              </w:rPr>
              <w:t>Las Direcciones Provinciales del Consejo de la Judicatura.</w:t>
            </w:r>
          </w:p>
          <w:p w:rsidR="00A83A18" w:rsidRPr="00A62F61" w:rsidRDefault="00A83A18" w:rsidP="00A83A18">
            <w:pPr>
              <w:jc w:val="both"/>
              <w:rPr>
                <w:rFonts w:ascii="Arial" w:hAnsi="Arial" w:cs="Arial"/>
                <w:sz w:val="20"/>
                <w:szCs w:val="20"/>
                <w:lang w:val="es-ES_tradnl"/>
              </w:rPr>
            </w:pP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 xml:space="preserve">Artículo 6.- De la Escuela de la Función Judicial.- </w:t>
            </w:r>
            <w:r w:rsidRPr="00A62F61">
              <w:rPr>
                <w:rFonts w:ascii="Arial" w:hAnsi="Arial" w:cs="Arial"/>
                <w:sz w:val="20"/>
                <w:szCs w:val="20"/>
                <w:lang w:val="es-ES_tradnl"/>
              </w:rPr>
              <w:t>La</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máxima autoridad de la Escuela de la Función Judicial, será responsable de:</w:t>
            </w:r>
          </w:p>
          <w:p w:rsidR="00A62F61" w:rsidRPr="00A62F61" w:rsidRDefault="00A62F61" w:rsidP="00A62F61">
            <w:pPr>
              <w:numPr>
                <w:ilvl w:val="0"/>
                <w:numId w:val="45"/>
              </w:numPr>
              <w:jc w:val="both"/>
              <w:rPr>
                <w:rFonts w:ascii="Arial" w:hAnsi="Arial" w:cs="Arial"/>
                <w:sz w:val="20"/>
                <w:szCs w:val="20"/>
                <w:lang w:val="es-ES_tradnl"/>
              </w:rPr>
            </w:pPr>
            <w:r w:rsidRPr="00A62F61">
              <w:rPr>
                <w:rFonts w:ascii="Arial" w:hAnsi="Arial" w:cs="Arial"/>
                <w:sz w:val="20"/>
                <w:szCs w:val="20"/>
                <w:lang w:val="es-ES_tradnl"/>
              </w:rPr>
              <w:t>Mantener el registro del Foro de Abogados del Ecuador;</w:t>
            </w:r>
          </w:p>
          <w:p w:rsidR="00A62F61" w:rsidRPr="00A62F61" w:rsidRDefault="00A62F61" w:rsidP="00A62F61">
            <w:pPr>
              <w:numPr>
                <w:ilvl w:val="0"/>
                <w:numId w:val="45"/>
              </w:numPr>
              <w:jc w:val="both"/>
              <w:rPr>
                <w:rFonts w:ascii="Arial" w:hAnsi="Arial" w:cs="Arial"/>
                <w:sz w:val="20"/>
                <w:szCs w:val="20"/>
                <w:lang w:val="es-ES_tradnl"/>
              </w:rPr>
            </w:pPr>
            <w:r w:rsidRPr="00A62F61">
              <w:rPr>
                <w:rFonts w:ascii="Arial" w:hAnsi="Arial" w:cs="Arial"/>
                <w:sz w:val="20"/>
                <w:szCs w:val="20"/>
                <w:lang w:val="es-ES_tradnl"/>
              </w:rPr>
              <w:t>Entregar el carné que incorporará la matrícula profesional a los abogados que soliciten su inscripción en el Foro de Abogados del Ecuador.</w:t>
            </w:r>
          </w:p>
          <w:p w:rsidR="00A62F61" w:rsidRPr="00A62F61" w:rsidRDefault="00A62F61" w:rsidP="00A62F61">
            <w:pPr>
              <w:numPr>
                <w:ilvl w:val="0"/>
                <w:numId w:val="45"/>
              </w:numPr>
              <w:jc w:val="both"/>
              <w:rPr>
                <w:rFonts w:ascii="Arial" w:hAnsi="Arial" w:cs="Arial"/>
                <w:sz w:val="20"/>
                <w:szCs w:val="20"/>
                <w:lang w:val="es-ES_tradnl"/>
              </w:rPr>
            </w:pPr>
            <w:r w:rsidRPr="00A62F61">
              <w:rPr>
                <w:rFonts w:ascii="Arial" w:hAnsi="Arial" w:cs="Arial"/>
                <w:sz w:val="20"/>
                <w:szCs w:val="20"/>
                <w:lang w:val="es-ES_tradnl"/>
              </w:rPr>
              <w:t>Desarrollar beneficios adicionales al registro, para los profesionales inscritos en el Foro de Abogados del Ecuador; y,</w:t>
            </w:r>
          </w:p>
          <w:p w:rsidR="00A62F61" w:rsidRDefault="00A62F61" w:rsidP="00A62F61">
            <w:pPr>
              <w:numPr>
                <w:ilvl w:val="0"/>
                <w:numId w:val="45"/>
              </w:numPr>
              <w:jc w:val="both"/>
              <w:rPr>
                <w:rFonts w:ascii="Arial" w:hAnsi="Arial" w:cs="Arial"/>
                <w:sz w:val="20"/>
                <w:szCs w:val="20"/>
                <w:lang w:val="es-ES_tradnl"/>
              </w:rPr>
            </w:pPr>
            <w:r w:rsidRPr="00A62F61">
              <w:rPr>
                <w:rFonts w:ascii="Arial" w:hAnsi="Arial" w:cs="Arial"/>
                <w:sz w:val="20"/>
                <w:szCs w:val="20"/>
                <w:lang w:val="es-ES_tradnl"/>
              </w:rPr>
              <w:t>Aplicar las normas contenidas en este reglamento.</w:t>
            </w:r>
          </w:p>
          <w:p w:rsidR="00A83A18" w:rsidRDefault="00A83A18" w:rsidP="00A83A18">
            <w:pPr>
              <w:jc w:val="both"/>
              <w:rPr>
                <w:rFonts w:ascii="Arial" w:hAnsi="Arial" w:cs="Arial"/>
                <w:sz w:val="20"/>
                <w:szCs w:val="20"/>
                <w:lang w:val="es-ES_tradnl"/>
              </w:rPr>
            </w:pPr>
          </w:p>
          <w:p w:rsidR="00A83A18" w:rsidRDefault="00A83A18" w:rsidP="00A83A18">
            <w:pPr>
              <w:jc w:val="both"/>
              <w:rPr>
                <w:rFonts w:ascii="Arial" w:hAnsi="Arial" w:cs="Arial"/>
                <w:sz w:val="20"/>
                <w:szCs w:val="20"/>
                <w:lang w:val="es-ES_tradnl"/>
              </w:rPr>
            </w:pPr>
          </w:p>
          <w:p w:rsidR="00A83A18" w:rsidRPr="00A62F61" w:rsidRDefault="00A83A18" w:rsidP="00A83A18">
            <w:pPr>
              <w:jc w:val="both"/>
              <w:rPr>
                <w:rFonts w:ascii="Arial" w:hAnsi="Arial" w:cs="Arial"/>
                <w:sz w:val="20"/>
                <w:szCs w:val="20"/>
                <w:lang w:val="es-ES_tradnl"/>
              </w:rPr>
            </w:pPr>
          </w:p>
          <w:p w:rsid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 xml:space="preserve">Artículo 7.- De las Direcciones Provinciales del Consejo de la Judicatura.- </w:t>
            </w:r>
            <w:r w:rsidRPr="00A62F61">
              <w:rPr>
                <w:rFonts w:ascii="Arial" w:hAnsi="Arial" w:cs="Arial"/>
                <w:sz w:val="20"/>
                <w:szCs w:val="20"/>
                <w:lang w:val="es-ES_tradnl"/>
              </w:rPr>
              <w:t>Las Direcciones Provinciales del Consejo de la Judicatura serán responsables de revisar que la información consignada por los abogados, sea concordante con la información publicada por la Secretaría</w:t>
            </w:r>
            <w:r w:rsidRPr="00A62F61">
              <w:rPr>
                <w:rFonts w:ascii="Arial" w:hAnsi="Arial" w:cs="Arial"/>
                <w:sz w:val="20"/>
                <w:szCs w:val="20"/>
                <w:lang w:val="es-US"/>
              </w:rPr>
              <w:t xml:space="preserve"> </w:t>
            </w:r>
            <w:r w:rsidRPr="00A62F61">
              <w:rPr>
                <w:rFonts w:ascii="Arial" w:hAnsi="Arial" w:cs="Arial"/>
                <w:sz w:val="20"/>
                <w:szCs w:val="20"/>
                <w:lang w:val="es-ES_tradnl"/>
              </w:rPr>
              <w:t>de Educación Superior, Ciencia, Tecnología e Innovación, en cuanto al título profesional registrado; y, verificar con la Escuela de la Función Judicial el cumplimiento de las prácticas pre profesionales o su respectiva exoneración.</w:t>
            </w:r>
          </w:p>
          <w:p w:rsidR="0030615E" w:rsidRPr="0030615E" w:rsidRDefault="0030615E"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hyperlink r:id="rId16" w:history="1">
              <w:r w:rsidRPr="00A62F61">
                <w:rPr>
                  <w:rStyle w:val="Hipervnculo"/>
                  <w:rFonts w:ascii="Arial" w:hAnsi="Arial" w:cs="Arial"/>
                  <w:sz w:val="20"/>
                  <w:szCs w:val="20"/>
                  <w:lang w:val="es-ES_tradnl"/>
                </w:rPr>
                <w:t>Ver Registro Oficial</w:t>
              </w:r>
            </w:hyperlink>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p>
        </w:tc>
      </w:tr>
    </w:tbl>
    <w:p w:rsidR="00A62F61" w:rsidRPr="00A62F61" w:rsidRDefault="00A83A18" w:rsidP="00A62F61">
      <w:pPr>
        <w:jc w:val="both"/>
        <w:rPr>
          <w:rFonts w:ascii="Arial" w:hAnsi="Arial" w:cs="Arial"/>
          <w:sz w:val="20"/>
          <w:szCs w:val="20"/>
          <w:lang w:val="es-US"/>
        </w:rPr>
      </w:pPr>
      <w:r w:rsidRPr="00A62F61">
        <w:rPr>
          <w:rFonts w:ascii="Arial" w:hAnsi="Arial" w:cs="Arial"/>
          <w:sz w:val="20"/>
          <w:szCs w:val="20"/>
        </w:rPr>
        <w:lastRenderedPageBreak/>
        <mc:AlternateContent>
          <mc:Choice Requires="wps">
            <w:drawing>
              <wp:anchor distT="0" distB="0" distL="114300" distR="114300" simplePos="0" relativeHeight="251664384" behindDoc="0" locked="0" layoutInCell="1" allowOverlap="1" wp14:anchorId="3404CA66" wp14:editId="36D573A9">
                <wp:simplePos x="0" y="0"/>
                <wp:positionH relativeFrom="margin">
                  <wp:posOffset>-80010</wp:posOffset>
                </wp:positionH>
                <wp:positionV relativeFrom="paragraph">
                  <wp:posOffset>149860</wp:posOffset>
                </wp:positionV>
                <wp:extent cx="1752600" cy="304800"/>
                <wp:effectExtent l="0" t="0" r="19050" b="190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04800"/>
                        </a:xfrm>
                        <a:prstGeom prst="rect">
                          <a:avLst/>
                        </a:prstGeom>
                        <a:solidFill>
                          <a:srgbClr val="000080"/>
                        </a:solidFill>
                        <a:ln w="9525">
                          <a:solidFill>
                            <a:srgbClr val="000080"/>
                          </a:solidFill>
                          <a:miter lim="800000"/>
                          <a:headEnd/>
                          <a:tailEnd/>
                        </a:ln>
                      </wps:spPr>
                      <wps:txbx>
                        <w:txbxContent>
                          <w:p w:rsidR="00A62F61" w:rsidRPr="00567E83" w:rsidRDefault="00A62F61" w:rsidP="00A62F61">
                            <w:pPr>
                              <w:jc w:val="both"/>
                              <w:rPr>
                                <w:b/>
                                <w:color w:val="FFFFFF"/>
                              </w:rPr>
                            </w:pPr>
                            <w:r>
                              <w:rPr>
                                <w:b/>
                                <w:color w:val="FFFFFF"/>
                              </w:rPr>
                              <w:t>Viernes 30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 o:spid="_x0000_s1032" type="#_x0000_t202" style="position:absolute;left:0;text-align:left;margin-left:-6.3pt;margin-top:11.8pt;width:138pt;height:2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" fillcolor="navy" strokecolor="navy">
                <v:textbox>
                  <w:txbxContent>
                    <w:p w:rsidR="00A62F61" w:rsidRPr="00567E83" w:rsidRDefault="00A62F61" w:rsidP="00A62F61">
                      <w:pPr>
                        <w:jc w:val="both"/>
                        <w:rPr>
                          <w:b/>
                          <w:color w:val="FFFFFF"/>
                        </w:rPr>
                      </w:pPr>
                      <w:r>
                        <w:rPr>
                          <w:b/>
                          <w:color w:val="FFFFFF"/>
                        </w:rPr>
                        <w:t>Viernes 30 de diciembre</w:t>
                      </w:r>
                    </w:p>
                  </w:txbxContent>
                </v:textbox>
                <w10:wrap anchorx="margin"/>
              </v:shape>
            </w:pict>
          </mc:Fallback>
        </mc:AlternateContent>
      </w:r>
    </w:p>
    <w:p w:rsidR="00A62F61" w:rsidRPr="00A62F61" w:rsidRDefault="00A62F61" w:rsidP="00A62F61">
      <w:pPr>
        <w:jc w:val="both"/>
        <w:rPr>
          <w:rFonts w:ascii="Arial" w:hAnsi="Arial" w:cs="Arial"/>
          <w:sz w:val="20"/>
          <w:szCs w:val="20"/>
          <w:lang w:val="es-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62F61" w:rsidRPr="00A62F61" w:rsidTr="00A62F61">
        <w:trPr>
          <w:trHeight w:val="1380"/>
        </w:trPr>
        <w:tc>
          <w:tcPr>
            <w:tcW w:w="9257" w:type="dxa"/>
            <w:shd w:val="clear" w:color="auto" w:fill="E6F1DF"/>
          </w:tcPr>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b/>
                <w:sz w:val="20"/>
                <w:szCs w:val="20"/>
                <w:lang w:val="es-ES_tradnl"/>
              </w:rPr>
            </w:pPr>
            <w:r w:rsidRPr="00A62F61">
              <w:rPr>
                <w:rFonts w:ascii="Arial" w:hAnsi="Arial" w:cs="Arial"/>
                <w:b/>
                <w:sz w:val="20"/>
                <w:szCs w:val="20"/>
                <w:lang w:val="es-ES_tradnl"/>
              </w:rPr>
              <w:t>EXPEDIR EL REGLAMENTO SUSTITUTIVO PARA EL CONTROL DE LOS VEHÍCULOS DEL SECTOR PÚBLICO Y DE LAS ENTIDADES DE DERECHO PRIVADO QUE DISPONEN DE RECURSOS PÚBLICOS.</w:t>
            </w:r>
          </w:p>
          <w:p w:rsidR="00A62F61" w:rsidRPr="00A62F61" w:rsidRDefault="00A62F61" w:rsidP="00A62F61">
            <w:pPr>
              <w:jc w:val="both"/>
              <w:rPr>
                <w:rFonts w:ascii="Arial" w:hAnsi="Arial" w:cs="Arial"/>
                <w:b/>
                <w:sz w:val="20"/>
                <w:szCs w:val="20"/>
                <w:lang w:val="es-ES_tradnl"/>
              </w:rPr>
            </w:pPr>
          </w:p>
          <w:p w:rsidR="00A62F61" w:rsidRPr="00A62F61" w:rsidRDefault="00A62F61" w:rsidP="00A62F61">
            <w:pPr>
              <w:jc w:val="both"/>
              <w:rPr>
                <w:rFonts w:ascii="Arial" w:hAnsi="Arial" w:cs="Arial"/>
                <w:sz w:val="20"/>
                <w:szCs w:val="20"/>
                <w:lang w:val="es-ES"/>
              </w:rPr>
            </w:pPr>
            <w:r w:rsidRPr="00A62F61">
              <w:rPr>
                <w:rFonts w:ascii="Arial" w:hAnsi="Arial" w:cs="Arial"/>
                <w:b/>
                <w:sz w:val="20"/>
                <w:szCs w:val="20"/>
                <w:lang w:val="es-US"/>
              </w:rPr>
              <w:t xml:space="preserve">Expedido por: </w:t>
            </w:r>
            <w:r w:rsidRPr="00A62F61">
              <w:rPr>
                <w:rFonts w:ascii="Arial" w:hAnsi="Arial" w:cs="Arial"/>
                <w:sz w:val="20"/>
                <w:szCs w:val="20"/>
                <w:lang w:val="es-US"/>
              </w:rPr>
              <w:t>Acuerdo</w:t>
            </w:r>
            <w:r w:rsidRPr="00A62F61">
              <w:rPr>
                <w:rFonts w:ascii="Arial" w:hAnsi="Arial" w:cs="Arial"/>
                <w:b/>
                <w:bCs/>
                <w:sz w:val="20"/>
                <w:szCs w:val="20"/>
                <w:lang w:val="es-ES_tradnl"/>
              </w:rPr>
              <w:t xml:space="preserve"> No. 042 - CG – 2016, de la Contraloría General del Estado</w:t>
            </w:r>
            <w:r w:rsidRPr="00A62F61">
              <w:rPr>
                <w:rFonts w:ascii="Arial" w:hAnsi="Arial" w:cs="Arial"/>
                <w:sz w:val="20"/>
                <w:szCs w:val="20"/>
                <w:lang w:val="es-US"/>
              </w:rPr>
              <w:t xml:space="preserve">, publicado en el Suplemento del Registro Oficial 913 de 30 de diciembre del 2016  </w:t>
            </w:r>
          </w:p>
          <w:p w:rsidR="00A62F61" w:rsidRPr="00A62F61" w:rsidRDefault="00A62F61" w:rsidP="00A62F61">
            <w:pPr>
              <w:jc w:val="both"/>
              <w:rPr>
                <w:rFonts w:ascii="Arial" w:hAnsi="Arial" w:cs="Arial"/>
                <w:b/>
                <w:sz w:val="20"/>
                <w:szCs w:val="20"/>
                <w:lang w:val="es-ES_tradnl"/>
              </w:rPr>
            </w:pPr>
          </w:p>
          <w:p w:rsidR="00A62F61" w:rsidRPr="00A62F61" w:rsidRDefault="00A62F61" w:rsidP="00A62F61">
            <w:pPr>
              <w:jc w:val="both"/>
              <w:rPr>
                <w:rFonts w:ascii="Arial" w:hAnsi="Arial" w:cs="Arial"/>
                <w:b/>
                <w:sz w:val="20"/>
                <w:szCs w:val="20"/>
                <w:lang w:val="es-ES_tradnl"/>
              </w:rPr>
            </w:pPr>
            <w:hyperlink r:id="rId17" w:history="1">
              <w:r w:rsidRPr="00A62F61">
                <w:rPr>
                  <w:rStyle w:val="Hipervnculo"/>
                  <w:rFonts w:ascii="Arial" w:hAnsi="Arial" w:cs="Arial"/>
                  <w:b/>
                  <w:sz w:val="20"/>
                  <w:szCs w:val="20"/>
                  <w:lang w:val="es-ES_tradnl"/>
                </w:rPr>
                <w:t>Ver Vigencia</w:t>
              </w:r>
            </w:hyperlink>
          </w:p>
          <w:p w:rsidR="00A62F61" w:rsidRPr="00A62F61" w:rsidRDefault="00A62F61" w:rsidP="00A62F61">
            <w:pPr>
              <w:jc w:val="both"/>
              <w:rPr>
                <w:rFonts w:ascii="Arial" w:hAnsi="Arial" w:cs="Arial"/>
                <w:sz w:val="20"/>
                <w:szCs w:val="20"/>
                <w:lang w:val="es-ES"/>
              </w:rPr>
            </w:pPr>
            <w:r w:rsidRPr="00A62F61">
              <w:rPr>
                <w:rFonts w:ascii="Arial" w:hAnsi="Arial" w:cs="Arial"/>
                <w:b/>
                <w:bCs/>
                <w:sz w:val="20"/>
                <w:szCs w:val="20"/>
                <w:lang w:val="es-ES_tradnl"/>
              </w:rPr>
              <w:t xml:space="preserve">Artículo 1.- Ámbito de aplicación. - </w:t>
            </w:r>
            <w:r w:rsidRPr="00A62F61">
              <w:rPr>
                <w:rFonts w:ascii="Arial" w:hAnsi="Arial" w:cs="Arial"/>
                <w:sz w:val="20"/>
                <w:szCs w:val="20"/>
                <w:lang w:val="es-ES_tradnl"/>
              </w:rPr>
              <w:t>Se sujetan a las disposiciones del presente reglamento, los dignatarios, autoridades, funcionarios, administradores, servidores y trabajadores de las instituciones del Estado, señaladas en el artículo 225 de la Constitución de la República del Ecuador, así como de las entidades de derecho privado que administran recursos públicos.</w:t>
            </w:r>
          </w:p>
          <w:p w:rsidR="00A62F61" w:rsidRPr="00A62F61" w:rsidRDefault="00A62F61" w:rsidP="00A62F61">
            <w:pPr>
              <w:jc w:val="both"/>
              <w:rPr>
                <w:rFonts w:ascii="Arial" w:hAnsi="Arial" w:cs="Arial"/>
                <w:sz w:val="20"/>
                <w:szCs w:val="20"/>
                <w:lang w:val="es-ES"/>
              </w:rPr>
            </w:pPr>
            <w:r w:rsidRPr="00A62F61">
              <w:rPr>
                <w:rFonts w:ascii="Arial" w:hAnsi="Arial" w:cs="Arial"/>
                <w:b/>
                <w:bCs/>
                <w:sz w:val="20"/>
                <w:szCs w:val="20"/>
                <w:lang w:val="es-ES_tradnl"/>
              </w:rPr>
              <w:t xml:space="preserve">Artículo 2.- Asignación de los vehículos. </w:t>
            </w:r>
            <w:r w:rsidRPr="00A62F61">
              <w:rPr>
                <w:rFonts w:ascii="Arial" w:hAnsi="Arial" w:cs="Arial"/>
                <w:sz w:val="20"/>
                <w:szCs w:val="20"/>
                <w:lang w:val="es-ES_tradnl"/>
              </w:rPr>
              <w:t>- Los vehículos pertenecientes al sector público y a las entidades de derecho privado que administran recursos públicos, se destinarán al cumplimiento de labores estrictamente oficiales y para la atención de emergencias nacionales o locales.</w:t>
            </w:r>
          </w:p>
          <w:p w:rsidR="00A62F61" w:rsidRPr="00A62F61" w:rsidRDefault="00A62F61" w:rsidP="00A62F61">
            <w:pPr>
              <w:jc w:val="both"/>
              <w:rPr>
                <w:rFonts w:ascii="Arial" w:hAnsi="Arial" w:cs="Arial"/>
                <w:sz w:val="20"/>
                <w:szCs w:val="20"/>
                <w:lang w:val="es-ES"/>
              </w:rPr>
            </w:pPr>
            <w:r w:rsidRPr="00A62F61">
              <w:rPr>
                <w:rFonts w:ascii="Arial" w:hAnsi="Arial" w:cs="Arial"/>
                <w:sz w:val="20"/>
                <w:szCs w:val="20"/>
                <w:lang w:val="es-ES_tradnl"/>
              </w:rPr>
              <w:lastRenderedPageBreak/>
              <w:t>Las dos máximas autoridades unipersonales o corporativas de las instituciones referidas en el artículo 1 de este reglamento, pueden contar con un vehículo de asignación personal exclusiva, para fines institucionales.</w:t>
            </w:r>
          </w:p>
          <w:p w:rsidR="00A62F61" w:rsidRPr="00A62F61" w:rsidRDefault="00A62F61" w:rsidP="00A62F61">
            <w:pPr>
              <w:jc w:val="both"/>
              <w:rPr>
                <w:rFonts w:ascii="Arial" w:hAnsi="Arial" w:cs="Arial"/>
                <w:sz w:val="20"/>
                <w:szCs w:val="20"/>
                <w:lang w:val="es-ES"/>
              </w:rPr>
            </w:pPr>
            <w:r w:rsidRPr="00A62F61">
              <w:rPr>
                <w:rFonts w:ascii="Arial" w:hAnsi="Arial" w:cs="Arial"/>
                <w:sz w:val="20"/>
                <w:szCs w:val="20"/>
                <w:lang w:val="es-ES_tradnl"/>
              </w:rPr>
              <w:t>La máxima autoridad puede asignar un vehículo para otras autoridades del nivel jerárquico superior de la entidad, aunque sin asignación exclusiva ni personal y solo para uso en días y horas laborables.</w:t>
            </w:r>
          </w:p>
          <w:p w:rsidR="00A62F61" w:rsidRPr="00A62F61" w:rsidRDefault="00A62F61" w:rsidP="00A62F61">
            <w:pPr>
              <w:jc w:val="both"/>
              <w:rPr>
                <w:rFonts w:ascii="Arial" w:hAnsi="Arial" w:cs="Arial"/>
                <w:sz w:val="20"/>
                <w:szCs w:val="20"/>
                <w:lang w:val="es-ES"/>
              </w:rPr>
            </w:pPr>
            <w:r w:rsidRPr="00A62F61">
              <w:rPr>
                <w:rFonts w:ascii="Arial" w:hAnsi="Arial" w:cs="Arial"/>
                <w:sz w:val="20"/>
                <w:szCs w:val="20"/>
                <w:lang w:val="es-ES_tradnl"/>
              </w:rPr>
              <w:t>El Presidente y el Vicepresidente de la República, los presidentes de las funciones del Estado, así como los funcionarios con rango de ministros, podrán utilizar los vehículos asignados, sin limitación alguna, para el desempeño de sus labores oficiales.</w:t>
            </w:r>
          </w:p>
          <w:p w:rsidR="00A62F61" w:rsidRPr="00A62F61" w:rsidRDefault="00A62F61" w:rsidP="00A62F61">
            <w:pPr>
              <w:jc w:val="both"/>
              <w:rPr>
                <w:rFonts w:ascii="Arial" w:hAnsi="Arial" w:cs="Arial"/>
                <w:sz w:val="20"/>
                <w:szCs w:val="20"/>
                <w:lang w:val="es-ES"/>
              </w:rPr>
            </w:pPr>
            <w:r w:rsidRPr="00A62F61">
              <w:rPr>
                <w:rFonts w:ascii="Arial" w:hAnsi="Arial" w:cs="Arial"/>
                <w:b/>
                <w:bCs/>
                <w:sz w:val="20"/>
                <w:szCs w:val="20"/>
                <w:lang w:val="es-ES_tradnl"/>
              </w:rPr>
              <w:t xml:space="preserve">Artículo 3.- Servidores y/o trabajadores responsables. - </w:t>
            </w:r>
            <w:r w:rsidRPr="00A62F61">
              <w:rPr>
                <w:rFonts w:ascii="Arial" w:hAnsi="Arial" w:cs="Arial"/>
                <w:sz w:val="20"/>
                <w:szCs w:val="20"/>
                <w:lang w:val="es-ES_tradnl"/>
              </w:rPr>
              <w:t>Son responsables del cumplimiento de las normas contenidas en este acuerdo, los servidores públicos y privados descritos en el artículo 1 del presente reglamento, a cuyo cargo se encuentren los vehículos institucionales y quienes los conduzcan.</w:t>
            </w:r>
          </w:p>
          <w:p w:rsidR="00A62F61" w:rsidRPr="00A62F61" w:rsidRDefault="00A62F61" w:rsidP="00A62F61">
            <w:pPr>
              <w:jc w:val="both"/>
              <w:rPr>
                <w:rFonts w:ascii="Arial" w:hAnsi="Arial" w:cs="Arial"/>
                <w:sz w:val="20"/>
                <w:szCs w:val="20"/>
                <w:lang w:val="es-ES"/>
              </w:rPr>
            </w:pPr>
            <w:r w:rsidRPr="00A62F61">
              <w:rPr>
                <w:rFonts w:ascii="Arial" w:hAnsi="Arial" w:cs="Arial"/>
                <w:sz w:val="20"/>
                <w:szCs w:val="20"/>
                <w:lang w:val="es-ES_tradnl"/>
              </w:rPr>
              <w:t>Para efectos de la aplicación de esta normativa se entenderá por:</w:t>
            </w:r>
          </w:p>
          <w:p w:rsidR="00A62F61" w:rsidRPr="00A62F61" w:rsidRDefault="00A62F61" w:rsidP="00A62F61">
            <w:pPr>
              <w:jc w:val="both"/>
              <w:rPr>
                <w:rFonts w:ascii="Arial" w:hAnsi="Arial" w:cs="Arial"/>
                <w:sz w:val="20"/>
                <w:szCs w:val="20"/>
                <w:lang w:val="es-ES"/>
              </w:rPr>
            </w:pPr>
            <w:r w:rsidRPr="00A62F61">
              <w:rPr>
                <w:rFonts w:ascii="Arial" w:hAnsi="Arial" w:cs="Arial"/>
                <w:b/>
                <w:bCs/>
                <w:iCs/>
                <w:sz w:val="20"/>
                <w:szCs w:val="20"/>
                <w:lang w:val="es-ES_tradnl"/>
              </w:rPr>
              <w:t xml:space="preserve">Titular de la gestión administrativa. </w:t>
            </w:r>
            <w:r w:rsidRPr="00A62F61">
              <w:rPr>
                <w:rFonts w:ascii="Arial" w:hAnsi="Arial" w:cs="Arial"/>
                <w:iCs/>
                <w:sz w:val="20"/>
                <w:szCs w:val="20"/>
                <w:lang w:val="es-ES_tradnl"/>
              </w:rPr>
              <w:t xml:space="preserve">- </w:t>
            </w:r>
            <w:r w:rsidRPr="00A62F61">
              <w:rPr>
                <w:rFonts w:ascii="Arial" w:hAnsi="Arial" w:cs="Arial"/>
                <w:sz w:val="20"/>
                <w:szCs w:val="20"/>
                <w:lang w:val="es-ES_tradnl"/>
              </w:rPr>
              <w:t>El servidor que dirige la gestión administrativa de la entidad.</w:t>
            </w:r>
          </w:p>
          <w:p w:rsidR="00A62F61" w:rsidRPr="00A62F61" w:rsidRDefault="00A62F61" w:rsidP="00A62F61">
            <w:pPr>
              <w:jc w:val="both"/>
              <w:rPr>
                <w:rFonts w:ascii="Arial" w:hAnsi="Arial" w:cs="Arial"/>
                <w:sz w:val="20"/>
                <w:szCs w:val="20"/>
                <w:lang w:val="es-ES"/>
              </w:rPr>
            </w:pPr>
            <w:r w:rsidRPr="00A62F61">
              <w:rPr>
                <w:rFonts w:ascii="Arial" w:hAnsi="Arial" w:cs="Arial"/>
                <w:b/>
                <w:bCs/>
                <w:iCs/>
                <w:sz w:val="20"/>
                <w:szCs w:val="20"/>
                <w:lang w:val="es-ES_tradnl"/>
              </w:rPr>
              <w:t xml:space="preserve">Titular de una unidad administrativa. </w:t>
            </w:r>
            <w:r w:rsidRPr="00A62F61">
              <w:rPr>
                <w:rFonts w:ascii="Arial" w:hAnsi="Arial" w:cs="Arial"/>
                <w:iCs/>
                <w:sz w:val="20"/>
                <w:szCs w:val="20"/>
                <w:lang w:val="es-ES_tradnl"/>
              </w:rPr>
              <w:t xml:space="preserve">- </w:t>
            </w:r>
            <w:r w:rsidRPr="00A62F61">
              <w:rPr>
                <w:rFonts w:ascii="Arial" w:hAnsi="Arial" w:cs="Arial"/>
                <w:sz w:val="20"/>
                <w:szCs w:val="20"/>
                <w:lang w:val="es-ES_tradnl"/>
              </w:rPr>
              <w:t>Servidor que dirige cualquier unidad administrativa de la entidad.</w:t>
            </w:r>
          </w:p>
          <w:p w:rsidR="00A62F61" w:rsidRPr="00A62F61" w:rsidRDefault="00A62F61" w:rsidP="00A62F61">
            <w:pPr>
              <w:jc w:val="both"/>
              <w:rPr>
                <w:rFonts w:ascii="Arial" w:hAnsi="Arial" w:cs="Arial"/>
                <w:sz w:val="20"/>
                <w:szCs w:val="20"/>
                <w:lang w:val="es-ES"/>
              </w:rPr>
            </w:pPr>
            <w:r w:rsidRPr="00A62F61">
              <w:rPr>
                <w:rFonts w:ascii="Arial" w:hAnsi="Arial" w:cs="Arial"/>
                <w:b/>
                <w:bCs/>
                <w:iCs/>
                <w:sz w:val="20"/>
                <w:szCs w:val="20"/>
                <w:lang w:val="es-ES_tradnl"/>
              </w:rPr>
              <w:t xml:space="preserve">Encargado o responsable de la unidad de transportes. – </w:t>
            </w:r>
            <w:r w:rsidRPr="00A62F61">
              <w:rPr>
                <w:rFonts w:ascii="Arial" w:hAnsi="Arial" w:cs="Arial"/>
                <w:sz w:val="20"/>
                <w:szCs w:val="20"/>
                <w:lang w:val="es-ES_tradnl"/>
              </w:rPr>
              <w:t>El servidor encargado de la organización y control del parque automotor institucional.</w:t>
            </w:r>
          </w:p>
          <w:p w:rsidR="00A62F61" w:rsidRPr="00A62F61" w:rsidRDefault="00A62F61" w:rsidP="00A62F61">
            <w:pPr>
              <w:jc w:val="both"/>
              <w:rPr>
                <w:rFonts w:ascii="Arial" w:hAnsi="Arial" w:cs="Arial"/>
                <w:sz w:val="20"/>
                <w:szCs w:val="20"/>
                <w:lang w:val="es-ES"/>
              </w:rPr>
            </w:pPr>
            <w:r w:rsidRPr="00A62F61">
              <w:rPr>
                <w:rFonts w:ascii="Arial" w:hAnsi="Arial" w:cs="Arial"/>
                <w:b/>
                <w:bCs/>
                <w:iCs/>
                <w:sz w:val="20"/>
                <w:szCs w:val="20"/>
                <w:lang w:val="es-ES_tradnl"/>
              </w:rPr>
              <w:t xml:space="preserve">Conductor. </w:t>
            </w:r>
            <w:r w:rsidRPr="00A62F61">
              <w:rPr>
                <w:rFonts w:ascii="Arial" w:hAnsi="Arial" w:cs="Arial"/>
                <w:iCs/>
                <w:sz w:val="20"/>
                <w:szCs w:val="20"/>
                <w:lang w:val="es-ES_tradnl"/>
              </w:rPr>
              <w:t xml:space="preserve">- </w:t>
            </w:r>
            <w:r w:rsidRPr="00A62F61">
              <w:rPr>
                <w:rFonts w:ascii="Arial" w:hAnsi="Arial" w:cs="Arial"/>
                <w:sz w:val="20"/>
                <w:szCs w:val="20"/>
                <w:lang w:val="es-ES_tradnl"/>
              </w:rPr>
              <w:t>El servidor y/o trabajador facultado para conducir un vehículo automotor oficial, así como, quien guía, dirige o maniobra un vehículo remolcado.</w:t>
            </w:r>
          </w:p>
          <w:p w:rsidR="00A62F61" w:rsidRPr="00A62F61" w:rsidRDefault="00A62F61" w:rsidP="00A62F61">
            <w:pPr>
              <w:jc w:val="both"/>
              <w:rPr>
                <w:rFonts w:ascii="Arial" w:hAnsi="Arial" w:cs="Arial"/>
                <w:sz w:val="20"/>
                <w:szCs w:val="20"/>
                <w:lang w:val="es-ES"/>
              </w:rPr>
            </w:pPr>
            <w:r w:rsidRPr="00A62F61">
              <w:rPr>
                <w:rFonts w:ascii="Arial" w:hAnsi="Arial" w:cs="Arial"/>
                <w:b/>
                <w:bCs/>
                <w:iCs/>
                <w:sz w:val="20"/>
                <w:szCs w:val="20"/>
                <w:lang w:val="es-ES_tradnl"/>
              </w:rPr>
              <w:t xml:space="preserve">Mecánico. </w:t>
            </w:r>
            <w:r w:rsidRPr="00A62F61">
              <w:rPr>
                <w:rFonts w:ascii="Arial" w:hAnsi="Arial" w:cs="Arial"/>
                <w:iCs/>
                <w:sz w:val="20"/>
                <w:szCs w:val="20"/>
                <w:lang w:val="es-ES_tradnl"/>
              </w:rPr>
              <w:t xml:space="preserve">- </w:t>
            </w:r>
            <w:r w:rsidRPr="00A62F61">
              <w:rPr>
                <w:rFonts w:ascii="Arial" w:hAnsi="Arial" w:cs="Arial"/>
                <w:sz w:val="20"/>
                <w:szCs w:val="20"/>
                <w:lang w:val="es-ES_tradnl"/>
              </w:rPr>
              <w:t>El servidor bajo cuya responsabilidad se encuentra a cargo el chequeo, mantenimiento y reparación de los vehículos.</w:t>
            </w:r>
          </w:p>
          <w:p w:rsidR="00A62F61" w:rsidRDefault="00A62F61" w:rsidP="00A62F61">
            <w:pPr>
              <w:jc w:val="both"/>
              <w:rPr>
                <w:rFonts w:ascii="Arial" w:hAnsi="Arial" w:cs="Arial"/>
                <w:sz w:val="20"/>
                <w:szCs w:val="20"/>
                <w:lang w:val="es-ES_tradnl"/>
              </w:rPr>
            </w:pPr>
            <w:r w:rsidRPr="00A62F61">
              <w:rPr>
                <w:rFonts w:ascii="Arial" w:hAnsi="Arial" w:cs="Arial"/>
                <w:b/>
                <w:bCs/>
                <w:sz w:val="20"/>
                <w:szCs w:val="20"/>
                <w:lang w:val="es-ES_tradnl"/>
              </w:rPr>
              <w:t xml:space="preserve">Artículo 4.- Conducción de los vehículos. </w:t>
            </w:r>
            <w:r w:rsidRPr="00A62F61">
              <w:rPr>
                <w:rFonts w:ascii="Arial" w:hAnsi="Arial" w:cs="Arial"/>
                <w:sz w:val="20"/>
                <w:szCs w:val="20"/>
                <w:lang w:val="es-ES_tradnl"/>
              </w:rPr>
              <w:t>- Los vehículos oficiales deben ser conducidos por choferes profesionales. Por excepción, previa autorización y bajo responsabilidad de la máxima autoridad o su delegado, vehículos con acoplados de hasta 1.75 toneladas de carga útil, pueden ser conducidos por servidores públicos que se movilicen para el cumplimiento de sus funciones y que tengan Licencia Tipo B (no profesional), a quienes se los considerará también responsables de su cuidado, mantenimiento preventivo básico y del cumplimiento de las leyes y reglamentos vigentes para el sector público y de tránsito, transporte terrestre y seguridad vial.</w:t>
            </w:r>
          </w:p>
          <w:p w:rsidR="00A83A18" w:rsidRPr="00A62F61" w:rsidRDefault="00A83A18" w:rsidP="00A62F61">
            <w:pPr>
              <w:jc w:val="both"/>
              <w:rPr>
                <w:rFonts w:ascii="Arial" w:hAnsi="Arial" w:cs="Arial"/>
                <w:sz w:val="20"/>
                <w:szCs w:val="20"/>
                <w:lang w:val="es-ES_tradnl"/>
              </w:rPr>
            </w:pPr>
          </w:p>
          <w:p w:rsidR="00A62F61" w:rsidRPr="00A62F61" w:rsidRDefault="00A62F61" w:rsidP="00A62F61">
            <w:pPr>
              <w:jc w:val="both"/>
              <w:rPr>
                <w:rFonts w:ascii="Arial" w:hAnsi="Arial" w:cs="Arial"/>
                <w:sz w:val="20"/>
                <w:szCs w:val="20"/>
                <w:lang w:val="es-ES"/>
              </w:rPr>
            </w:pPr>
            <w:r w:rsidRPr="00A62F61">
              <w:rPr>
                <w:rFonts w:ascii="Arial" w:hAnsi="Arial" w:cs="Arial"/>
                <w:b/>
                <w:bCs/>
                <w:sz w:val="20"/>
                <w:szCs w:val="20"/>
                <w:lang w:val="es-ES_tradnl"/>
              </w:rPr>
              <w:t xml:space="preserve">CAPÍTULO </w:t>
            </w:r>
            <w:r w:rsidRPr="00A62F61">
              <w:rPr>
                <w:rFonts w:ascii="Arial" w:hAnsi="Arial" w:cs="Arial"/>
                <w:b/>
                <w:bCs/>
                <w:sz w:val="20"/>
                <w:szCs w:val="20"/>
                <w:lang w:val="es-ES"/>
              </w:rPr>
              <w:t>II</w:t>
            </w:r>
          </w:p>
          <w:p w:rsidR="00A62F61" w:rsidRDefault="00A62F61" w:rsidP="00A62F61">
            <w:pPr>
              <w:jc w:val="both"/>
              <w:rPr>
                <w:rFonts w:ascii="Arial" w:hAnsi="Arial" w:cs="Arial"/>
                <w:b/>
                <w:bCs/>
                <w:sz w:val="20"/>
                <w:szCs w:val="20"/>
                <w:lang w:val="es-ES_tradnl"/>
              </w:rPr>
            </w:pPr>
            <w:r w:rsidRPr="00A62F61">
              <w:rPr>
                <w:rFonts w:ascii="Arial" w:hAnsi="Arial" w:cs="Arial"/>
                <w:b/>
                <w:bCs/>
                <w:sz w:val="20"/>
                <w:szCs w:val="20"/>
                <w:lang w:val="es-ES_tradnl"/>
              </w:rPr>
              <w:t>MOVILIZACIÓN Y MANTENIMIENTO VEHICULAR</w:t>
            </w:r>
          </w:p>
          <w:p w:rsidR="00A83A18" w:rsidRPr="00A62F61" w:rsidRDefault="00A83A18" w:rsidP="00A62F61">
            <w:pPr>
              <w:jc w:val="both"/>
              <w:rPr>
                <w:rFonts w:ascii="Arial" w:hAnsi="Arial" w:cs="Arial"/>
                <w:sz w:val="20"/>
                <w:szCs w:val="20"/>
                <w:lang w:val="es-ES"/>
              </w:rPr>
            </w:pPr>
          </w:p>
          <w:p w:rsidR="00A62F61" w:rsidRPr="00A62F61" w:rsidRDefault="00A62F61" w:rsidP="00A62F61">
            <w:pPr>
              <w:jc w:val="both"/>
              <w:rPr>
                <w:rFonts w:ascii="Arial" w:hAnsi="Arial" w:cs="Arial"/>
                <w:sz w:val="20"/>
                <w:szCs w:val="20"/>
                <w:lang w:val="es-ES"/>
              </w:rPr>
            </w:pPr>
            <w:r w:rsidRPr="00A62F61">
              <w:rPr>
                <w:rFonts w:ascii="Arial" w:hAnsi="Arial" w:cs="Arial"/>
                <w:b/>
                <w:bCs/>
                <w:sz w:val="20"/>
                <w:szCs w:val="20"/>
                <w:lang w:val="es-ES_tradnl"/>
              </w:rPr>
              <w:t xml:space="preserve">Artículo 5.- Movilización de los vehículos oficiales y excepciones. </w:t>
            </w:r>
            <w:r w:rsidRPr="00A62F61">
              <w:rPr>
                <w:rFonts w:ascii="Arial" w:hAnsi="Arial" w:cs="Arial"/>
                <w:sz w:val="20"/>
                <w:szCs w:val="20"/>
                <w:lang w:val="es-ES_tradnl"/>
              </w:rPr>
              <w:t>- Ningún vehículo oficial podrá circular sin la respectiva orden de movilización y con justificación expresa de la necesidad institucional.</w:t>
            </w:r>
          </w:p>
          <w:p w:rsidR="00A62F61" w:rsidRDefault="00A62F61" w:rsidP="00A62F61">
            <w:pPr>
              <w:jc w:val="both"/>
              <w:rPr>
                <w:rFonts w:ascii="Arial" w:hAnsi="Arial" w:cs="Arial"/>
                <w:sz w:val="20"/>
                <w:szCs w:val="20"/>
                <w:lang w:val="es-ES_tradnl"/>
              </w:rPr>
            </w:pPr>
            <w:r w:rsidRPr="00A62F61">
              <w:rPr>
                <w:rFonts w:ascii="Arial" w:hAnsi="Arial" w:cs="Arial"/>
                <w:sz w:val="20"/>
                <w:szCs w:val="20"/>
                <w:lang w:val="es-ES_tradnl"/>
              </w:rPr>
              <w:t xml:space="preserve">Se excluyen de la norma contenida en el inciso anterior, los vehículos del servicio de ambulancias de las unidades de salud del Ministerio de Salud Pública, Instituto Ecuatoriano de Seguridad Social, </w:t>
            </w:r>
            <w:r w:rsidRPr="00A62F61">
              <w:rPr>
                <w:rFonts w:ascii="Arial" w:hAnsi="Arial" w:cs="Arial"/>
                <w:sz w:val="20"/>
                <w:szCs w:val="20"/>
                <w:lang w:val="es-ES_tradnl"/>
              </w:rPr>
              <w:lastRenderedPageBreak/>
              <w:t>IESS, Cruz Roja Ecuatoriana, Cuerpo de Bomberos, Secretaría Nacional de Gestión de Riesgos, Solea, Fuerzas Armadas, Policía Nacional, Comisión de Tránsito del Ecuador y de los cuerpos de seguridad y vigilancia de los Gobiernos Autónomos Descentralizados, Regionales, Metropolitanos y Municipales; además, los vehículos utilizados para el mantenimiento de los sistemas de redes eléctricas, telefónicas, agua potable, alcantarillado, obras públicas; los automotores del Sistema Integrado de Seguridad Ciudadana ECU 911, y aquellos que sean indispensables para atender casos de emergencia y para mantener la continuidad y regularidad de los servicios públicos.</w:t>
            </w:r>
          </w:p>
          <w:p w:rsidR="00A83A18" w:rsidRPr="00A62F61" w:rsidRDefault="00A83A18" w:rsidP="00A62F61">
            <w:pPr>
              <w:jc w:val="both"/>
              <w:rPr>
                <w:rFonts w:ascii="Arial" w:hAnsi="Arial" w:cs="Arial"/>
                <w:sz w:val="20"/>
                <w:szCs w:val="20"/>
                <w:lang w:val="es-ES"/>
              </w:rPr>
            </w:pPr>
          </w:p>
          <w:p w:rsidR="00A62F61" w:rsidRPr="00A62F61" w:rsidRDefault="00A62F61" w:rsidP="00A62F61">
            <w:pPr>
              <w:jc w:val="both"/>
              <w:rPr>
                <w:rFonts w:ascii="Arial" w:hAnsi="Arial" w:cs="Arial"/>
                <w:sz w:val="20"/>
                <w:szCs w:val="20"/>
                <w:lang w:val="es-ES"/>
              </w:rPr>
            </w:pPr>
            <w:r w:rsidRPr="00A62F61">
              <w:rPr>
                <w:rFonts w:ascii="Arial" w:hAnsi="Arial" w:cs="Arial"/>
                <w:b/>
                <w:bCs/>
                <w:sz w:val="20"/>
                <w:szCs w:val="20"/>
                <w:lang w:val="es-ES_tradnl"/>
              </w:rPr>
              <w:t xml:space="preserve">Artículo 6.- Solicitud de orden de movilización. </w:t>
            </w:r>
            <w:r w:rsidRPr="00A62F61">
              <w:rPr>
                <w:rFonts w:ascii="Arial" w:hAnsi="Arial" w:cs="Arial"/>
                <w:sz w:val="20"/>
                <w:szCs w:val="20"/>
                <w:lang w:val="es-ES_tradnl"/>
              </w:rPr>
              <w:t>– El titular de la unidad administrativa o su delegado, autorizará</w:t>
            </w:r>
          </w:p>
          <w:p w:rsidR="00A62F61" w:rsidRPr="00A62F61" w:rsidRDefault="00A62F61" w:rsidP="00A62F61">
            <w:pPr>
              <w:jc w:val="both"/>
              <w:rPr>
                <w:rFonts w:ascii="Arial" w:hAnsi="Arial" w:cs="Arial"/>
                <w:sz w:val="20"/>
                <w:szCs w:val="20"/>
                <w:lang w:val="es-ES"/>
              </w:rPr>
            </w:pPr>
            <w:r w:rsidRPr="00A62F61">
              <w:rPr>
                <w:rFonts w:ascii="Arial" w:hAnsi="Arial" w:cs="Arial"/>
                <w:sz w:val="20"/>
                <w:szCs w:val="20"/>
                <w:lang w:val="es-ES"/>
              </w:rPr>
              <w:br w:type="column"/>
            </w:r>
            <w:proofErr w:type="gramStart"/>
            <w:r w:rsidRPr="00A62F61">
              <w:rPr>
                <w:rFonts w:ascii="Arial" w:hAnsi="Arial" w:cs="Arial"/>
                <w:sz w:val="20"/>
                <w:szCs w:val="20"/>
                <w:lang w:val="es-ES_tradnl"/>
              </w:rPr>
              <w:t>el</w:t>
            </w:r>
            <w:proofErr w:type="gramEnd"/>
            <w:r w:rsidRPr="00A62F61">
              <w:rPr>
                <w:rFonts w:ascii="Arial" w:hAnsi="Arial" w:cs="Arial"/>
                <w:sz w:val="20"/>
                <w:szCs w:val="20"/>
                <w:lang w:val="es-ES_tradnl"/>
              </w:rPr>
              <w:t xml:space="preserve"> desplazamiento del servidor en días y horas laborables; para tal propósito, la orden de movilización se tramitará en formatos propios de la entidad.</w:t>
            </w:r>
          </w:p>
          <w:p w:rsidR="00A62F61" w:rsidRDefault="00A62F61" w:rsidP="00A62F61">
            <w:pPr>
              <w:jc w:val="both"/>
              <w:rPr>
                <w:rFonts w:ascii="Arial" w:hAnsi="Arial" w:cs="Arial"/>
                <w:sz w:val="20"/>
                <w:szCs w:val="20"/>
                <w:lang w:val="es-ES_tradnl"/>
              </w:rPr>
            </w:pPr>
            <w:r w:rsidRPr="00A62F61">
              <w:rPr>
                <w:rFonts w:ascii="Arial" w:hAnsi="Arial" w:cs="Arial"/>
                <w:sz w:val="20"/>
                <w:szCs w:val="20"/>
                <w:lang w:val="es-ES_tradnl"/>
              </w:rPr>
              <w:t xml:space="preserve">La autorización previa al desplazamiento de los servidores fuera de la jornada ordinaria de trabajo, en días feriados y/o fines de semana o que implique el pago de viáticos, será otorgada por la máxima autoridad o su delegado; en tal caso, la orden de movilización se tramitará únicamente mediante el aplicativo </w:t>
            </w:r>
            <w:proofErr w:type="spellStart"/>
            <w:r w:rsidRPr="00A62F61">
              <w:rPr>
                <w:rFonts w:ascii="Arial" w:hAnsi="Arial" w:cs="Arial"/>
                <w:sz w:val="20"/>
                <w:szCs w:val="20"/>
                <w:lang w:val="es-ES_tradnl"/>
              </w:rPr>
              <w:t>cgeMovilización</w:t>
            </w:r>
            <w:proofErr w:type="spellEnd"/>
            <w:r w:rsidRPr="00A62F61">
              <w:rPr>
                <w:rFonts w:ascii="Arial" w:hAnsi="Arial" w:cs="Arial"/>
                <w:sz w:val="20"/>
                <w:szCs w:val="20"/>
                <w:lang w:val="es-ES_tradnl"/>
              </w:rPr>
              <w:t>, publicado en la página web de la Contraloría General del Estado, observando el siguiente procedimiento.</w:t>
            </w:r>
          </w:p>
          <w:p w:rsidR="00A83A18" w:rsidRPr="00A62F61" w:rsidRDefault="00A83A18" w:rsidP="00A62F61">
            <w:pPr>
              <w:jc w:val="both"/>
              <w:rPr>
                <w:rFonts w:ascii="Arial" w:hAnsi="Arial" w:cs="Arial"/>
                <w:sz w:val="20"/>
                <w:szCs w:val="20"/>
                <w:lang w:val="es-ES"/>
              </w:rPr>
            </w:pPr>
          </w:p>
          <w:p w:rsidR="00A62F61" w:rsidRPr="00A62F61" w:rsidRDefault="00A62F61" w:rsidP="00A62F61">
            <w:pPr>
              <w:jc w:val="both"/>
              <w:rPr>
                <w:rFonts w:ascii="Arial" w:hAnsi="Arial" w:cs="Arial"/>
                <w:sz w:val="20"/>
                <w:szCs w:val="20"/>
                <w:lang w:val="es-ES"/>
              </w:rPr>
            </w:pPr>
            <w:r w:rsidRPr="00A62F61">
              <w:rPr>
                <w:rFonts w:ascii="Arial" w:hAnsi="Arial" w:cs="Arial"/>
                <w:b/>
                <w:bCs/>
                <w:sz w:val="20"/>
                <w:szCs w:val="20"/>
                <w:lang w:val="es-ES_tradnl"/>
              </w:rPr>
              <w:t>a.</w:t>
            </w:r>
            <w:r w:rsidRPr="00A62F61">
              <w:rPr>
                <w:rFonts w:ascii="Arial" w:hAnsi="Arial" w:cs="Arial"/>
                <w:b/>
                <w:bCs/>
                <w:sz w:val="20"/>
                <w:szCs w:val="20"/>
                <w:lang w:val="es-ES_tradnl"/>
              </w:rPr>
              <w:tab/>
            </w:r>
            <w:r w:rsidRPr="00A62F61">
              <w:rPr>
                <w:rFonts w:ascii="Arial" w:hAnsi="Arial" w:cs="Arial"/>
                <w:b/>
                <w:bCs/>
                <w:iCs/>
                <w:sz w:val="20"/>
                <w:szCs w:val="20"/>
                <w:lang w:val="es-ES_tradnl"/>
              </w:rPr>
              <w:t xml:space="preserve">Registro y obtención del usuario y contraseña para el uso del aplicativo </w:t>
            </w:r>
            <w:proofErr w:type="spellStart"/>
            <w:r w:rsidRPr="00A62F61">
              <w:rPr>
                <w:rFonts w:ascii="Arial" w:hAnsi="Arial" w:cs="Arial"/>
                <w:b/>
                <w:bCs/>
                <w:iCs/>
                <w:sz w:val="20"/>
                <w:szCs w:val="20"/>
                <w:lang w:val="es-ES_tradnl"/>
              </w:rPr>
              <w:t>cgeMovilización</w:t>
            </w:r>
            <w:proofErr w:type="spellEnd"/>
            <w:r w:rsidRPr="00A62F61">
              <w:rPr>
                <w:rFonts w:ascii="Arial" w:hAnsi="Arial" w:cs="Arial"/>
                <w:b/>
                <w:bCs/>
                <w:iCs/>
                <w:sz w:val="20"/>
                <w:szCs w:val="20"/>
                <w:lang w:val="es-ES_tradnl"/>
              </w:rPr>
              <w:t>.</w:t>
            </w:r>
          </w:p>
          <w:p w:rsidR="00A62F61" w:rsidRPr="00A62F61" w:rsidRDefault="00A62F61" w:rsidP="00A62F61">
            <w:pPr>
              <w:jc w:val="both"/>
              <w:rPr>
                <w:rFonts w:ascii="Arial" w:hAnsi="Arial" w:cs="Arial"/>
                <w:sz w:val="20"/>
                <w:szCs w:val="20"/>
                <w:lang w:val="es-ES"/>
              </w:rPr>
            </w:pPr>
            <w:r w:rsidRPr="00A62F61">
              <w:rPr>
                <w:rFonts w:ascii="Arial" w:hAnsi="Arial" w:cs="Arial"/>
                <w:sz w:val="20"/>
                <w:szCs w:val="20"/>
                <w:lang w:val="es-ES_tradnl"/>
              </w:rPr>
              <w:t xml:space="preserve">El titular de la Gestión Administrativa de la entidad o su delegado, designará dos o más servidores, dependiendo del tamaño y la necesidad institucional, como responsables del ingreso de la información en el aplicativo </w:t>
            </w:r>
            <w:proofErr w:type="spellStart"/>
            <w:r w:rsidRPr="00A62F61">
              <w:rPr>
                <w:rFonts w:ascii="Arial" w:hAnsi="Arial" w:cs="Arial"/>
                <w:sz w:val="20"/>
                <w:szCs w:val="20"/>
                <w:lang w:val="es-ES_tradnl"/>
              </w:rPr>
              <w:t>cgeMovilización</w:t>
            </w:r>
            <w:proofErr w:type="spellEnd"/>
            <w:r w:rsidRPr="00A62F61">
              <w:rPr>
                <w:rFonts w:ascii="Arial" w:hAnsi="Arial" w:cs="Arial"/>
                <w:sz w:val="20"/>
                <w:szCs w:val="20"/>
                <w:lang w:val="es-ES_tradnl"/>
              </w:rPr>
              <w:t>, publicado en la página web de la Contraloría General del Estado.</w:t>
            </w:r>
          </w:p>
          <w:p w:rsidR="00A62F61" w:rsidRDefault="00A62F61" w:rsidP="00A62F61">
            <w:pPr>
              <w:jc w:val="both"/>
              <w:rPr>
                <w:rFonts w:ascii="Arial" w:hAnsi="Arial" w:cs="Arial"/>
                <w:sz w:val="20"/>
                <w:szCs w:val="20"/>
                <w:lang w:val="es-ES_tradnl"/>
              </w:rPr>
            </w:pPr>
            <w:r w:rsidRPr="00A62F61">
              <w:rPr>
                <w:rFonts w:ascii="Arial" w:hAnsi="Arial" w:cs="Arial"/>
                <w:sz w:val="20"/>
                <w:szCs w:val="20"/>
                <w:lang w:val="es-ES_tradnl"/>
              </w:rPr>
              <w:t>Los servidores designados para el ingreso de la información en el aplicativo, podrán obtener el usuario y contraseña siguiendo el procedimiento establecido en el "Instructivo de registro y uso de medios o servicios electrónicos que brinda la Contraloría General del Estado".</w:t>
            </w:r>
          </w:p>
          <w:p w:rsidR="00A83A18" w:rsidRPr="00A62F61" w:rsidRDefault="00A83A18" w:rsidP="00A62F61">
            <w:pPr>
              <w:jc w:val="both"/>
              <w:rPr>
                <w:rFonts w:ascii="Arial" w:hAnsi="Arial" w:cs="Arial"/>
                <w:sz w:val="20"/>
                <w:szCs w:val="20"/>
                <w:lang w:val="es-ES"/>
              </w:rPr>
            </w:pPr>
          </w:p>
          <w:p w:rsidR="00A62F61" w:rsidRPr="00A62F61" w:rsidRDefault="00A62F61" w:rsidP="00A62F61">
            <w:pPr>
              <w:jc w:val="both"/>
              <w:rPr>
                <w:rFonts w:ascii="Arial" w:hAnsi="Arial" w:cs="Arial"/>
                <w:sz w:val="20"/>
                <w:szCs w:val="20"/>
                <w:lang w:val="es-ES"/>
              </w:rPr>
            </w:pPr>
            <w:r w:rsidRPr="00A62F61">
              <w:rPr>
                <w:rFonts w:ascii="Arial" w:hAnsi="Arial" w:cs="Arial"/>
                <w:b/>
                <w:bCs/>
                <w:iCs/>
                <w:sz w:val="20"/>
                <w:szCs w:val="20"/>
                <w:lang w:val="es-ES_tradnl"/>
              </w:rPr>
              <w:t>b.</w:t>
            </w:r>
            <w:r w:rsidRPr="00A62F61">
              <w:rPr>
                <w:rFonts w:ascii="Arial" w:hAnsi="Arial" w:cs="Arial"/>
                <w:b/>
                <w:bCs/>
                <w:iCs/>
                <w:sz w:val="20"/>
                <w:szCs w:val="20"/>
                <w:lang w:val="es-ES_tradnl"/>
              </w:rPr>
              <w:tab/>
              <w:t>Trámite de la orden de movilización.</w:t>
            </w:r>
          </w:p>
          <w:p w:rsidR="00A62F61" w:rsidRPr="00A62F61" w:rsidRDefault="00A62F61" w:rsidP="00A62F61">
            <w:pPr>
              <w:jc w:val="both"/>
              <w:rPr>
                <w:rFonts w:ascii="Arial" w:hAnsi="Arial" w:cs="Arial"/>
                <w:sz w:val="20"/>
                <w:szCs w:val="20"/>
                <w:lang w:val="es-ES"/>
              </w:rPr>
            </w:pPr>
            <w:r w:rsidRPr="00A62F61">
              <w:rPr>
                <w:rFonts w:ascii="Arial" w:hAnsi="Arial" w:cs="Arial"/>
                <w:sz w:val="20"/>
                <w:szCs w:val="20"/>
                <w:lang w:val="es-ES_tradnl"/>
              </w:rPr>
              <w:t xml:space="preserve">Los servidores comisionados tramitarán la respectiva orden de movilización en el aplicativo </w:t>
            </w:r>
            <w:proofErr w:type="spellStart"/>
            <w:r w:rsidRPr="00A62F61">
              <w:rPr>
                <w:rFonts w:ascii="Arial" w:hAnsi="Arial" w:cs="Arial"/>
                <w:sz w:val="20"/>
                <w:szCs w:val="20"/>
                <w:lang w:val="es-ES_tradnl"/>
              </w:rPr>
              <w:t>cgeMovilización</w:t>
            </w:r>
            <w:proofErr w:type="spellEnd"/>
            <w:r w:rsidRPr="00A62F61">
              <w:rPr>
                <w:rFonts w:ascii="Arial" w:hAnsi="Arial" w:cs="Arial"/>
                <w:sz w:val="20"/>
                <w:szCs w:val="20"/>
                <w:lang w:val="es-ES_tradnl"/>
              </w:rPr>
              <w:t>, publicado en la página web de la Contraloría General del Estado.</w:t>
            </w:r>
          </w:p>
          <w:p w:rsidR="00A62F61" w:rsidRPr="00A62F61" w:rsidRDefault="00A62F61" w:rsidP="00A62F61">
            <w:pPr>
              <w:jc w:val="both"/>
              <w:rPr>
                <w:rFonts w:ascii="Arial" w:hAnsi="Arial" w:cs="Arial"/>
                <w:sz w:val="20"/>
                <w:szCs w:val="20"/>
                <w:lang w:val="es-ES"/>
              </w:rPr>
            </w:pPr>
            <w:r w:rsidRPr="00A62F61">
              <w:rPr>
                <w:rFonts w:ascii="Arial" w:hAnsi="Arial" w:cs="Arial"/>
                <w:sz w:val="20"/>
                <w:szCs w:val="20"/>
                <w:lang w:val="es-ES_tradnl"/>
              </w:rPr>
              <w:t xml:space="preserve">El servidor responsable del ingreso de la información al sistema, con la justificación correspondiente, registrará los datos en la orden de movilización, imprimirá el formulario </w:t>
            </w:r>
            <w:r w:rsidRPr="00A62F61">
              <w:rPr>
                <w:rFonts w:ascii="Arial" w:hAnsi="Arial" w:cs="Arial"/>
                <w:b/>
                <w:bCs/>
                <w:sz w:val="20"/>
                <w:szCs w:val="20"/>
                <w:lang w:val="es-ES_tradnl"/>
              </w:rPr>
              <w:t xml:space="preserve">(Anexo 1) </w:t>
            </w:r>
            <w:r w:rsidRPr="00A62F61">
              <w:rPr>
                <w:rFonts w:ascii="Arial" w:hAnsi="Arial" w:cs="Arial"/>
                <w:sz w:val="20"/>
                <w:szCs w:val="20"/>
                <w:lang w:val="es-ES_tradnl"/>
              </w:rPr>
              <w:t>y lo entregará al conductor del vehículo designado para cumplir la comisión, previo su desplazamiento.</w:t>
            </w:r>
          </w:p>
          <w:p w:rsidR="00A62F61" w:rsidRPr="00A62F61" w:rsidRDefault="00A62F61" w:rsidP="00A62F61">
            <w:pPr>
              <w:jc w:val="both"/>
              <w:rPr>
                <w:rFonts w:ascii="Arial" w:hAnsi="Arial" w:cs="Arial"/>
                <w:sz w:val="20"/>
                <w:szCs w:val="20"/>
                <w:lang w:val="es-ES"/>
              </w:rPr>
            </w:pPr>
            <w:r w:rsidRPr="00A62F61">
              <w:rPr>
                <w:rFonts w:ascii="Arial" w:hAnsi="Arial" w:cs="Arial"/>
                <w:sz w:val="20"/>
                <w:szCs w:val="20"/>
                <w:lang w:val="es-ES_tradnl"/>
              </w:rPr>
              <w:t>Una vez obtenida la orden de movilización, será colocada en un lugar visible del automotor.</w:t>
            </w:r>
          </w:p>
          <w:p w:rsidR="00A62F61" w:rsidRPr="00A62F61" w:rsidRDefault="00A62F61" w:rsidP="00A62F61">
            <w:pPr>
              <w:jc w:val="both"/>
              <w:rPr>
                <w:rFonts w:ascii="Arial" w:hAnsi="Arial" w:cs="Arial"/>
                <w:sz w:val="20"/>
                <w:szCs w:val="20"/>
                <w:lang w:val="es-ES"/>
              </w:rPr>
            </w:pPr>
            <w:r w:rsidRPr="00A62F61">
              <w:rPr>
                <w:rFonts w:ascii="Arial" w:hAnsi="Arial" w:cs="Arial"/>
                <w:sz w:val="20"/>
                <w:szCs w:val="20"/>
                <w:lang w:val="es-ES_tradnl"/>
              </w:rPr>
              <w:t>En ningún caso la orden de movilización tendrá carácter permanente, indefinido y sin restricciones.</w:t>
            </w:r>
          </w:p>
          <w:p w:rsidR="00A62F61" w:rsidRPr="00A62F61" w:rsidRDefault="00A62F61" w:rsidP="00A62F61">
            <w:pPr>
              <w:jc w:val="both"/>
              <w:rPr>
                <w:rFonts w:ascii="Arial" w:hAnsi="Arial" w:cs="Arial"/>
                <w:sz w:val="20"/>
                <w:szCs w:val="20"/>
                <w:lang w:val="es-ES"/>
              </w:rPr>
            </w:pPr>
            <w:r w:rsidRPr="00A62F61">
              <w:rPr>
                <w:rFonts w:ascii="Arial" w:hAnsi="Arial" w:cs="Arial"/>
                <w:b/>
                <w:bCs/>
                <w:sz w:val="20"/>
                <w:szCs w:val="20"/>
                <w:lang w:val="es-ES_tradnl"/>
              </w:rPr>
              <w:t xml:space="preserve">Artículo 7.- Registros y estadísticas. - </w:t>
            </w:r>
            <w:r w:rsidRPr="00A62F61">
              <w:rPr>
                <w:rFonts w:ascii="Arial" w:hAnsi="Arial" w:cs="Arial"/>
                <w:sz w:val="20"/>
                <w:szCs w:val="20"/>
                <w:lang w:val="es-ES_tradnl"/>
              </w:rPr>
              <w:t>La unidad encargada de la administración de los vehículos, para fines de control y mantenimiento, deberá llevar los siguientes registros:</w:t>
            </w:r>
          </w:p>
          <w:p w:rsidR="00A62F61" w:rsidRPr="00A62F61" w:rsidRDefault="00A62F61" w:rsidP="00A62F61">
            <w:pPr>
              <w:numPr>
                <w:ilvl w:val="0"/>
                <w:numId w:val="34"/>
              </w:numPr>
              <w:jc w:val="both"/>
              <w:rPr>
                <w:rFonts w:ascii="Arial" w:hAnsi="Arial" w:cs="Arial"/>
                <w:sz w:val="20"/>
                <w:szCs w:val="20"/>
                <w:lang w:val="es-ES_tradnl"/>
              </w:rPr>
            </w:pPr>
            <w:r w:rsidRPr="00A62F61">
              <w:rPr>
                <w:rFonts w:ascii="Arial" w:hAnsi="Arial" w:cs="Arial"/>
                <w:sz w:val="20"/>
                <w:szCs w:val="20"/>
                <w:lang w:val="es-ES_tradnl"/>
              </w:rPr>
              <w:lastRenderedPageBreak/>
              <w:t>Inventario de vehículos, accesorios y herramientas.</w:t>
            </w:r>
          </w:p>
          <w:p w:rsidR="00A62F61" w:rsidRPr="00A62F61" w:rsidRDefault="00A62F61" w:rsidP="00A62F61">
            <w:pPr>
              <w:numPr>
                <w:ilvl w:val="0"/>
                <w:numId w:val="34"/>
              </w:numPr>
              <w:jc w:val="both"/>
              <w:rPr>
                <w:rFonts w:ascii="Arial" w:hAnsi="Arial" w:cs="Arial"/>
                <w:sz w:val="20"/>
                <w:szCs w:val="20"/>
                <w:lang w:val="es-ES_tradnl"/>
              </w:rPr>
            </w:pPr>
            <w:r w:rsidRPr="00A62F61">
              <w:rPr>
                <w:rFonts w:ascii="Arial" w:hAnsi="Arial" w:cs="Arial"/>
                <w:sz w:val="20"/>
                <w:szCs w:val="20"/>
                <w:lang w:val="es-ES_tradnl"/>
              </w:rPr>
              <w:t>Control de mantenimiento.</w:t>
            </w:r>
          </w:p>
          <w:p w:rsidR="00A62F61" w:rsidRPr="00A62F61" w:rsidRDefault="00A62F61" w:rsidP="00A62F61">
            <w:pPr>
              <w:numPr>
                <w:ilvl w:val="0"/>
                <w:numId w:val="34"/>
              </w:numPr>
              <w:jc w:val="both"/>
              <w:rPr>
                <w:rFonts w:ascii="Arial" w:hAnsi="Arial" w:cs="Arial"/>
                <w:sz w:val="20"/>
                <w:szCs w:val="20"/>
                <w:lang w:val="es-ES_tradnl"/>
              </w:rPr>
            </w:pPr>
            <w:r w:rsidRPr="00A62F61">
              <w:rPr>
                <w:rFonts w:ascii="Arial" w:hAnsi="Arial" w:cs="Arial"/>
                <w:sz w:val="20"/>
                <w:szCs w:val="20"/>
                <w:lang w:val="es-ES_tradnl"/>
              </w:rPr>
              <w:t>Control de vigencia de la matrícula vehicular, así como, del pago de la tasa por concepto del Sistema Público para Pago de Accidentes de Tránsito.</w:t>
            </w:r>
          </w:p>
          <w:p w:rsidR="00A62F61" w:rsidRPr="00A62F61" w:rsidRDefault="00A62F61" w:rsidP="00A62F61">
            <w:pPr>
              <w:numPr>
                <w:ilvl w:val="0"/>
                <w:numId w:val="34"/>
              </w:numPr>
              <w:jc w:val="both"/>
              <w:rPr>
                <w:rFonts w:ascii="Arial" w:hAnsi="Arial" w:cs="Arial"/>
                <w:sz w:val="20"/>
                <w:szCs w:val="20"/>
                <w:lang w:val="es-ES_tradnl"/>
              </w:rPr>
            </w:pPr>
            <w:r w:rsidRPr="00A62F61">
              <w:rPr>
                <w:rFonts w:ascii="Arial" w:hAnsi="Arial" w:cs="Arial"/>
                <w:sz w:val="20"/>
                <w:szCs w:val="20"/>
                <w:lang w:val="es-ES_tradnl"/>
              </w:rPr>
              <w:t>Órdenes de movilización.</w:t>
            </w:r>
          </w:p>
          <w:p w:rsidR="00A62F61" w:rsidRPr="00A62F61" w:rsidRDefault="00A62F61" w:rsidP="00A62F61">
            <w:pPr>
              <w:jc w:val="both"/>
              <w:rPr>
                <w:rFonts w:ascii="Arial" w:hAnsi="Arial" w:cs="Arial"/>
                <w:b/>
                <w:sz w:val="20"/>
                <w:szCs w:val="20"/>
                <w:lang w:val="es-ES"/>
              </w:rPr>
            </w:pPr>
          </w:p>
          <w:p w:rsidR="00A62F61" w:rsidRPr="00A62F61" w:rsidRDefault="00A62F61" w:rsidP="00A62F61">
            <w:pPr>
              <w:jc w:val="both"/>
              <w:rPr>
                <w:rFonts w:ascii="Arial" w:hAnsi="Arial" w:cs="Arial"/>
                <w:sz w:val="20"/>
                <w:szCs w:val="20"/>
                <w:lang w:val="es-US"/>
              </w:rPr>
            </w:pPr>
            <w:hyperlink r:id="rId18" w:history="1">
              <w:r w:rsidRPr="00A62F61">
                <w:rPr>
                  <w:rStyle w:val="Hipervnculo"/>
                  <w:rFonts w:ascii="Arial" w:hAnsi="Arial" w:cs="Arial"/>
                  <w:sz w:val="20"/>
                  <w:szCs w:val="20"/>
                  <w:lang w:val="es-US"/>
                </w:rPr>
                <w:t>Ver Registro Oficial</w:t>
              </w:r>
            </w:hyperlink>
          </w:p>
          <w:p w:rsidR="00A62F61" w:rsidRPr="00A62F61" w:rsidRDefault="00A62F61" w:rsidP="00A62F61">
            <w:pPr>
              <w:jc w:val="both"/>
              <w:rPr>
                <w:rFonts w:ascii="Arial" w:hAnsi="Arial" w:cs="Arial"/>
                <w:b/>
                <w:sz w:val="20"/>
                <w:szCs w:val="20"/>
                <w:lang w:val="es-ES_tradnl"/>
              </w:rPr>
            </w:pPr>
          </w:p>
          <w:p w:rsidR="00A62F61" w:rsidRPr="00A62F61" w:rsidRDefault="00A62F61" w:rsidP="00A62F61">
            <w:pPr>
              <w:jc w:val="both"/>
              <w:rPr>
                <w:rFonts w:ascii="Arial" w:hAnsi="Arial" w:cs="Arial"/>
                <w:b/>
                <w:sz w:val="20"/>
                <w:szCs w:val="20"/>
                <w:lang w:val="es-US"/>
              </w:rPr>
            </w:pPr>
          </w:p>
        </w:tc>
      </w:tr>
    </w:tbl>
    <w:p w:rsidR="00A62F61" w:rsidRPr="00A62F61" w:rsidRDefault="00A62F61" w:rsidP="00A62F61">
      <w:pPr>
        <w:jc w:val="both"/>
        <w:rPr>
          <w:rFonts w:ascii="Arial" w:hAnsi="Arial" w:cs="Arial"/>
          <w:sz w:val="20"/>
          <w:szCs w:val="20"/>
          <w:lang w:val="es-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62F61" w:rsidRPr="00A62F61" w:rsidTr="00A62F61">
        <w:trPr>
          <w:trHeight w:val="1380"/>
        </w:trPr>
        <w:tc>
          <w:tcPr>
            <w:tcW w:w="9257" w:type="dxa"/>
            <w:shd w:val="clear" w:color="auto" w:fill="DDFFFF"/>
          </w:tcPr>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b/>
                <w:sz w:val="20"/>
                <w:szCs w:val="20"/>
                <w:lang w:val="es-ES_tradnl"/>
              </w:rPr>
            </w:pPr>
            <w:r w:rsidRPr="00A62F61">
              <w:rPr>
                <w:rFonts w:ascii="Arial" w:hAnsi="Arial" w:cs="Arial"/>
                <w:b/>
                <w:sz w:val="20"/>
                <w:szCs w:val="20"/>
                <w:lang w:val="es-ES_tradnl"/>
              </w:rPr>
              <w:t>EXPEDIR LA SIGUIENTE REFORMA A LAS NORMAS PARA LA PRESENTACIÓN Y CONTROL DE LAS DECLARACIONES PATRIMONIALES JURADAS</w:t>
            </w:r>
          </w:p>
          <w:p w:rsidR="00A62F61" w:rsidRPr="00A62F61" w:rsidRDefault="00A62F61" w:rsidP="00A62F61">
            <w:pPr>
              <w:jc w:val="both"/>
              <w:rPr>
                <w:rFonts w:ascii="Arial" w:hAnsi="Arial" w:cs="Arial"/>
                <w:b/>
                <w:sz w:val="20"/>
                <w:szCs w:val="20"/>
                <w:lang w:val="es-ES_tradnl"/>
              </w:rPr>
            </w:pPr>
          </w:p>
          <w:p w:rsidR="00A62F61" w:rsidRPr="00A62F61" w:rsidRDefault="00A62F61" w:rsidP="00A62F61">
            <w:pPr>
              <w:jc w:val="both"/>
              <w:rPr>
                <w:rFonts w:ascii="Arial" w:hAnsi="Arial" w:cs="Arial"/>
                <w:b/>
                <w:sz w:val="20"/>
                <w:szCs w:val="20"/>
                <w:lang w:val="es-US"/>
              </w:rPr>
            </w:pPr>
          </w:p>
          <w:p w:rsidR="00A62F61" w:rsidRPr="00A62F61" w:rsidRDefault="00A62F61" w:rsidP="00A62F61">
            <w:pPr>
              <w:jc w:val="both"/>
              <w:rPr>
                <w:rFonts w:ascii="Arial" w:hAnsi="Arial" w:cs="Arial"/>
                <w:sz w:val="20"/>
                <w:szCs w:val="20"/>
                <w:lang w:val="es-US"/>
              </w:rPr>
            </w:pPr>
            <w:r w:rsidRPr="00A62F61">
              <w:rPr>
                <w:rFonts w:ascii="Arial" w:hAnsi="Arial" w:cs="Arial"/>
                <w:b/>
                <w:sz w:val="20"/>
                <w:szCs w:val="20"/>
                <w:lang w:val="es-US"/>
              </w:rPr>
              <w:t xml:space="preserve">Expedido por: </w:t>
            </w:r>
            <w:r w:rsidRPr="00A62F61">
              <w:rPr>
                <w:rFonts w:ascii="Arial" w:hAnsi="Arial" w:cs="Arial"/>
                <w:sz w:val="20"/>
                <w:szCs w:val="20"/>
                <w:lang w:val="es-US"/>
              </w:rPr>
              <w:t>Acuerdo</w:t>
            </w:r>
            <w:r w:rsidRPr="00A62F61">
              <w:rPr>
                <w:rFonts w:ascii="Arial" w:hAnsi="Arial" w:cs="Arial"/>
                <w:b/>
                <w:bCs/>
                <w:sz w:val="20"/>
                <w:szCs w:val="20"/>
                <w:lang w:val="es-ES_tradnl"/>
              </w:rPr>
              <w:t xml:space="preserve"> </w:t>
            </w:r>
            <w:r w:rsidRPr="00A62F61">
              <w:rPr>
                <w:rFonts w:ascii="Arial" w:hAnsi="Arial" w:cs="Arial"/>
                <w:bCs/>
                <w:sz w:val="20"/>
                <w:szCs w:val="20"/>
                <w:lang w:val="es-ES_tradnl"/>
              </w:rPr>
              <w:t>No. 043 - CG – 2016, de la Contraloría General del Estado</w:t>
            </w:r>
            <w:r w:rsidRPr="00A62F61">
              <w:rPr>
                <w:rFonts w:ascii="Arial" w:hAnsi="Arial" w:cs="Arial"/>
                <w:sz w:val="20"/>
                <w:szCs w:val="20"/>
                <w:lang w:val="es-US"/>
              </w:rPr>
              <w:t>, publicado en el Suplemento del Registro Oficial 913 de 30 de diciembre del 2016.</w:t>
            </w:r>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hyperlink r:id="rId19" w:history="1">
              <w:r w:rsidRPr="00A62F61">
                <w:rPr>
                  <w:rStyle w:val="Hipervnculo"/>
                  <w:rFonts w:ascii="Arial" w:hAnsi="Arial" w:cs="Arial"/>
                  <w:sz w:val="20"/>
                  <w:szCs w:val="20"/>
                  <w:lang w:val="es-US"/>
                </w:rPr>
                <w:t xml:space="preserve">Ver Vigencia </w:t>
              </w:r>
            </w:hyperlink>
            <w:r w:rsidRPr="00A62F61">
              <w:rPr>
                <w:rFonts w:ascii="Arial" w:hAnsi="Arial" w:cs="Arial"/>
                <w:sz w:val="20"/>
                <w:szCs w:val="20"/>
                <w:lang w:val="es-US"/>
              </w:rPr>
              <w:t xml:space="preserve"> </w:t>
            </w:r>
          </w:p>
          <w:p w:rsidR="00A62F61" w:rsidRPr="00A62F61" w:rsidRDefault="00A62F61" w:rsidP="00A62F61">
            <w:pPr>
              <w:jc w:val="both"/>
              <w:rPr>
                <w:rFonts w:ascii="Arial" w:hAnsi="Arial" w:cs="Arial"/>
                <w:sz w:val="20"/>
                <w:szCs w:val="20"/>
                <w:lang w:val="es-ES"/>
              </w:rPr>
            </w:pPr>
            <w:r w:rsidRPr="00A62F61">
              <w:rPr>
                <w:rFonts w:ascii="Arial" w:hAnsi="Arial" w:cs="Arial"/>
                <w:b/>
                <w:bCs/>
                <w:sz w:val="20"/>
                <w:szCs w:val="20"/>
                <w:lang w:val="es-ES_tradnl"/>
              </w:rPr>
              <w:t xml:space="preserve">Artículo 1.- </w:t>
            </w:r>
            <w:r w:rsidRPr="00A62F61">
              <w:rPr>
                <w:rFonts w:ascii="Arial" w:hAnsi="Arial" w:cs="Arial"/>
                <w:sz w:val="20"/>
                <w:szCs w:val="20"/>
                <w:lang w:val="es-ES_tradnl"/>
              </w:rPr>
              <w:t>En el artículo 3, realícese lo siguiente:</w:t>
            </w:r>
          </w:p>
          <w:p w:rsidR="00A62F61" w:rsidRPr="00A62F61" w:rsidRDefault="00A62F61" w:rsidP="00A62F61">
            <w:pPr>
              <w:jc w:val="both"/>
              <w:rPr>
                <w:rFonts w:ascii="Arial" w:hAnsi="Arial" w:cs="Arial"/>
                <w:sz w:val="20"/>
                <w:szCs w:val="20"/>
                <w:lang w:val="es-ES"/>
              </w:rPr>
            </w:pPr>
            <w:r w:rsidRPr="00A62F61">
              <w:rPr>
                <w:rFonts w:ascii="Arial" w:hAnsi="Arial" w:cs="Arial"/>
                <w:sz w:val="20"/>
                <w:szCs w:val="20"/>
                <w:lang w:val="es-ES_tradnl"/>
              </w:rPr>
              <w:t>a.</w:t>
            </w:r>
            <w:r w:rsidRPr="00A62F61">
              <w:rPr>
                <w:rFonts w:ascii="Arial" w:hAnsi="Arial" w:cs="Arial"/>
                <w:sz w:val="20"/>
                <w:szCs w:val="20"/>
                <w:lang w:val="es-ES_tradnl"/>
              </w:rPr>
              <w:tab/>
              <w:t xml:space="preserve">En el primer inciso, sustitúyase la frase: </w:t>
            </w:r>
            <w:r w:rsidRPr="00A62F61">
              <w:rPr>
                <w:rFonts w:ascii="Arial" w:hAnsi="Arial" w:cs="Arial"/>
                <w:iCs/>
                <w:sz w:val="20"/>
                <w:szCs w:val="20"/>
                <w:lang w:val="es-ES_tradnl"/>
              </w:rPr>
              <w:t xml:space="preserve">"para lo cual se deben registrar, aceptar el convenio para uso de servicios electrónicos (Anexo 1) y obtener el correspondiente usuario y clave de acceso personal, siguiendo el procedimiento que el sistema informático establece" </w:t>
            </w:r>
            <w:r w:rsidRPr="00A62F61">
              <w:rPr>
                <w:rFonts w:ascii="Arial" w:hAnsi="Arial" w:cs="Arial"/>
                <w:sz w:val="20"/>
                <w:szCs w:val="20"/>
                <w:lang w:val="es-ES_tradnl"/>
              </w:rPr>
              <w:t>por la siguiente:</w:t>
            </w:r>
          </w:p>
          <w:p w:rsidR="00A62F61" w:rsidRPr="00A62F61" w:rsidRDefault="00A62F61" w:rsidP="00A62F61">
            <w:pPr>
              <w:jc w:val="both"/>
              <w:rPr>
                <w:rFonts w:ascii="Arial" w:hAnsi="Arial" w:cs="Arial"/>
                <w:sz w:val="20"/>
                <w:szCs w:val="20"/>
                <w:lang w:val="es-ES"/>
              </w:rPr>
            </w:pPr>
            <w:r w:rsidRPr="00A62F61">
              <w:rPr>
                <w:rFonts w:ascii="Arial" w:hAnsi="Arial" w:cs="Arial"/>
                <w:iCs/>
                <w:sz w:val="20"/>
                <w:szCs w:val="20"/>
                <w:lang w:val="es-ES_tradnl"/>
              </w:rPr>
              <w:t>"para lo cual se deberán registrar siguiendo los procedimientos establecidos en el Instructivo de registro y uso de medios o servicios electrónicos que brinda la Contraloría General del Estado".</w:t>
            </w:r>
          </w:p>
          <w:p w:rsidR="00A62F61" w:rsidRPr="00A62F61" w:rsidRDefault="00A62F61" w:rsidP="00A62F61">
            <w:pPr>
              <w:jc w:val="both"/>
              <w:rPr>
                <w:rFonts w:ascii="Arial" w:hAnsi="Arial" w:cs="Arial"/>
                <w:sz w:val="20"/>
                <w:szCs w:val="20"/>
                <w:lang w:val="es-ES_tradnl"/>
              </w:rPr>
            </w:pPr>
            <w:r w:rsidRPr="00A62F61">
              <w:rPr>
                <w:rFonts w:ascii="Arial" w:hAnsi="Arial" w:cs="Arial"/>
                <w:sz w:val="20"/>
                <w:szCs w:val="20"/>
                <w:lang w:val="es-ES_tradnl"/>
              </w:rPr>
              <w:t>b.</w:t>
            </w:r>
            <w:r w:rsidRPr="00A62F61">
              <w:rPr>
                <w:rFonts w:ascii="Arial" w:hAnsi="Arial" w:cs="Arial"/>
                <w:sz w:val="20"/>
                <w:szCs w:val="20"/>
                <w:lang w:val="es-ES_tradnl"/>
              </w:rPr>
              <w:tab/>
              <w:t>En el segundo inciso, sustitúyase la palabra "clave" por "contraseña".</w:t>
            </w:r>
          </w:p>
          <w:p w:rsidR="00A62F61" w:rsidRPr="00A62F61" w:rsidRDefault="00A62F61" w:rsidP="00A62F61">
            <w:pPr>
              <w:jc w:val="both"/>
              <w:rPr>
                <w:rFonts w:ascii="Arial" w:hAnsi="Arial" w:cs="Arial"/>
                <w:sz w:val="20"/>
                <w:szCs w:val="20"/>
                <w:lang w:val="es-ES"/>
              </w:rPr>
            </w:pPr>
          </w:p>
          <w:p w:rsidR="00A62F61" w:rsidRPr="00A62F61" w:rsidRDefault="00A62F61" w:rsidP="00A62F61">
            <w:pPr>
              <w:jc w:val="both"/>
              <w:rPr>
                <w:rFonts w:ascii="Arial" w:hAnsi="Arial" w:cs="Arial"/>
                <w:sz w:val="20"/>
                <w:szCs w:val="20"/>
                <w:lang w:val="es-ES"/>
              </w:rPr>
            </w:pPr>
            <w:r w:rsidRPr="00A62F61">
              <w:rPr>
                <w:rFonts w:ascii="Arial" w:hAnsi="Arial" w:cs="Arial"/>
                <w:sz w:val="20"/>
                <w:szCs w:val="20"/>
                <w:lang w:val="es-ES"/>
              </w:rPr>
              <w:br w:type="column"/>
            </w:r>
            <w:r w:rsidRPr="00A62F61">
              <w:rPr>
                <w:rFonts w:ascii="Arial" w:hAnsi="Arial" w:cs="Arial"/>
                <w:b/>
                <w:bCs/>
                <w:sz w:val="20"/>
                <w:szCs w:val="20"/>
                <w:lang w:val="es-ES_tradnl"/>
              </w:rPr>
              <w:t xml:space="preserve">Artículo 2.- </w:t>
            </w:r>
            <w:r w:rsidRPr="00A62F61">
              <w:rPr>
                <w:rFonts w:ascii="Arial" w:hAnsi="Arial" w:cs="Arial"/>
                <w:sz w:val="20"/>
                <w:szCs w:val="20"/>
                <w:lang w:val="es-ES_tradnl"/>
              </w:rPr>
              <w:t>Elimínese el Anexo 1 "Convenio para uso de servicios electrónicos".</w:t>
            </w:r>
          </w:p>
          <w:p w:rsidR="00A62F61" w:rsidRPr="00A62F61" w:rsidRDefault="00A62F61" w:rsidP="00A62F61">
            <w:pPr>
              <w:jc w:val="both"/>
              <w:rPr>
                <w:rFonts w:ascii="Arial" w:hAnsi="Arial" w:cs="Arial"/>
                <w:sz w:val="20"/>
                <w:szCs w:val="20"/>
                <w:lang w:val="es-ES"/>
              </w:rPr>
            </w:pPr>
            <w:r w:rsidRPr="00A62F61">
              <w:rPr>
                <w:rFonts w:ascii="Arial" w:hAnsi="Arial" w:cs="Arial"/>
                <w:b/>
                <w:bCs/>
                <w:sz w:val="20"/>
                <w:szCs w:val="20"/>
                <w:lang w:val="es-ES_tradnl"/>
              </w:rPr>
              <w:t xml:space="preserve">Artículo 3.- </w:t>
            </w:r>
            <w:r w:rsidRPr="00A62F61">
              <w:rPr>
                <w:rFonts w:ascii="Arial" w:hAnsi="Arial" w:cs="Arial"/>
                <w:sz w:val="20"/>
                <w:szCs w:val="20"/>
                <w:lang w:val="es-ES_tradnl"/>
              </w:rPr>
              <w:t>El presente Acuerdo entrará en vigencia a partir de su publicación en el Registro Oficial.</w:t>
            </w:r>
          </w:p>
          <w:p w:rsidR="00A62F61" w:rsidRPr="00A62F61" w:rsidRDefault="00A62F61" w:rsidP="00A62F61">
            <w:pPr>
              <w:jc w:val="both"/>
              <w:rPr>
                <w:rFonts w:ascii="Arial" w:hAnsi="Arial" w:cs="Arial"/>
                <w:sz w:val="20"/>
                <w:szCs w:val="20"/>
                <w:lang w:val="es-ES"/>
              </w:rPr>
            </w:pPr>
            <w:r w:rsidRPr="00A62F61">
              <w:rPr>
                <w:rFonts w:ascii="Arial" w:hAnsi="Arial" w:cs="Arial"/>
                <w:sz w:val="20"/>
                <w:szCs w:val="20"/>
                <w:lang w:val="es-ES_tradnl"/>
              </w:rPr>
              <w:t>Dado, en el Despacho del Contralor General del Estado, en la ciudad de San Francisco de Quito, Distrito Metropolitano, a 21 de noviembre de 2016.</w:t>
            </w:r>
          </w:p>
        </w:tc>
      </w:tr>
    </w:tbl>
    <w:p w:rsidR="00A62F61" w:rsidRPr="00A62F61" w:rsidRDefault="00A62F61" w:rsidP="00A62F61">
      <w:pPr>
        <w:jc w:val="both"/>
        <w:rPr>
          <w:rFonts w:ascii="Arial" w:hAnsi="Arial" w:cs="Arial"/>
          <w:sz w:val="20"/>
          <w:szCs w:val="20"/>
          <w:lang w:val="es-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62F61" w:rsidRPr="00A62F61" w:rsidTr="00A62F61">
        <w:trPr>
          <w:trHeight w:val="1370"/>
        </w:trPr>
        <w:tc>
          <w:tcPr>
            <w:tcW w:w="9257" w:type="dxa"/>
            <w:shd w:val="clear" w:color="auto" w:fill="DDFFFF"/>
          </w:tcPr>
          <w:p w:rsidR="00A62F61" w:rsidRPr="00A62F61" w:rsidRDefault="00A62F61" w:rsidP="00A62F61">
            <w:pPr>
              <w:jc w:val="both"/>
              <w:rPr>
                <w:rFonts w:ascii="Arial" w:hAnsi="Arial" w:cs="Arial"/>
                <w:b/>
                <w:bCs/>
                <w:sz w:val="20"/>
                <w:szCs w:val="20"/>
                <w:lang w:val="es-ES_tradnl"/>
              </w:rPr>
            </w:pPr>
            <w:r w:rsidRPr="00A62F61">
              <w:rPr>
                <w:rFonts w:ascii="Arial" w:hAnsi="Arial" w:cs="Arial"/>
                <w:sz w:val="20"/>
                <w:szCs w:val="20"/>
              </w:rPr>
              <w:lastRenderedPageBreak/>
              <mc:AlternateContent>
                <mc:Choice Requires="wps">
                  <w:drawing>
                    <wp:anchor distT="0" distB="0" distL="114300" distR="114300" simplePos="0" relativeHeight="251665408" behindDoc="0" locked="0" layoutInCell="1" allowOverlap="1" wp14:anchorId="030EA9B6" wp14:editId="6491505B">
                      <wp:simplePos x="0" y="0"/>
                      <wp:positionH relativeFrom="margin">
                        <wp:posOffset>-80010</wp:posOffset>
                      </wp:positionH>
                      <wp:positionV relativeFrom="paragraph">
                        <wp:posOffset>-447675</wp:posOffset>
                      </wp:positionV>
                      <wp:extent cx="1847850" cy="285750"/>
                      <wp:effectExtent l="0" t="0" r="19050" b="1905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85750"/>
                              </a:xfrm>
                              <a:prstGeom prst="rect">
                                <a:avLst/>
                              </a:prstGeom>
                              <a:solidFill>
                                <a:srgbClr val="000080"/>
                              </a:solidFill>
                              <a:ln w="9525">
                                <a:solidFill>
                                  <a:srgbClr val="000080"/>
                                </a:solidFill>
                                <a:miter lim="800000"/>
                                <a:headEnd/>
                                <a:tailEnd/>
                              </a:ln>
                            </wps:spPr>
                            <wps:txbx>
                              <w:txbxContent>
                                <w:p w:rsidR="00A62F61" w:rsidRPr="00567E83" w:rsidRDefault="00A62F61" w:rsidP="00A62F61">
                                  <w:pPr>
                                    <w:jc w:val="both"/>
                                    <w:rPr>
                                      <w:b/>
                                      <w:color w:val="FFFFFF"/>
                                    </w:rPr>
                                  </w:pPr>
                                  <w:r>
                                    <w:rPr>
                                      <w:b/>
                                      <w:color w:val="FFFFFF"/>
                                    </w:rPr>
                                    <w:t>Viernes  30 de Diciembre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9" o:spid="_x0000_s1033" type="#_x0000_t202" style="position:absolute;left:0;text-align:left;margin-left:-6.3pt;margin-top:-35.25pt;width:145.5pt;height:2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" fillcolor="navy" strokecolor="navy">
                      <v:textbox>
                        <w:txbxContent>
                          <w:p w:rsidR="00A62F61" w:rsidRPr="00567E83" w:rsidRDefault="00A62F61" w:rsidP="00A62F61">
                            <w:pPr>
                              <w:jc w:val="both"/>
                              <w:rPr>
                                <w:b/>
                                <w:color w:val="FFFFFF"/>
                              </w:rPr>
                            </w:pPr>
                            <w:r>
                              <w:rPr>
                                <w:b/>
                                <w:color w:val="FFFFFF"/>
                              </w:rPr>
                              <w:t>Viernes  30 de Diciembre</w:t>
                            </w:r>
                          </w:p>
                        </w:txbxContent>
                      </v:textbox>
                      <w10:wrap anchorx="margin"/>
                    </v:shape>
                  </w:pict>
                </mc:Fallback>
              </mc:AlternateContent>
            </w:r>
          </w:p>
          <w:p w:rsidR="00A62F61" w:rsidRPr="00A62F61" w:rsidRDefault="00A62F61" w:rsidP="00A62F61">
            <w:pPr>
              <w:jc w:val="both"/>
              <w:rPr>
                <w:rFonts w:ascii="Arial" w:hAnsi="Arial" w:cs="Arial"/>
                <w:b/>
                <w:sz w:val="20"/>
                <w:szCs w:val="20"/>
                <w:lang w:val="es-US"/>
              </w:rPr>
            </w:pPr>
            <w:r w:rsidRPr="00A62F61">
              <w:rPr>
                <w:rFonts w:ascii="Arial" w:hAnsi="Arial" w:cs="Arial"/>
                <w:b/>
                <w:bCs/>
                <w:sz w:val="20"/>
                <w:szCs w:val="20"/>
                <w:lang w:val="es-ES_tradnl"/>
              </w:rPr>
              <w:t>PROCURADURÍA GENERAL DEL ESTADO</w:t>
            </w:r>
            <w:r w:rsidRPr="00A62F61">
              <w:rPr>
                <w:rFonts w:ascii="Arial" w:hAnsi="Arial" w:cs="Arial"/>
                <w:b/>
                <w:sz w:val="20"/>
                <w:szCs w:val="20"/>
                <w:lang w:val="es-US"/>
              </w:rPr>
              <w:t xml:space="preserve"> </w:t>
            </w:r>
            <w:r w:rsidRPr="00A62F61">
              <w:rPr>
                <w:rFonts w:ascii="Arial" w:hAnsi="Arial" w:cs="Arial"/>
                <w:b/>
                <w:bCs/>
                <w:sz w:val="20"/>
                <w:szCs w:val="20"/>
                <w:lang w:val="es-ES_tradnl"/>
              </w:rPr>
              <w:t>DIRECCIÓN NACIONAL DE ASESORÍA JURÍDICA</w:t>
            </w:r>
          </w:p>
          <w:p w:rsidR="00A83A18" w:rsidRPr="00A83A18" w:rsidRDefault="00A62F61" w:rsidP="00A62F61">
            <w:pPr>
              <w:jc w:val="both"/>
              <w:rPr>
                <w:rFonts w:ascii="Arial" w:hAnsi="Arial" w:cs="Arial"/>
                <w:b/>
                <w:sz w:val="20"/>
                <w:szCs w:val="20"/>
                <w:lang w:val="es-ES_tradnl"/>
              </w:rPr>
            </w:pPr>
            <w:r w:rsidRPr="00A62F61">
              <w:rPr>
                <w:rFonts w:ascii="Arial" w:hAnsi="Arial" w:cs="Arial"/>
                <w:b/>
                <w:bCs/>
                <w:sz w:val="20"/>
                <w:szCs w:val="20"/>
                <w:lang w:val="es-ES_tradnl"/>
              </w:rPr>
              <w:t>INSTITUCIONAL</w:t>
            </w:r>
            <w:r w:rsidRPr="00A62F61">
              <w:rPr>
                <w:rFonts w:ascii="Arial" w:hAnsi="Arial" w:cs="Arial"/>
                <w:b/>
                <w:sz w:val="20"/>
                <w:szCs w:val="20"/>
                <w:lang w:val="es-US"/>
              </w:rPr>
              <w:t xml:space="preserve"> </w:t>
            </w:r>
            <w:r w:rsidRPr="00A62F61">
              <w:rPr>
                <w:rFonts w:ascii="Arial" w:hAnsi="Arial" w:cs="Arial"/>
                <w:b/>
                <w:bCs/>
                <w:sz w:val="20"/>
                <w:szCs w:val="20"/>
                <w:lang w:val="es-ES_tradnl"/>
              </w:rPr>
              <w:t>EXTRACTO DE CONSULTA</w:t>
            </w:r>
            <w:r w:rsidRPr="00A62F61">
              <w:rPr>
                <w:rFonts w:ascii="Arial" w:hAnsi="Arial" w:cs="Arial"/>
                <w:b/>
                <w:sz w:val="20"/>
                <w:szCs w:val="20"/>
                <w:lang w:val="es-US"/>
              </w:rPr>
              <w:t xml:space="preserve"> </w:t>
            </w:r>
            <w:r w:rsidRPr="00A62F61">
              <w:rPr>
                <w:rFonts w:ascii="Arial" w:hAnsi="Arial" w:cs="Arial"/>
                <w:b/>
                <w:bCs/>
                <w:sz w:val="20"/>
                <w:szCs w:val="20"/>
                <w:lang w:val="es-ES_tradnl"/>
              </w:rPr>
              <w:t>AGOSTO 2016</w:t>
            </w:r>
          </w:p>
          <w:p w:rsidR="00A62F61" w:rsidRPr="00A62F61" w:rsidRDefault="00A62F61" w:rsidP="00A62F61">
            <w:pPr>
              <w:jc w:val="both"/>
              <w:rPr>
                <w:rFonts w:ascii="Arial" w:hAnsi="Arial" w:cs="Arial"/>
                <w:b/>
                <w:sz w:val="20"/>
                <w:szCs w:val="20"/>
                <w:lang w:val="es-ES_tradnl"/>
              </w:rPr>
            </w:pPr>
            <w:r w:rsidRPr="00A62F61">
              <w:rPr>
                <w:rFonts w:ascii="Arial" w:hAnsi="Arial" w:cs="Arial"/>
                <w:b/>
                <w:sz w:val="20"/>
                <w:szCs w:val="20"/>
                <w:lang w:val="es-ES_tradnl"/>
              </w:rPr>
              <w:t xml:space="preserve">  </w:t>
            </w:r>
          </w:p>
          <w:p w:rsidR="00A62F61" w:rsidRPr="00A62F61" w:rsidRDefault="00A62F61" w:rsidP="00A62F61">
            <w:pPr>
              <w:jc w:val="both"/>
              <w:rPr>
                <w:rFonts w:ascii="Arial" w:hAnsi="Arial" w:cs="Arial"/>
                <w:sz w:val="20"/>
                <w:szCs w:val="20"/>
                <w:lang w:val="es-US"/>
              </w:rPr>
            </w:pPr>
            <w:r w:rsidRPr="00A62F61">
              <w:rPr>
                <w:rFonts w:ascii="Arial" w:hAnsi="Arial" w:cs="Arial"/>
                <w:b/>
                <w:sz w:val="20"/>
                <w:szCs w:val="20"/>
                <w:lang w:val="es-US"/>
              </w:rPr>
              <w:t xml:space="preserve">Expedido por: </w:t>
            </w:r>
            <w:r w:rsidRPr="00A62F61">
              <w:rPr>
                <w:rFonts w:ascii="Arial" w:hAnsi="Arial" w:cs="Arial"/>
                <w:sz w:val="20"/>
                <w:szCs w:val="20"/>
                <w:lang w:val="es-US"/>
              </w:rPr>
              <w:t>Oficio</w:t>
            </w:r>
            <w:r w:rsidRPr="00A62F61">
              <w:rPr>
                <w:rFonts w:ascii="Arial" w:hAnsi="Arial" w:cs="Arial"/>
                <w:b/>
                <w:bCs/>
                <w:sz w:val="20"/>
                <w:szCs w:val="20"/>
                <w:lang w:val="es-ES_tradnl"/>
              </w:rPr>
              <w:t xml:space="preserve"> PGE. </w:t>
            </w:r>
            <w:r w:rsidRPr="00A62F61">
              <w:rPr>
                <w:rFonts w:ascii="Arial" w:hAnsi="Arial" w:cs="Arial"/>
                <w:sz w:val="20"/>
                <w:szCs w:val="20"/>
                <w:lang w:val="es-ES_tradnl"/>
              </w:rPr>
              <w:t>N°: 07269 de 2-08-2016</w:t>
            </w:r>
            <w:r w:rsidRPr="00A62F61">
              <w:rPr>
                <w:rFonts w:ascii="Arial" w:hAnsi="Arial" w:cs="Arial"/>
                <w:sz w:val="20"/>
                <w:szCs w:val="20"/>
                <w:lang w:val="es-US"/>
              </w:rPr>
              <w:t xml:space="preserve"> publicado en el Suplemento Registro Oficial No. 913 de 22 de diciembre de 2016. </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US"/>
              </w:rPr>
              <w:t xml:space="preserve"> </w:t>
            </w:r>
          </w:p>
          <w:p w:rsidR="00A62F61" w:rsidRPr="00A62F61" w:rsidRDefault="00A62F61" w:rsidP="00A62F61">
            <w:pPr>
              <w:jc w:val="both"/>
              <w:rPr>
                <w:rFonts w:ascii="Arial" w:hAnsi="Arial" w:cs="Arial"/>
                <w:sz w:val="20"/>
                <w:szCs w:val="20"/>
                <w:lang w:val="es-US"/>
              </w:rPr>
            </w:pPr>
            <w:r w:rsidRPr="00A62F61">
              <w:rPr>
                <w:rFonts w:ascii="Arial" w:hAnsi="Arial" w:cs="Arial"/>
                <w:b/>
                <w:sz w:val="20"/>
                <w:szCs w:val="20"/>
                <w:lang w:val="es-US"/>
              </w:rPr>
              <w:t>Novedad:</w:t>
            </w:r>
            <w:r w:rsidRPr="00A62F61">
              <w:rPr>
                <w:rFonts w:ascii="Arial" w:hAnsi="Arial" w:cs="Arial"/>
                <w:sz w:val="20"/>
                <w:szCs w:val="20"/>
                <w:lang w:val="es-US"/>
              </w:rPr>
              <w:t xml:space="preserve"> Nuevo</w:t>
            </w:r>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hyperlink r:id="rId20" w:history="1">
              <w:r w:rsidRPr="00A62F61">
                <w:rPr>
                  <w:rStyle w:val="Hipervnculo"/>
                  <w:rFonts w:ascii="Arial" w:hAnsi="Arial" w:cs="Arial"/>
                  <w:sz w:val="20"/>
                  <w:szCs w:val="20"/>
                  <w:lang w:val="es-US"/>
                </w:rPr>
                <w:t>Ver Vigencia</w:t>
              </w:r>
            </w:hyperlink>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 xml:space="preserve">CONSULTANTE: </w:t>
            </w:r>
            <w:r w:rsidRPr="00A62F61">
              <w:rPr>
                <w:rFonts w:ascii="Arial" w:hAnsi="Arial" w:cs="Arial"/>
                <w:sz w:val="20"/>
                <w:szCs w:val="20"/>
                <w:lang w:val="es-ES_tradnl"/>
              </w:rPr>
              <w:t>CONSEJO NACIONAL DE GOBIERNOS PARROQUIALES DEL ECUADOR, CONAGOPARE</w:t>
            </w: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CONSULTAS:</w:t>
            </w:r>
          </w:p>
          <w:p w:rsidR="00A62F61" w:rsidRPr="00A62F61" w:rsidRDefault="00A62F61" w:rsidP="00A62F61">
            <w:pPr>
              <w:numPr>
                <w:ilvl w:val="0"/>
                <w:numId w:val="35"/>
              </w:numPr>
              <w:jc w:val="both"/>
              <w:rPr>
                <w:rFonts w:ascii="Arial" w:hAnsi="Arial" w:cs="Arial"/>
                <w:sz w:val="20"/>
                <w:szCs w:val="20"/>
                <w:lang w:val="es-ES_tradnl"/>
              </w:rPr>
            </w:pPr>
            <w:r w:rsidRPr="00A62F61">
              <w:rPr>
                <w:rFonts w:ascii="Arial" w:hAnsi="Arial" w:cs="Arial"/>
                <w:sz w:val="20"/>
                <w:szCs w:val="20"/>
                <w:lang w:val="es-ES_tradnl"/>
              </w:rPr>
              <w:t>“Se nos inteligencie de manera clara y concreta, sobre el alcance de la figura de excepción a la prohibición de pluriempleo para los Vocales y Ejecutivos de los Gobiernos Parroquiales Rurales contenida tanto en la LOSEP como en el COOTAD, incluyendo el derecho a percibir las remuneraciones por tal excepción; o, determinar si existe alguna limitación en la ley”.</w:t>
            </w:r>
          </w:p>
          <w:p w:rsidR="00A62F61" w:rsidRPr="00A62F61" w:rsidRDefault="00A62F61" w:rsidP="00A62F61">
            <w:pPr>
              <w:numPr>
                <w:ilvl w:val="0"/>
                <w:numId w:val="35"/>
              </w:numPr>
              <w:jc w:val="both"/>
              <w:rPr>
                <w:rFonts w:ascii="Arial" w:hAnsi="Arial" w:cs="Arial"/>
                <w:sz w:val="20"/>
                <w:szCs w:val="20"/>
                <w:lang w:val="es-ES_tradnl"/>
              </w:rPr>
            </w:pPr>
            <w:r w:rsidRPr="00A62F61">
              <w:rPr>
                <w:rFonts w:ascii="Arial" w:hAnsi="Arial" w:cs="Arial"/>
                <w:sz w:val="20"/>
                <w:szCs w:val="20"/>
                <w:lang w:val="es-ES_tradnl"/>
              </w:rPr>
              <w:t>“El CONAGOPARE, en su Instancia Nacional y sus Instancias Organizativas Territoriales Provinciales (Asociaciones Parroquiales) que de acuerdo con lo dispuesto en el artículo 313 del COOTAD, aprobaron su Estatuto unificado en sesión de los Presidentes Provinciales y fue publicado en el Registro Oficial; tienen obligación de someter su Estatuto, a la aprobación posterior de algún Ministerio o Secretaría de Estado, cual si fuera de derecho privado”.</w:t>
            </w: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PRONUNCIAMIENTOS:</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1. De conformidad a lo determinado en los artículos 211 y 212 de la Constitución de la República y los artículos 19 y 31 numerales 1 y 34 de la Ley Orgánica de la Contraloría General del Estado, corresponde a esa institución efectuar el control de la utilización de los recursos estatales y la auditoría de las entidades del sector público a través de exámenes especiales, pudiendo establecer recomendaciones las cuales, de conformidad con el artículo 92 de la citada Ley Orgánica, tienen el carácter de cumplimiento obligatorio para las instituciones auditadas.</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De la lectura de los términos de su primera pregunta, se evidencia que la misma no está dirigida a la inteligencia o aplicación de una norma, según el ámbito de mis competencias previstas en el numeral 3 del artículo 237 de la Constitución de la República y los artículos 3 letra e) y 13 de la Ley Orgánica de la Procuraduría General del Estado, razón por la cual y con fundamento en la norma jurídica citada me abstengo de atender su requerimiento.</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US"/>
              </w:rPr>
              <w:lastRenderedPageBreak/>
              <w:br w:type="column"/>
            </w:r>
            <w:r w:rsidRPr="00A62F61">
              <w:rPr>
                <w:rFonts w:ascii="Arial" w:hAnsi="Arial" w:cs="Arial"/>
                <w:sz w:val="20"/>
                <w:szCs w:val="20"/>
                <w:lang w:val="es-ES_tradnl"/>
              </w:rPr>
              <w:t>Sin perjuicio de lo expuesto en el párrafo precedente, mediante oficios Nos. 02149 y 03772 de 8 de junio y 19 de septiembre de 2011, esta Procuraduría se ha pronunciado sobre la excepción a la prohibición de pluriempleo aplicable a los vocales de las Juntas Parroquiales Rurales, contenidas en los artículos 12 de la Ley Orgánica del Servicio Público y 329 del Código Orgánico de Organización Territorial, Autonomía y Descentralización.</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 xml:space="preserve">2. El inciso final del artículo 313 del Código Ibídem, incorporado a la norma citada en el párrafo precedente por el artículo 20 de la Ley Reformatoria al Código Orgánico de Organización Territorial, Autonomía y Descentralización, publicada en el Suplemento del Registro Oficial No. 166 de 21 de enero de 2014, confiere expresamente carácter público a las instancias organizativas territoriales de las entidades asociativas nacionales de los </w:t>
            </w:r>
            <w:proofErr w:type="spellStart"/>
            <w:r w:rsidRPr="00A62F61">
              <w:rPr>
                <w:rFonts w:ascii="Arial" w:hAnsi="Arial" w:cs="Arial"/>
                <w:sz w:val="20"/>
                <w:szCs w:val="20"/>
                <w:lang w:val="es-ES_tradnl"/>
              </w:rPr>
              <w:t>GADs</w:t>
            </w:r>
            <w:proofErr w:type="spellEnd"/>
            <w:r w:rsidRPr="00A62F61">
              <w:rPr>
                <w:rFonts w:ascii="Arial" w:hAnsi="Arial" w:cs="Arial"/>
                <w:sz w:val="20"/>
                <w:szCs w:val="20"/>
                <w:lang w:val="es-ES_tradnl"/>
              </w:rPr>
              <w:t>. El tenor de dicho inciso es el siguiente:</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“Las instancias organizativas territoriales creadas de conformidad con los estatutos de las entidades asociativas nacionales de los gobiernos autónomos descentralizados formarán parte del sector público y serán desconcentradas, de acuerdo con el modelo de gestión previsto en la norma estatutaria”.</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Finalmente, la Disposición Transitoria Vigésimo Primera del Código Orgánico de Organización Territorial, Autonomía y Descentralización, la cual no ha sido modificada desde la entrada en vigencia del mencionado Código Orgánico, señala que las entidades asociativas de gobiernos autónomos descentralizados creadas al amparo de la legislación anterior, debían ajustar sus estatutos a ese Código.</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Del análisis jurídico efectuado se desprende que, las entidades asociativas de carácter territorial que creen las entidades asociativas nacionales de los distintos niveles de Gobiernos Autónomos Descentralizados conforme al modelo de gestión previsto en los respectivos estatutos, integran el sector público a partir de la reforma introducida al artículo 313 del Código Orgánico de Organización Territorial, Autonomía y Descentralización.</w:t>
            </w:r>
          </w:p>
          <w:p w:rsidR="00A62F61" w:rsidRPr="00A62F61" w:rsidRDefault="00A62F61" w:rsidP="00A62F61">
            <w:pPr>
              <w:jc w:val="both"/>
              <w:rPr>
                <w:rFonts w:ascii="Arial" w:hAnsi="Arial" w:cs="Arial"/>
                <w:sz w:val="20"/>
                <w:szCs w:val="20"/>
                <w:lang w:val="es-ES_tradnl"/>
              </w:rPr>
            </w:pPr>
            <w:r w:rsidRPr="00A62F61">
              <w:rPr>
                <w:rFonts w:ascii="Arial" w:hAnsi="Arial" w:cs="Arial"/>
                <w:sz w:val="20"/>
                <w:szCs w:val="20"/>
                <w:lang w:val="es-ES_tradnl"/>
              </w:rPr>
              <w:t>Por lo expuesto, en atención a los términos de su consulta se concluye que, de acuerdo con el tenor del inciso final del artículo 313 reformado del Código Orgánico de Organización Territorial, Autonomía y Descentralización, la creación de las instancias organizativas territoriales de carácter público, se sujeta al Estatuto de la respectiva entidad asociativa nacional de cada nivel de Gobierno y por tanto no requiere aprobación posterior de ningún Ministerio o Secretaría de Estado.</w:t>
            </w:r>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El presente pronunciamiento se limita a la inteligencia y aplicación de normas jurídicas, siendo responsabilidad exclusiva de la entidad consultante la aplicación a casos particulares del marco jurídico antes referido.</w:t>
            </w:r>
          </w:p>
        </w:tc>
      </w:tr>
    </w:tbl>
    <w:p w:rsidR="00A83A18" w:rsidRDefault="00A83A18" w:rsidP="00A62F61">
      <w:pPr>
        <w:jc w:val="both"/>
        <w:rPr>
          <w:rFonts w:ascii="Arial" w:hAnsi="Arial" w:cs="Arial"/>
          <w:sz w:val="20"/>
          <w:szCs w:val="20"/>
          <w:lang w:val="es-US"/>
        </w:rPr>
      </w:pPr>
    </w:p>
    <w:p w:rsidR="00A83A18" w:rsidRDefault="00A83A18" w:rsidP="00A62F61">
      <w:pPr>
        <w:jc w:val="both"/>
        <w:rPr>
          <w:rFonts w:ascii="Arial" w:hAnsi="Arial" w:cs="Arial"/>
          <w:sz w:val="20"/>
          <w:szCs w:val="20"/>
          <w:lang w:val="es-US"/>
        </w:rPr>
      </w:pPr>
    </w:p>
    <w:p w:rsidR="00A83A18" w:rsidRDefault="00A83A18" w:rsidP="00A62F61">
      <w:pPr>
        <w:jc w:val="both"/>
        <w:rPr>
          <w:rFonts w:ascii="Arial" w:hAnsi="Arial" w:cs="Arial"/>
          <w:sz w:val="20"/>
          <w:szCs w:val="20"/>
          <w:lang w:val="es-US"/>
        </w:rPr>
      </w:pPr>
    </w:p>
    <w:p w:rsidR="00A83A18" w:rsidRDefault="00A83A18" w:rsidP="00A62F61">
      <w:pPr>
        <w:jc w:val="both"/>
        <w:rPr>
          <w:rFonts w:ascii="Arial" w:hAnsi="Arial" w:cs="Arial"/>
          <w:sz w:val="20"/>
          <w:szCs w:val="20"/>
          <w:lang w:val="es-US"/>
        </w:rPr>
      </w:pPr>
    </w:p>
    <w:p w:rsidR="00A83A18" w:rsidRDefault="00A83A18" w:rsidP="00A62F61">
      <w:pPr>
        <w:jc w:val="both"/>
        <w:rPr>
          <w:rFonts w:ascii="Arial" w:hAnsi="Arial" w:cs="Arial"/>
          <w:sz w:val="20"/>
          <w:szCs w:val="20"/>
          <w:lang w:val="es-US"/>
        </w:rPr>
      </w:pPr>
    </w:p>
    <w:p w:rsidR="00A83A18" w:rsidRDefault="00A83A18"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rPr>
        <w:lastRenderedPageBreak/>
        <mc:AlternateContent>
          <mc:Choice Requires="wps">
            <w:drawing>
              <wp:anchor distT="0" distB="0" distL="114300" distR="114300" simplePos="0" relativeHeight="251666432" behindDoc="0" locked="0" layoutInCell="1" allowOverlap="1" wp14:anchorId="116A1C3C" wp14:editId="2EC9F553">
                <wp:simplePos x="0" y="0"/>
                <wp:positionH relativeFrom="margin">
                  <wp:posOffset>-89535</wp:posOffset>
                </wp:positionH>
                <wp:positionV relativeFrom="paragraph">
                  <wp:posOffset>166370</wp:posOffset>
                </wp:positionV>
                <wp:extent cx="1647825" cy="247650"/>
                <wp:effectExtent l="0" t="0" r="28575" b="1905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47650"/>
                        </a:xfrm>
                        <a:prstGeom prst="rect">
                          <a:avLst/>
                        </a:prstGeom>
                        <a:solidFill>
                          <a:srgbClr val="000080"/>
                        </a:solidFill>
                        <a:ln w="9525">
                          <a:solidFill>
                            <a:srgbClr val="000080"/>
                          </a:solidFill>
                          <a:miter lim="800000"/>
                          <a:headEnd/>
                          <a:tailEnd/>
                        </a:ln>
                      </wps:spPr>
                      <wps:txbx>
                        <w:txbxContent>
                          <w:p w:rsidR="00A62F61" w:rsidRPr="00567E83" w:rsidRDefault="00A62F61" w:rsidP="00A62F61">
                            <w:pPr>
                              <w:jc w:val="both"/>
                              <w:rPr>
                                <w:b/>
                                <w:color w:val="FFFFFF"/>
                              </w:rPr>
                            </w:pPr>
                            <w:r>
                              <w:rPr>
                                <w:b/>
                                <w:color w:val="FFFFFF"/>
                              </w:rPr>
                              <w:t>Viernes 30 de diciembre</w:t>
                            </w:r>
                          </w:p>
                          <w:p w:rsidR="00A62F61" w:rsidRDefault="00A62F61" w:rsidP="00A62F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 o:spid="_x0000_s1034" type="#_x0000_t202" style="position:absolute;left:0;text-align:left;margin-left:-7.05pt;margin-top:13.1pt;width:129.75pt;height:1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" fillcolor="navy" strokecolor="navy">
                <v:textbox>
                  <w:txbxContent>
                    <w:p w:rsidR="00A62F61" w:rsidRPr="00567E83" w:rsidRDefault="00A62F61" w:rsidP="00A62F61">
                      <w:pPr>
                        <w:jc w:val="both"/>
                        <w:rPr>
                          <w:b/>
                          <w:color w:val="FFFFFF"/>
                        </w:rPr>
                      </w:pPr>
                      <w:r>
                        <w:rPr>
                          <w:b/>
                          <w:color w:val="FFFFFF"/>
                        </w:rPr>
                        <w:t>Viernes 30 de diciembre</w:t>
                      </w:r>
                    </w:p>
                    <w:p w:rsidR="00A62F61" w:rsidRDefault="00A62F61" w:rsidP="00A62F61"/>
                  </w:txbxContent>
                </v:textbox>
                <w10:wrap anchorx="margin"/>
              </v:shape>
            </w:pict>
          </mc:Fallback>
        </mc:AlternateContent>
      </w:r>
    </w:p>
    <w:p w:rsidR="00A62F61" w:rsidRPr="00A62F61" w:rsidRDefault="00A62F61" w:rsidP="00A62F61">
      <w:pPr>
        <w:jc w:val="both"/>
        <w:rPr>
          <w:rFonts w:ascii="Arial" w:hAnsi="Arial" w:cs="Arial"/>
          <w:sz w:val="20"/>
          <w:szCs w:val="20"/>
          <w:lang w:val="es-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62F61" w:rsidRPr="00A62F61" w:rsidTr="00A62F61">
        <w:trPr>
          <w:trHeight w:val="1380"/>
        </w:trPr>
        <w:tc>
          <w:tcPr>
            <w:tcW w:w="9257" w:type="dxa"/>
            <w:shd w:val="clear" w:color="auto" w:fill="E6F1DF"/>
          </w:tcPr>
          <w:p w:rsidR="00A83A18" w:rsidRDefault="00A83A18" w:rsidP="00A62F61">
            <w:pPr>
              <w:jc w:val="both"/>
              <w:rPr>
                <w:rFonts w:ascii="Arial" w:hAnsi="Arial" w:cs="Arial"/>
                <w:b/>
                <w:sz w:val="20"/>
                <w:szCs w:val="20"/>
                <w:lang w:val="es-ES_tradnl"/>
              </w:rPr>
            </w:pPr>
          </w:p>
          <w:p w:rsidR="00A62F61" w:rsidRPr="00A62F61" w:rsidRDefault="00A62F61" w:rsidP="00A62F61">
            <w:pPr>
              <w:jc w:val="both"/>
              <w:rPr>
                <w:rFonts w:ascii="Arial" w:hAnsi="Arial" w:cs="Arial"/>
                <w:b/>
                <w:sz w:val="20"/>
                <w:szCs w:val="20"/>
                <w:lang w:val="es-ES_tradnl"/>
              </w:rPr>
            </w:pPr>
            <w:r w:rsidRPr="00A62F61">
              <w:rPr>
                <w:rFonts w:ascii="Arial" w:hAnsi="Arial" w:cs="Arial"/>
                <w:b/>
                <w:sz w:val="20"/>
                <w:szCs w:val="20"/>
                <w:lang w:val="es-ES_tradnl"/>
              </w:rPr>
              <w:t>LEY ORGÁNICA DE CULTURA</w:t>
            </w:r>
          </w:p>
          <w:p w:rsidR="00A62F61" w:rsidRPr="00A62F61" w:rsidRDefault="00A62F61" w:rsidP="00A62F61">
            <w:pPr>
              <w:jc w:val="both"/>
              <w:rPr>
                <w:rFonts w:ascii="Arial" w:hAnsi="Arial" w:cs="Arial"/>
                <w:b/>
                <w:sz w:val="20"/>
                <w:szCs w:val="20"/>
                <w:lang w:val="es-US"/>
              </w:rPr>
            </w:pPr>
          </w:p>
          <w:p w:rsidR="00A62F61" w:rsidRPr="00A62F61" w:rsidRDefault="00A62F61" w:rsidP="00A62F61">
            <w:pPr>
              <w:jc w:val="both"/>
              <w:rPr>
                <w:rFonts w:ascii="Arial" w:hAnsi="Arial" w:cs="Arial"/>
                <w:sz w:val="20"/>
                <w:szCs w:val="20"/>
                <w:lang w:val="es-US"/>
              </w:rPr>
            </w:pPr>
            <w:r w:rsidRPr="00A62F61">
              <w:rPr>
                <w:rFonts w:ascii="Arial" w:hAnsi="Arial" w:cs="Arial"/>
                <w:b/>
                <w:sz w:val="20"/>
                <w:szCs w:val="20"/>
                <w:lang w:val="es-US"/>
              </w:rPr>
              <w:t xml:space="preserve">Expedido por: </w:t>
            </w:r>
            <w:r w:rsidRPr="00A62F61">
              <w:rPr>
                <w:rFonts w:ascii="Arial" w:hAnsi="Arial" w:cs="Arial"/>
                <w:sz w:val="20"/>
                <w:szCs w:val="20"/>
                <w:lang w:val="es-US"/>
              </w:rPr>
              <w:t>Ley S/N, publicado en el Suplemento del Registro Oficial No. 913 de 30 de diciembre de 2016.</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US"/>
              </w:rPr>
              <w:t xml:space="preserve">  </w:t>
            </w:r>
          </w:p>
          <w:p w:rsidR="00A62F61" w:rsidRPr="00A62F61" w:rsidRDefault="00A62F61" w:rsidP="00A62F61">
            <w:pPr>
              <w:jc w:val="both"/>
              <w:rPr>
                <w:rFonts w:ascii="Arial" w:hAnsi="Arial" w:cs="Arial"/>
                <w:sz w:val="20"/>
                <w:szCs w:val="20"/>
                <w:lang w:val="es-US"/>
              </w:rPr>
            </w:pPr>
            <w:r w:rsidRPr="00A62F61">
              <w:rPr>
                <w:rFonts w:ascii="Arial" w:hAnsi="Arial" w:cs="Arial"/>
                <w:b/>
                <w:sz w:val="20"/>
                <w:szCs w:val="20"/>
                <w:lang w:val="es-US"/>
              </w:rPr>
              <w:t>Novedad:</w:t>
            </w:r>
            <w:r w:rsidRPr="00A62F61">
              <w:rPr>
                <w:rFonts w:ascii="Arial" w:hAnsi="Arial" w:cs="Arial"/>
                <w:sz w:val="20"/>
                <w:szCs w:val="20"/>
                <w:lang w:val="es-US"/>
              </w:rPr>
              <w:t xml:space="preserve"> Nuevo </w:t>
            </w:r>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hyperlink r:id="rId21" w:history="1">
              <w:r w:rsidRPr="00A62F61">
                <w:rPr>
                  <w:rStyle w:val="Hipervnculo"/>
                  <w:rFonts w:ascii="Arial" w:hAnsi="Arial" w:cs="Arial"/>
                  <w:sz w:val="20"/>
                  <w:szCs w:val="20"/>
                  <w:lang w:val="es-US"/>
                </w:rPr>
                <w:t>Ver Vigencia</w:t>
              </w:r>
            </w:hyperlink>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 xml:space="preserve">Art. 1.- Del objeto. </w:t>
            </w:r>
            <w:r w:rsidRPr="00A62F61">
              <w:rPr>
                <w:rFonts w:ascii="Arial" w:hAnsi="Arial" w:cs="Arial"/>
                <w:sz w:val="20"/>
                <w:szCs w:val="20"/>
                <w:lang w:val="es-ES_tradnl"/>
              </w:rPr>
              <w:t>El objeto de la presente Ley es definir las competencias, atribuciones y obligaciones del Estado, los fundamentos de la política pública orientada a garantizar el ejercicio de los derechos culturales y la interculturalidad; así como ordenar la institucionalidad encargada del ámbito de la cultura y el patrimonio a través de la integración y funcionamiento del Sistema Nacional de Cultura.</w:t>
            </w: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 xml:space="preserve">Art. 2.- Del ámbito. </w:t>
            </w:r>
            <w:r w:rsidRPr="00A62F61">
              <w:rPr>
                <w:rFonts w:ascii="Arial" w:hAnsi="Arial" w:cs="Arial"/>
                <w:sz w:val="20"/>
                <w:szCs w:val="20"/>
                <w:lang w:val="es-ES_tradnl"/>
              </w:rPr>
              <w:t>La presente Ley es aplicable a todas las actividades vinculadas al acceso, fomento, producción, circulación y promoción de la creatividad, las artes, la innovación, la memoria social y el patrimonio cultural, así como a todas las entidades, organismos e instituciones públicas y privadas que integran el Sistema Nacional de Cultura; a las personas, comunidades, comunas, pueblos y nacionalidades, colectivos y organizaciones culturales que forman parte del Estado plurinacional e intercultural ecuatoriano.</w:t>
            </w: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 xml:space="preserve">Art. 3.- De los fines. </w:t>
            </w:r>
            <w:r w:rsidRPr="00A62F61">
              <w:rPr>
                <w:rFonts w:ascii="Arial" w:hAnsi="Arial" w:cs="Arial"/>
                <w:sz w:val="20"/>
                <w:szCs w:val="20"/>
                <w:lang w:val="es-ES_tradnl"/>
              </w:rPr>
              <w:t>Son fines de la presente Ley:</w:t>
            </w:r>
          </w:p>
          <w:p w:rsidR="00A62F61" w:rsidRPr="00A62F61" w:rsidRDefault="00A62F61" w:rsidP="00A62F61">
            <w:pPr>
              <w:numPr>
                <w:ilvl w:val="0"/>
                <w:numId w:val="36"/>
              </w:numPr>
              <w:jc w:val="both"/>
              <w:rPr>
                <w:rFonts w:ascii="Arial" w:hAnsi="Arial" w:cs="Arial"/>
                <w:sz w:val="20"/>
                <w:szCs w:val="20"/>
                <w:lang w:val="es-ES_tradnl"/>
              </w:rPr>
            </w:pPr>
            <w:r w:rsidRPr="00A62F61">
              <w:rPr>
                <w:rFonts w:ascii="Arial" w:hAnsi="Arial" w:cs="Arial"/>
                <w:sz w:val="20"/>
                <w:szCs w:val="20"/>
                <w:lang w:val="es-ES_tradnl"/>
              </w:rPr>
              <w:t>Fomentar el diálogo intercultural en el respeto de la diversidad; y fortalecer la identidad nacional, entendida como la conjunción de las identidades diversas que la constituyen;</w:t>
            </w:r>
          </w:p>
          <w:p w:rsidR="00A62F61" w:rsidRPr="00A62F61" w:rsidRDefault="00A62F61" w:rsidP="00A62F61">
            <w:pPr>
              <w:numPr>
                <w:ilvl w:val="0"/>
                <w:numId w:val="36"/>
              </w:numPr>
              <w:jc w:val="both"/>
              <w:rPr>
                <w:rFonts w:ascii="Arial" w:hAnsi="Arial" w:cs="Arial"/>
                <w:sz w:val="20"/>
                <w:szCs w:val="20"/>
                <w:lang w:val="es-ES_tradnl"/>
              </w:rPr>
            </w:pPr>
            <w:r w:rsidRPr="00A62F61">
              <w:rPr>
                <w:rFonts w:ascii="Arial" w:hAnsi="Arial" w:cs="Arial"/>
                <w:sz w:val="20"/>
                <w:szCs w:val="20"/>
                <w:lang w:val="es-ES_tradnl"/>
              </w:rPr>
              <w:t>Fomentar e impulsar la libre creación, la producción, valoración y circulación de productos, servicios culturales y de los conocimientos y saberes ancestrales que forman parte de las identidades diversas, y promover el acceso al espacio público de las diversas expresiones de dichos procesos;</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br w:type="column"/>
            </w:r>
          </w:p>
          <w:p w:rsidR="00A62F61" w:rsidRPr="00A62F61" w:rsidRDefault="00A62F61" w:rsidP="00A62F61">
            <w:pPr>
              <w:numPr>
                <w:ilvl w:val="0"/>
                <w:numId w:val="37"/>
              </w:numPr>
              <w:jc w:val="both"/>
              <w:rPr>
                <w:rFonts w:ascii="Arial" w:hAnsi="Arial" w:cs="Arial"/>
                <w:sz w:val="20"/>
                <w:szCs w:val="20"/>
                <w:lang w:val="es-ES_tradnl"/>
              </w:rPr>
            </w:pPr>
            <w:r w:rsidRPr="00A62F61">
              <w:rPr>
                <w:rFonts w:ascii="Arial" w:hAnsi="Arial" w:cs="Arial"/>
                <w:sz w:val="20"/>
                <w:szCs w:val="20"/>
                <w:lang w:val="es-ES_tradnl"/>
              </w:rPr>
              <w:t>Reconocer el trabajo de quienes participan en los procesos de creación artística y de producción y gestión cultural y patrimonial, como una actividad profesional generadora de valor agregado y que contribuye a la construcción de la identidad nacional en la diversidad de las identidades que la constituyen;</w:t>
            </w:r>
          </w:p>
          <w:p w:rsidR="00A62F61" w:rsidRPr="00A62F61" w:rsidRDefault="00A62F61" w:rsidP="00A62F61">
            <w:pPr>
              <w:numPr>
                <w:ilvl w:val="0"/>
                <w:numId w:val="37"/>
              </w:numPr>
              <w:jc w:val="both"/>
              <w:rPr>
                <w:rFonts w:ascii="Arial" w:hAnsi="Arial" w:cs="Arial"/>
                <w:sz w:val="20"/>
                <w:szCs w:val="20"/>
                <w:lang w:val="es-ES_tradnl"/>
              </w:rPr>
            </w:pPr>
            <w:r w:rsidRPr="00A62F61">
              <w:rPr>
                <w:rFonts w:ascii="Arial" w:hAnsi="Arial" w:cs="Arial"/>
                <w:sz w:val="20"/>
                <w:szCs w:val="20"/>
                <w:lang w:val="es-ES_tradnl"/>
              </w:rPr>
              <w:t xml:space="preserve">Reconocer e incentivar el aporte a la economía de las industrias culturales y creativas, y fortalecer sus dinámicas productivas, articulando la participación de los sectores públicos, privados, mixtos y de </w:t>
            </w:r>
            <w:r w:rsidRPr="00A62F61">
              <w:rPr>
                <w:rFonts w:ascii="Arial" w:hAnsi="Arial" w:cs="Arial"/>
                <w:sz w:val="20"/>
                <w:szCs w:val="20"/>
                <w:lang w:val="es-ES_tradnl"/>
              </w:rPr>
              <w:lastRenderedPageBreak/>
              <w:t>la economía popular y solidaria;</w:t>
            </w:r>
          </w:p>
          <w:p w:rsidR="00A62F61" w:rsidRPr="00A62F61" w:rsidRDefault="00A62F61" w:rsidP="00A62F61">
            <w:pPr>
              <w:numPr>
                <w:ilvl w:val="0"/>
                <w:numId w:val="37"/>
              </w:numPr>
              <w:jc w:val="both"/>
              <w:rPr>
                <w:rFonts w:ascii="Arial" w:hAnsi="Arial" w:cs="Arial"/>
                <w:sz w:val="20"/>
                <w:szCs w:val="20"/>
                <w:lang w:val="es-ES_tradnl"/>
              </w:rPr>
            </w:pPr>
            <w:r w:rsidRPr="00A62F61">
              <w:rPr>
                <w:rFonts w:ascii="Arial" w:hAnsi="Arial" w:cs="Arial"/>
                <w:sz w:val="20"/>
                <w:szCs w:val="20"/>
                <w:lang w:val="es-ES_tradnl"/>
              </w:rPr>
              <w:t>Salvaguardar el patrimonio cultural y la memoria social, promoviendo su investigación, recuperación y puesta en valor; y,</w:t>
            </w:r>
          </w:p>
          <w:p w:rsidR="00A62F61" w:rsidRPr="00A62F61" w:rsidRDefault="00A62F61" w:rsidP="00A62F61">
            <w:pPr>
              <w:numPr>
                <w:ilvl w:val="0"/>
                <w:numId w:val="37"/>
              </w:numPr>
              <w:jc w:val="both"/>
              <w:rPr>
                <w:rFonts w:ascii="Arial" w:hAnsi="Arial" w:cs="Arial"/>
                <w:sz w:val="20"/>
                <w:szCs w:val="20"/>
                <w:lang w:val="es-ES_tradnl"/>
              </w:rPr>
            </w:pPr>
            <w:r w:rsidRPr="00A62F61">
              <w:rPr>
                <w:rFonts w:ascii="Arial" w:hAnsi="Arial" w:cs="Arial"/>
                <w:sz w:val="20"/>
                <w:szCs w:val="20"/>
                <w:lang w:val="es-ES_tradnl"/>
              </w:rPr>
              <w:t>Incentivar la descentralización y desconcentración de la institucionalidad del sector cultural y fortalecer su articulación con los sectores de educación, ciencia y tecnología, turismo, producción y otros que se relacionen con el ámbito de la cultura.</w:t>
            </w: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 xml:space="preserve">Art. 4.- De los principios. </w:t>
            </w:r>
            <w:r w:rsidRPr="00A62F61">
              <w:rPr>
                <w:rFonts w:ascii="Arial" w:hAnsi="Arial" w:cs="Arial"/>
                <w:sz w:val="20"/>
                <w:szCs w:val="20"/>
                <w:lang w:val="es-ES_tradnl"/>
              </w:rPr>
              <w:t>La Ley Orgánica de Cultura responderá a los siguientes principios:</w:t>
            </w:r>
          </w:p>
          <w:p w:rsidR="00A62F61" w:rsidRPr="00A62F61" w:rsidRDefault="00A62F61" w:rsidP="00A62F61">
            <w:pPr>
              <w:numPr>
                <w:ilvl w:val="0"/>
                <w:numId w:val="38"/>
              </w:numPr>
              <w:jc w:val="both"/>
              <w:rPr>
                <w:rFonts w:ascii="Arial" w:hAnsi="Arial" w:cs="Arial"/>
                <w:sz w:val="20"/>
                <w:szCs w:val="20"/>
                <w:lang w:val="es-ES_tradnl"/>
              </w:rPr>
            </w:pPr>
            <w:r w:rsidRPr="00A62F61">
              <w:rPr>
                <w:rFonts w:ascii="Arial" w:hAnsi="Arial" w:cs="Arial"/>
                <w:b/>
                <w:bCs/>
                <w:sz w:val="20"/>
                <w:szCs w:val="20"/>
                <w:lang w:val="es-ES_tradnl"/>
              </w:rPr>
              <w:t xml:space="preserve">Diversidad cultural. </w:t>
            </w:r>
            <w:r w:rsidRPr="00A62F61">
              <w:rPr>
                <w:rFonts w:ascii="Arial" w:hAnsi="Arial" w:cs="Arial"/>
                <w:sz w:val="20"/>
                <w:szCs w:val="20"/>
                <w:lang w:val="es-ES_tradnl"/>
              </w:rPr>
              <w:t>Se concibe como el ejercicio de todas las personas a construir y mantener su propia identidad cultural, a decidir sobre su pertenencia a una o varias comunidades culturales y a expresar dichas elecciones; a difundir sus propias expresiones culturales y tener acceso a expresiones culturales diversas;</w:t>
            </w:r>
          </w:p>
          <w:p w:rsidR="00A62F61" w:rsidRPr="00A62F61" w:rsidRDefault="00A62F61" w:rsidP="00A62F61">
            <w:pPr>
              <w:numPr>
                <w:ilvl w:val="0"/>
                <w:numId w:val="38"/>
              </w:numPr>
              <w:jc w:val="both"/>
              <w:rPr>
                <w:rFonts w:ascii="Arial" w:hAnsi="Arial" w:cs="Arial"/>
                <w:sz w:val="20"/>
                <w:szCs w:val="20"/>
                <w:lang w:val="es-ES_tradnl"/>
              </w:rPr>
            </w:pPr>
            <w:r w:rsidRPr="00A62F61">
              <w:rPr>
                <w:rFonts w:ascii="Arial" w:hAnsi="Arial" w:cs="Arial"/>
                <w:b/>
                <w:bCs/>
                <w:sz w:val="20"/>
                <w:szCs w:val="20"/>
                <w:lang w:val="es-ES_tradnl"/>
              </w:rPr>
              <w:t xml:space="preserve">Interculturalidad. </w:t>
            </w:r>
            <w:r w:rsidRPr="00A62F61">
              <w:rPr>
                <w:rFonts w:ascii="Arial" w:hAnsi="Arial" w:cs="Arial"/>
                <w:sz w:val="20"/>
                <w:szCs w:val="20"/>
                <w:lang w:val="es-ES_tradnl"/>
              </w:rPr>
              <w:t>Favorece el diálogo de las culturas diversas, pueblos y nacionalidades, como esencial para el ejercicio de los derechos consagrados en la Constitución y en la presente Ley, en todos los espacios y ámbitos de la sociedad;</w:t>
            </w:r>
          </w:p>
          <w:p w:rsidR="00A62F61" w:rsidRPr="00A62F61" w:rsidRDefault="00A62F61" w:rsidP="00A62F61">
            <w:pPr>
              <w:numPr>
                <w:ilvl w:val="0"/>
                <w:numId w:val="38"/>
              </w:numPr>
              <w:jc w:val="both"/>
              <w:rPr>
                <w:rFonts w:ascii="Arial" w:hAnsi="Arial" w:cs="Arial"/>
                <w:sz w:val="20"/>
                <w:szCs w:val="20"/>
                <w:lang w:val="es-ES_tradnl"/>
              </w:rPr>
            </w:pPr>
            <w:r w:rsidRPr="00A62F61">
              <w:rPr>
                <w:rFonts w:ascii="Arial" w:hAnsi="Arial" w:cs="Arial"/>
                <w:b/>
                <w:bCs/>
                <w:sz w:val="20"/>
                <w:szCs w:val="20"/>
                <w:lang w:val="es-ES_tradnl"/>
              </w:rPr>
              <w:t xml:space="preserve">Buen vivir. </w:t>
            </w:r>
            <w:r w:rsidRPr="00A62F61">
              <w:rPr>
                <w:rFonts w:ascii="Arial" w:hAnsi="Arial" w:cs="Arial"/>
                <w:sz w:val="20"/>
                <w:szCs w:val="20"/>
                <w:lang w:val="es-ES_tradnl"/>
              </w:rPr>
              <w:t>Promueve una visión integral de la vida que contemple el disfrute del tiempo libre y creativo, la interculturalidad, el trabajo digno, la justicia social e intergeneracional y el equilibrio con la naturaleza como ejes transversales en todos los niveles de planificación y desarrollo;</w:t>
            </w:r>
          </w:p>
          <w:p w:rsidR="00A62F61" w:rsidRPr="00A62F61" w:rsidRDefault="00A62F61" w:rsidP="00A62F61">
            <w:pPr>
              <w:numPr>
                <w:ilvl w:val="0"/>
                <w:numId w:val="38"/>
              </w:numPr>
              <w:jc w:val="both"/>
              <w:rPr>
                <w:rFonts w:ascii="Arial" w:hAnsi="Arial" w:cs="Arial"/>
                <w:sz w:val="20"/>
                <w:szCs w:val="20"/>
                <w:lang w:val="es-ES_tradnl"/>
              </w:rPr>
            </w:pPr>
            <w:r w:rsidRPr="00A62F61">
              <w:rPr>
                <w:rFonts w:ascii="Arial" w:hAnsi="Arial" w:cs="Arial"/>
                <w:b/>
                <w:bCs/>
                <w:sz w:val="20"/>
                <w:szCs w:val="20"/>
                <w:lang w:val="es-ES_tradnl"/>
              </w:rPr>
              <w:t xml:space="preserve">Integralidad y complementariedad del sector cultural. </w:t>
            </w:r>
            <w:r w:rsidRPr="00A62F61">
              <w:rPr>
                <w:rFonts w:ascii="Arial" w:hAnsi="Arial" w:cs="Arial"/>
                <w:sz w:val="20"/>
                <w:szCs w:val="20"/>
                <w:lang w:val="es-ES_tradnl"/>
              </w:rPr>
              <w:t>Implica la interrelación con educación, comunicación, ambiente, salud, inclusión social, ciencia, tecnología, turismo, agricultura, economía y producción, entre otros ámbitos y sistemas;</w:t>
            </w:r>
          </w:p>
          <w:p w:rsidR="00A62F61" w:rsidRPr="00A62F61" w:rsidRDefault="00A62F61" w:rsidP="00A62F61">
            <w:pPr>
              <w:numPr>
                <w:ilvl w:val="0"/>
                <w:numId w:val="38"/>
              </w:numPr>
              <w:jc w:val="both"/>
              <w:rPr>
                <w:rFonts w:ascii="Arial" w:hAnsi="Arial" w:cs="Arial"/>
                <w:sz w:val="20"/>
                <w:szCs w:val="20"/>
                <w:lang w:val="es-ES_tradnl"/>
              </w:rPr>
            </w:pPr>
            <w:r w:rsidRPr="00A62F61">
              <w:rPr>
                <w:rFonts w:ascii="Arial" w:hAnsi="Arial" w:cs="Arial"/>
                <w:b/>
                <w:bCs/>
                <w:sz w:val="20"/>
                <w:szCs w:val="20"/>
                <w:lang w:val="es-ES_tradnl"/>
              </w:rPr>
              <w:t xml:space="preserve">Identidad nacional. </w:t>
            </w:r>
            <w:r w:rsidRPr="00A62F61">
              <w:rPr>
                <w:rFonts w:ascii="Arial" w:hAnsi="Arial" w:cs="Arial"/>
                <w:sz w:val="20"/>
                <w:szCs w:val="20"/>
                <w:lang w:val="es-ES_tradnl"/>
              </w:rPr>
              <w:t>Se construye y afirma a través del conjunto de interrelaciones culturales e históricas que promueven la unidad nacional y la cohesión social a partir del reconocimiento de la diversidad;</w:t>
            </w:r>
          </w:p>
          <w:p w:rsidR="00A62F61" w:rsidRPr="00A62F61" w:rsidRDefault="00A62F61" w:rsidP="00A62F61">
            <w:pPr>
              <w:numPr>
                <w:ilvl w:val="0"/>
                <w:numId w:val="38"/>
              </w:numPr>
              <w:jc w:val="both"/>
              <w:rPr>
                <w:rFonts w:ascii="Arial" w:hAnsi="Arial" w:cs="Arial"/>
                <w:sz w:val="20"/>
                <w:szCs w:val="20"/>
                <w:lang w:val="es-ES_tradnl"/>
              </w:rPr>
            </w:pPr>
            <w:r w:rsidRPr="00A62F61">
              <w:rPr>
                <w:rFonts w:ascii="Arial" w:hAnsi="Arial" w:cs="Arial"/>
                <w:b/>
                <w:bCs/>
                <w:sz w:val="20"/>
                <w:szCs w:val="20"/>
                <w:lang w:val="es-ES_tradnl"/>
              </w:rPr>
              <w:t xml:space="preserve">Soberanía cultural. </w:t>
            </w:r>
            <w:r w:rsidRPr="00A62F61">
              <w:rPr>
                <w:rFonts w:ascii="Arial" w:hAnsi="Arial" w:cs="Arial"/>
                <w:sz w:val="20"/>
                <w:szCs w:val="20"/>
                <w:lang w:val="es-ES_tradnl"/>
              </w:rPr>
              <w:t>Es el ejercicio legítimo del fomento y la protección de la diversidad, producción cultural y creativa nacional, la memoria social y el patrimonio cultural, frente a la amenaza que significa la circulación excluyente de contenidos culturales hegemónicos;</w:t>
            </w:r>
          </w:p>
          <w:p w:rsidR="00A62F61" w:rsidRPr="00A62F61" w:rsidRDefault="00A62F61" w:rsidP="00A62F61">
            <w:pPr>
              <w:numPr>
                <w:ilvl w:val="0"/>
                <w:numId w:val="38"/>
              </w:numPr>
              <w:jc w:val="both"/>
              <w:rPr>
                <w:rFonts w:ascii="Arial" w:hAnsi="Arial" w:cs="Arial"/>
                <w:b/>
                <w:bCs/>
                <w:sz w:val="20"/>
                <w:szCs w:val="20"/>
                <w:lang w:val="es-ES_tradnl"/>
              </w:rPr>
            </w:pPr>
            <w:r w:rsidRPr="00A62F61">
              <w:rPr>
                <w:rFonts w:ascii="Arial" w:hAnsi="Arial" w:cs="Arial"/>
                <w:b/>
                <w:bCs/>
                <w:sz w:val="20"/>
                <w:szCs w:val="20"/>
                <w:lang w:val="es-ES_tradnl"/>
              </w:rPr>
              <w:t xml:space="preserve">Igualdad real. </w:t>
            </w:r>
            <w:r w:rsidRPr="00A62F61">
              <w:rPr>
                <w:rFonts w:ascii="Arial" w:hAnsi="Arial" w:cs="Arial"/>
                <w:sz w:val="20"/>
                <w:szCs w:val="20"/>
                <w:lang w:val="es-ES_tradnl"/>
              </w:rPr>
              <w:t>Es el ejercicio de los derechos culturales sin discriminación étnica, etaria, regional, política, cultural, de género, por nacionalidad, credo, orientación sexual, condición socioeconómica, condición de movilidad humana, o discapacidad, e implica medidas de acción afirmativa de acuerdo a la Constitución;</w:t>
            </w:r>
          </w:p>
          <w:p w:rsidR="00A62F61" w:rsidRPr="00A62F61" w:rsidRDefault="00A62F61" w:rsidP="00A62F61">
            <w:pPr>
              <w:numPr>
                <w:ilvl w:val="0"/>
                <w:numId w:val="38"/>
              </w:numPr>
              <w:jc w:val="both"/>
              <w:rPr>
                <w:rFonts w:ascii="Arial" w:hAnsi="Arial" w:cs="Arial"/>
                <w:sz w:val="20"/>
                <w:szCs w:val="20"/>
                <w:lang w:val="es-ES_tradnl"/>
              </w:rPr>
            </w:pPr>
            <w:r w:rsidRPr="00A62F61">
              <w:rPr>
                <w:rFonts w:ascii="Arial" w:hAnsi="Arial" w:cs="Arial"/>
                <w:b/>
                <w:bCs/>
                <w:sz w:val="20"/>
                <w:szCs w:val="20"/>
                <w:lang w:val="es-ES_tradnl"/>
              </w:rPr>
              <w:t xml:space="preserve">Innovación. </w:t>
            </w:r>
            <w:r w:rsidRPr="00A62F61">
              <w:rPr>
                <w:rFonts w:ascii="Arial" w:hAnsi="Arial" w:cs="Arial"/>
                <w:sz w:val="20"/>
                <w:szCs w:val="20"/>
                <w:lang w:val="es-ES_tradnl"/>
              </w:rPr>
              <w:t>Se entiende la innovación como el proceso creativo desarrollado por actores u organizaciones de los sectores de la producción cultural y creativa, mediante el cual se introduce un nuevo o modificado bien, servicio o proceso con valor agregado;</w:t>
            </w:r>
          </w:p>
          <w:p w:rsidR="00A62F61" w:rsidRPr="00A62F61" w:rsidRDefault="00A62F61" w:rsidP="00A62F61">
            <w:pPr>
              <w:numPr>
                <w:ilvl w:val="0"/>
                <w:numId w:val="38"/>
              </w:numPr>
              <w:jc w:val="both"/>
              <w:rPr>
                <w:rFonts w:ascii="Arial" w:hAnsi="Arial" w:cs="Arial"/>
                <w:sz w:val="20"/>
                <w:szCs w:val="20"/>
                <w:lang w:val="es-ES_tradnl"/>
              </w:rPr>
            </w:pPr>
            <w:r w:rsidRPr="00A62F61">
              <w:rPr>
                <w:rFonts w:ascii="Arial" w:hAnsi="Arial" w:cs="Arial"/>
                <w:b/>
                <w:bCs/>
                <w:sz w:val="20"/>
                <w:szCs w:val="20"/>
                <w:lang w:val="es-ES_tradnl"/>
              </w:rPr>
              <w:t xml:space="preserve">Cultura viva comunitaria. </w:t>
            </w:r>
            <w:r w:rsidRPr="00A62F61">
              <w:rPr>
                <w:rFonts w:ascii="Arial" w:hAnsi="Arial" w:cs="Arial"/>
                <w:sz w:val="20"/>
                <w:szCs w:val="20"/>
                <w:lang w:val="es-ES_tradnl"/>
              </w:rPr>
              <w:t>Se promueve la cultura viva comunitaria, concebida como las expresiones artísticas y culturales que surgen de las comunas, comunidades, pueblos y nacionalidades, a partir de su cotidianidad. Es una experiencia que reconoce y potencia las identidades colectivas, el diálogo, la cooperación, la constitución de redes y la construcción comunitaria a través de la expresión de la cultura popular;</w:t>
            </w:r>
          </w:p>
          <w:p w:rsidR="00A62F61" w:rsidRPr="00A62F61" w:rsidRDefault="00A62F61" w:rsidP="00A62F61">
            <w:pPr>
              <w:numPr>
                <w:ilvl w:val="0"/>
                <w:numId w:val="38"/>
              </w:numPr>
              <w:jc w:val="both"/>
              <w:rPr>
                <w:rFonts w:ascii="Arial" w:hAnsi="Arial" w:cs="Arial"/>
                <w:sz w:val="20"/>
                <w:szCs w:val="20"/>
                <w:lang w:val="es-ES_tradnl"/>
              </w:rPr>
            </w:pPr>
            <w:r w:rsidRPr="00A62F61">
              <w:rPr>
                <w:rFonts w:ascii="Arial" w:hAnsi="Arial" w:cs="Arial"/>
                <w:b/>
                <w:bCs/>
                <w:sz w:val="20"/>
                <w:szCs w:val="20"/>
                <w:lang w:val="es-ES_tradnl"/>
              </w:rPr>
              <w:t xml:space="preserve">Prioridad. </w:t>
            </w:r>
            <w:r w:rsidRPr="00A62F61">
              <w:rPr>
                <w:rFonts w:ascii="Arial" w:hAnsi="Arial" w:cs="Arial"/>
                <w:sz w:val="20"/>
                <w:szCs w:val="20"/>
                <w:lang w:val="es-ES_tradnl"/>
              </w:rPr>
              <w:t xml:space="preserve">Las actividades, bienes y servicios culturales son portadores de contenidos de carácter simbólico que preceden y superan la dimensión estrictamente económica, por lo que recibirán un </w:t>
            </w:r>
            <w:r w:rsidRPr="00A62F61">
              <w:rPr>
                <w:rFonts w:ascii="Arial" w:hAnsi="Arial" w:cs="Arial"/>
                <w:sz w:val="20"/>
                <w:szCs w:val="20"/>
                <w:lang w:val="es-ES_tradnl"/>
              </w:rPr>
              <w:lastRenderedPageBreak/>
              <w:t>tratamiento especial en la planificación y presupuestos nacionales.</w:t>
            </w:r>
          </w:p>
          <w:p w:rsidR="00A62F61" w:rsidRPr="00A62F61" w:rsidRDefault="00A62F61" w:rsidP="00A62F61">
            <w:pPr>
              <w:numPr>
                <w:ilvl w:val="0"/>
                <w:numId w:val="38"/>
              </w:numPr>
              <w:jc w:val="both"/>
              <w:rPr>
                <w:rFonts w:ascii="Arial" w:hAnsi="Arial" w:cs="Arial"/>
                <w:sz w:val="20"/>
                <w:szCs w:val="20"/>
                <w:lang w:val="es-ES_tradnl"/>
              </w:rPr>
            </w:pPr>
            <w:r w:rsidRPr="00A62F61">
              <w:rPr>
                <w:rFonts w:ascii="Arial" w:hAnsi="Arial" w:cs="Arial"/>
                <w:b/>
                <w:bCs/>
                <w:sz w:val="20"/>
                <w:szCs w:val="20"/>
                <w:lang w:val="es-ES_tradnl"/>
              </w:rPr>
              <w:t xml:space="preserve">Pro Cultura. </w:t>
            </w:r>
            <w:r w:rsidRPr="00A62F61">
              <w:rPr>
                <w:rFonts w:ascii="Arial" w:hAnsi="Arial" w:cs="Arial"/>
                <w:sz w:val="20"/>
                <w:szCs w:val="20"/>
                <w:lang w:val="es-ES_tradnl"/>
              </w:rPr>
              <w:t>En caso de duda en la aplicación de la presente Ley, se deberá interpretar en el sentido que más favorezca el ejercicio pleno de los derechos culturales y la libertad creativa de actores, gestores, pueblos y nacionalidades; y de la ciudadanía en general.</w:t>
            </w:r>
          </w:p>
          <w:p w:rsidR="00A62F61" w:rsidRPr="00A62F61" w:rsidRDefault="00A62F61" w:rsidP="00A62F61">
            <w:pPr>
              <w:jc w:val="both"/>
              <w:rPr>
                <w:rFonts w:ascii="Arial" w:hAnsi="Arial" w:cs="Arial"/>
                <w:sz w:val="20"/>
                <w:szCs w:val="20"/>
                <w:lang w:val="es-ES_tradnl"/>
              </w:rPr>
            </w:pPr>
          </w:p>
          <w:p w:rsidR="00A62F61" w:rsidRPr="00A62F61" w:rsidRDefault="00A62F61" w:rsidP="00A62F61">
            <w:pPr>
              <w:jc w:val="both"/>
              <w:rPr>
                <w:rFonts w:ascii="Arial" w:hAnsi="Arial" w:cs="Arial"/>
                <w:sz w:val="20"/>
                <w:szCs w:val="20"/>
                <w:lang w:val="es-US"/>
              </w:rPr>
            </w:pPr>
            <w:hyperlink r:id="rId22" w:history="1">
              <w:r w:rsidRPr="00A62F61">
                <w:rPr>
                  <w:rStyle w:val="Hipervnculo"/>
                  <w:rFonts w:ascii="Arial" w:hAnsi="Arial" w:cs="Arial"/>
                  <w:sz w:val="20"/>
                  <w:szCs w:val="20"/>
                  <w:lang w:val="es-US"/>
                </w:rPr>
                <w:t>Ver Registro Oficial</w:t>
              </w:r>
            </w:hyperlink>
          </w:p>
          <w:p w:rsidR="00A62F61" w:rsidRPr="00A62F61" w:rsidRDefault="00A62F61" w:rsidP="00A62F61">
            <w:pPr>
              <w:jc w:val="both"/>
              <w:rPr>
                <w:rFonts w:ascii="Arial" w:hAnsi="Arial" w:cs="Arial"/>
                <w:b/>
                <w:sz w:val="20"/>
                <w:szCs w:val="20"/>
                <w:lang w:val="es-US"/>
              </w:rPr>
            </w:pPr>
          </w:p>
        </w:tc>
      </w:tr>
    </w:tbl>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62F61" w:rsidRPr="00A62F61" w:rsidTr="00A62F61">
        <w:trPr>
          <w:trHeight w:val="1380"/>
        </w:trPr>
        <w:tc>
          <w:tcPr>
            <w:tcW w:w="9257" w:type="dxa"/>
            <w:shd w:val="clear" w:color="auto" w:fill="DDFFFF"/>
          </w:tcPr>
          <w:p w:rsidR="00A62F61" w:rsidRPr="00A62F61" w:rsidRDefault="00A62F61" w:rsidP="00A62F61">
            <w:pPr>
              <w:jc w:val="both"/>
              <w:rPr>
                <w:rFonts w:ascii="Arial" w:hAnsi="Arial" w:cs="Arial"/>
                <w:sz w:val="20"/>
                <w:szCs w:val="20"/>
                <w:lang w:val="es-US"/>
              </w:rPr>
            </w:pPr>
          </w:p>
          <w:p w:rsidR="00A83A18" w:rsidRPr="00A83A18" w:rsidRDefault="00A62F61" w:rsidP="00A62F61">
            <w:pPr>
              <w:jc w:val="both"/>
              <w:rPr>
                <w:rFonts w:ascii="Arial" w:hAnsi="Arial" w:cs="Arial"/>
                <w:b/>
                <w:sz w:val="20"/>
                <w:szCs w:val="20"/>
                <w:lang w:val="es-ES_tradnl"/>
              </w:rPr>
            </w:pPr>
            <w:r w:rsidRPr="00A62F61">
              <w:rPr>
                <w:rFonts w:ascii="Arial" w:hAnsi="Arial" w:cs="Arial"/>
                <w:b/>
                <w:bCs/>
                <w:sz w:val="20"/>
                <w:szCs w:val="20"/>
                <w:lang w:val="es-ES_tradnl"/>
              </w:rPr>
              <w:t>LEY REFORMATORIA DE LA LEY NOTARIAL</w:t>
            </w:r>
          </w:p>
          <w:p w:rsidR="00A62F61" w:rsidRPr="00A62F61" w:rsidRDefault="00A62F61" w:rsidP="00A62F61">
            <w:pPr>
              <w:jc w:val="both"/>
              <w:rPr>
                <w:rFonts w:ascii="Arial" w:hAnsi="Arial" w:cs="Arial"/>
                <w:b/>
                <w:sz w:val="20"/>
                <w:szCs w:val="20"/>
                <w:lang w:val="es-ES_tradnl"/>
              </w:rPr>
            </w:pPr>
          </w:p>
          <w:p w:rsidR="00A62F61" w:rsidRPr="00A62F61" w:rsidRDefault="00A62F61" w:rsidP="00A62F61">
            <w:pPr>
              <w:jc w:val="both"/>
              <w:rPr>
                <w:rFonts w:ascii="Arial" w:hAnsi="Arial" w:cs="Arial"/>
                <w:sz w:val="20"/>
                <w:szCs w:val="20"/>
                <w:lang w:val="es-US"/>
              </w:rPr>
            </w:pPr>
            <w:r w:rsidRPr="00A62F61">
              <w:rPr>
                <w:rFonts w:ascii="Arial" w:hAnsi="Arial" w:cs="Arial"/>
                <w:b/>
                <w:sz w:val="20"/>
                <w:szCs w:val="20"/>
                <w:lang w:val="es-US"/>
              </w:rPr>
              <w:t xml:space="preserve">Expedido por: </w:t>
            </w:r>
            <w:r w:rsidRPr="00A62F61">
              <w:rPr>
                <w:rFonts w:ascii="Arial" w:hAnsi="Arial" w:cs="Arial"/>
                <w:sz w:val="20"/>
                <w:szCs w:val="20"/>
                <w:lang w:val="es-US"/>
              </w:rPr>
              <w:t xml:space="preserve">Ley S/N, publicado en el Suplemento del Registro Oficial No.913 de 30  de Diciembre del 2016  </w:t>
            </w:r>
          </w:p>
          <w:p w:rsidR="00A62F61" w:rsidRPr="00A62F61" w:rsidRDefault="00A62F61" w:rsidP="00A62F61">
            <w:pPr>
              <w:jc w:val="both"/>
              <w:rPr>
                <w:rFonts w:ascii="Arial" w:hAnsi="Arial" w:cs="Arial"/>
                <w:b/>
                <w:sz w:val="20"/>
                <w:szCs w:val="20"/>
                <w:lang w:val="es-US"/>
              </w:rPr>
            </w:pPr>
          </w:p>
          <w:p w:rsidR="00A62F61" w:rsidRPr="00A62F61" w:rsidRDefault="00A62F61" w:rsidP="00A62F61">
            <w:pPr>
              <w:jc w:val="both"/>
              <w:rPr>
                <w:rFonts w:ascii="Arial" w:hAnsi="Arial" w:cs="Arial"/>
                <w:sz w:val="20"/>
                <w:szCs w:val="20"/>
                <w:lang w:val="es-US"/>
              </w:rPr>
            </w:pPr>
            <w:r w:rsidRPr="00A62F61">
              <w:rPr>
                <w:rFonts w:ascii="Arial" w:hAnsi="Arial" w:cs="Arial"/>
                <w:b/>
                <w:sz w:val="20"/>
                <w:szCs w:val="20"/>
                <w:lang w:val="es-US"/>
              </w:rPr>
              <w:t>Novedad:</w:t>
            </w:r>
            <w:r w:rsidRPr="00A62F61">
              <w:rPr>
                <w:rFonts w:ascii="Arial" w:hAnsi="Arial" w:cs="Arial"/>
                <w:sz w:val="20"/>
                <w:szCs w:val="20"/>
                <w:lang w:val="es-US"/>
              </w:rPr>
              <w:t xml:space="preserve"> Reforma </w:t>
            </w:r>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hyperlink r:id="rId23" w:history="1">
              <w:r w:rsidRPr="00A62F61">
                <w:rPr>
                  <w:rStyle w:val="Hipervnculo"/>
                  <w:rFonts w:ascii="Arial" w:hAnsi="Arial" w:cs="Arial"/>
                  <w:sz w:val="20"/>
                  <w:szCs w:val="20"/>
                  <w:lang w:val="es-US"/>
                </w:rPr>
                <w:t>Ver Vigencia</w:t>
              </w:r>
            </w:hyperlink>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Artículo único. - Refórmese el artículo 18 de la siguiente manera:</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1.   Sustituyese el numeral 5 por el siguiente:</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"5.    Certificar    documentos    bajo    las    siguientes modalidades:</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a) Dar fe de la exactitud, conformidad y corrección de fotocopias certificadas o de documentos que se</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US"/>
              </w:rPr>
              <w:br w:type="column"/>
            </w:r>
            <w:proofErr w:type="gramStart"/>
            <w:r w:rsidRPr="00A62F61">
              <w:rPr>
                <w:rFonts w:ascii="Arial" w:hAnsi="Arial" w:cs="Arial"/>
                <w:sz w:val="20"/>
                <w:szCs w:val="20"/>
                <w:lang w:val="es-ES_tradnl"/>
              </w:rPr>
              <w:t>exhiban</w:t>
            </w:r>
            <w:proofErr w:type="gramEnd"/>
            <w:r w:rsidRPr="00A62F61">
              <w:rPr>
                <w:rFonts w:ascii="Arial" w:hAnsi="Arial" w:cs="Arial"/>
                <w:sz w:val="20"/>
                <w:szCs w:val="20"/>
                <w:lang w:val="es-ES_tradnl"/>
              </w:rPr>
              <w:t xml:space="preserve"> en originales conservando un ejemplar con una nota respectiva en el libro de certificaciones que se llevará para el efecto.</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b) La o el Notario a través de su firma electrónica podrá otorgar copias electrónicas certificadas de un documento físico original o de un documento electrónico original.</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Además podrá conferir copias físicas certificadas de un documento electrónico original."</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2.</w:t>
            </w:r>
            <w:r w:rsidRPr="00A62F61">
              <w:rPr>
                <w:rFonts w:ascii="Arial" w:hAnsi="Arial" w:cs="Arial"/>
                <w:sz w:val="20"/>
                <w:szCs w:val="20"/>
                <w:lang w:val="es-ES_tradnl"/>
              </w:rPr>
              <w:tab/>
              <w:t>Sustituyese el último párrafo del numeral 10 por el siguiente:</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 xml:space="preserve">"En los casos en que el patrimonio familiar se constituye como mandato de la Ley, deberá adicionalmente contarse con la aceptación de las instituciones involucradas. Si tales instituciones ya </w:t>
            </w:r>
            <w:r w:rsidRPr="00A62F61">
              <w:rPr>
                <w:rFonts w:ascii="Arial" w:hAnsi="Arial" w:cs="Arial"/>
                <w:sz w:val="20"/>
                <w:szCs w:val="20"/>
                <w:lang w:val="es-ES_tradnl"/>
              </w:rPr>
              <w:lastRenderedPageBreak/>
              <w:t>no existen, están inactivas, liquidadas o canceladas o no hay la documentación de las mismas en el órgano regulador competente y así se certifica, no será necesaria su aceptación".</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3.</w:t>
            </w:r>
            <w:r w:rsidRPr="00A62F61">
              <w:rPr>
                <w:rFonts w:ascii="Arial" w:hAnsi="Arial" w:cs="Arial"/>
                <w:sz w:val="20"/>
                <w:szCs w:val="20"/>
                <w:lang w:val="es-ES_tradnl"/>
              </w:rPr>
              <w:tab/>
              <w:t>Sustituyese el numeral 13 por el siguiente:</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"13. Autorizar la petición de disolución de la sociedad conyugal o de la sociedad de bienes por mutuo acuerdo, sin perjuicio de la atribución prevista en el Artículo 10 de la Ley Orgánica de Gestión de la Identidad y Datos Civiles, previo reconocimiento de las firmas de los solicitantes ante la o el Notario, acompañando la partida de matrimonio, la sentencia, acta de reconocimiento, certificado de la unión de hecho o cualquier documento habilitante según lo dispuesto en la Ley Orgánica de Gestión de la Identidad y Datos Civiles.</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La o el Notario inmediatamente de reconocida la petición redactará el acta correspondiente que declarará disuelta la sociedad conyugal o la sociedad de bienes, la misma que se protocolizará y se inscribirá en el Registro Civil correspondiente."</w:t>
            </w:r>
          </w:p>
          <w:p w:rsidR="00A62F61" w:rsidRPr="00A62F61" w:rsidRDefault="00A62F61" w:rsidP="00A62F61">
            <w:pPr>
              <w:numPr>
                <w:ilvl w:val="0"/>
                <w:numId w:val="39"/>
              </w:numPr>
              <w:jc w:val="both"/>
              <w:rPr>
                <w:rFonts w:ascii="Arial" w:hAnsi="Arial" w:cs="Arial"/>
                <w:sz w:val="20"/>
                <w:szCs w:val="20"/>
                <w:lang w:val="es-ES_tradnl"/>
              </w:rPr>
            </w:pPr>
            <w:r w:rsidRPr="00A62F61">
              <w:rPr>
                <w:rFonts w:ascii="Arial" w:hAnsi="Arial" w:cs="Arial"/>
                <w:sz w:val="20"/>
                <w:szCs w:val="20"/>
                <w:lang w:val="es-ES_tradnl"/>
              </w:rPr>
              <w:t>Eliminase el último párrafo del numeral 21.</w:t>
            </w:r>
          </w:p>
          <w:p w:rsidR="00A62F61" w:rsidRPr="00A62F61" w:rsidRDefault="00A62F61" w:rsidP="00A62F61">
            <w:pPr>
              <w:numPr>
                <w:ilvl w:val="0"/>
                <w:numId w:val="39"/>
              </w:numPr>
              <w:jc w:val="both"/>
              <w:rPr>
                <w:rFonts w:ascii="Arial" w:hAnsi="Arial" w:cs="Arial"/>
                <w:sz w:val="20"/>
                <w:szCs w:val="20"/>
                <w:lang w:val="es-ES_tradnl"/>
              </w:rPr>
            </w:pPr>
            <w:r w:rsidRPr="00A62F61">
              <w:rPr>
                <w:rFonts w:ascii="Arial" w:hAnsi="Arial" w:cs="Arial"/>
                <w:sz w:val="20"/>
                <w:szCs w:val="20"/>
                <w:lang w:val="es-ES_tradnl"/>
              </w:rPr>
              <w:t>Sustituyese el numeral 22 por el siguiente:</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"22. Tramitar el divorcio por mutuo consentimiento y terminación de la unión de hecho, únicamente en los casos en que no existan hijos menores de edad o bajo su dependencia según lo previsto en la Ley, sin perjuicio de la atribución conferida en el Artículo 10 de la Ley Orgánica de Gestión de la Identidad y Datos Civiles.</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Para el efecto las partes expresarán, bajo juramento, lo antes mencionado y su voluntad definitiva de disolver el vínculo matrimonial o la terminación de la unión de hecho según sea el caso.</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La o el notario mandará que los comparecientes reconozcan sus respectivas firmas y rúbricas y fijará fecha y hora para que tenga lugar la audiencia, dentro de un plazo no mayor a diez días, en el que las partes deberán ratificar de consuno y de viva voz su voluntad de divorciarse o dar por terminada la unión de hecho.</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La o el notario levantará un acta de la diligencia en la que declarará disuelto el vínculo matrimonial o la terminación de la unión de hecho de la que, debidamente protocolizada, se entregará copias certificadas a las partes para la inscripción en el Registro Civil y cumplirá con la notificación dispuesta en la Ley Orgánica de Gestión de la Identidad y Datos Civiles.</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Los sistemas de correo y firma electrónica podrán utilizarse para la notificación señalada en esta Disposición.</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Los cónyuges o las personas en unión de hecho podrán comparecer directamente o a través de procuradores especiales.</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De no realizarse la audiencia en la fecha designada por la o el notario, los cónyuges o personas en unión de hecho podrán solicitar nueva fecha y hora para que tenga lugar la misma, debiendo cumplirse dentro del plazo de cinco días posteriores a la fecha en la cual debió celebrarse originalmente. De no darse la audiencia, la o el notario archivará la petición.</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A petición de las partes y de mutuo consentimiento, la o el Notario en el mismo acto procederá a la liquidación de sociedad de bienes o de la sociedad conyugal según las reglas de este artículo."</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lastRenderedPageBreak/>
              <w:t>6.</w:t>
            </w:r>
            <w:r w:rsidRPr="00A62F61">
              <w:rPr>
                <w:rFonts w:ascii="Arial" w:hAnsi="Arial" w:cs="Arial"/>
                <w:sz w:val="20"/>
                <w:szCs w:val="20"/>
                <w:lang w:val="es-ES_tradnl"/>
              </w:rPr>
              <w:tab/>
              <w:t>En el numeral 26 añádase una frase final que diga:</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"sin perjuicio de lo previsto en el numeral 13 del artículo 10 de la Ley Orgánica de Gestión de la Identidad y Datos Civiles."</w:t>
            </w:r>
          </w:p>
          <w:p w:rsidR="00A62F61" w:rsidRPr="00A62F61" w:rsidRDefault="00A62F61" w:rsidP="00A62F61">
            <w:pPr>
              <w:numPr>
                <w:ilvl w:val="0"/>
                <w:numId w:val="40"/>
              </w:numPr>
              <w:jc w:val="both"/>
              <w:rPr>
                <w:rFonts w:ascii="Arial" w:hAnsi="Arial" w:cs="Arial"/>
                <w:sz w:val="20"/>
                <w:szCs w:val="20"/>
                <w:lang w:val="es-ES_tradnl"/>
              </w:rPr>
            </w:pPr>
            <w:proofErr w:type="spellStart"/>
            <w:r w:rsidRPr="00A62F61">
              <w:rPr>
                <w:rFonts w:ascii="Arial" w:hAnsi="Arial" w:cs="Arial"/>
                <w:sz w:val="20"/>
                <w:szCs w:val="20"/>
                <w:lang w:val="es-ES_tradnl"/>
              </w:rPr>
              <w:t>Agrégase</w:t>
            </w:r>
            <w:proofErr w:type="spellEnd"/>
            <w:r w:rsidRPr="00A62F61">
              <w:rPr>
                <w:rFonts w:ascii="Arial" w:hAnsi="Arial" w:cs="Arial"/>
                <w:sz w:val="20"/>
                <w:szCs w:val="20"/>
                <w:lang w:val="es-ES_tradnl"/>
              </w:rPr>
              <w:t xml:space="preserve"> en el primer párrafo del numeral 27 luego de la palabra "usufructo", "uso y habitación" y en los literales a) y c) luego de la palabra "usufructuario", las palabras "usuario o habitador".</w:t>
            </w:r>
          </w:p>
          <w:p w:rsidR="00A62F61" w:rsidRPr="00A62F61" w:rsidRDefault="00A62F61" w:rsidP="00A62F61">
            <w:pPr>
              <w:numPr>
                <w:ilvl w:val="0"/>
                <w:numId w:val="40"/>
              </w:numPr>
              <w:jc w:val="both"/>
              <w:rPr>
                <w:rFonts w:ascii="Arial" w:hAnsi="Arial" w:cs="Arial"/>
                <w:sz w:val="20"/>
                <w:szCs w:val="20"/>
                <w:lang w:val="es-ES_tradnl"/>
              </w:rPr>
            </w:pPr>
            <w:r w:rsidRPr="00A62F61">
              <w:rPr>
                <w:rFonts w:ascii="Arial" w:hAnsi="Arial" w:cs="Arial"/>
                <w:sz w:val="20"/>
                <w:szCs w:val="20"/>
                <w:lang w:val="es-ES_tradnl"/>
              </w:rPr>
              <w:t>Sustituyese el numeral 35 por el siguiente:</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"Solemnizar el desahucio, de acuerdo con lo previsto en la Ley de Inquilinato y el Código Civil. La o el interesado en el desahucio dirigirá una solicitud a la o al notario, acompañando prueba de su pretensión. Recibida la solicitud y los documentos que se acompañan a ella, la o el notario notificará a la o al desahuciado de conformidad con las reglas para la citación personal o por boletas previstas en el Código Orgánico General de Procesos."</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9.</w:t>
            </w:r>
            <w:r w:rsidRPr="00A62F61">
              <w:rPr>
                <w:rFonts w:ascii="Arial" w:hAnsi="Arial" w:cs="Arial"/>
                <w:sz w:val="20"/>
                <w:szCs w:val="20"/>
                <w:lang w:val="es-ES_tradnl"/>
              </w:rPr>
              <w:tab/>
              <w:t>Sustituyese el numeral 36 por el siguiente:</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"Inscribir contratos de arrendamiento para lo cual cada notaría llevará un archivo numerado y cronológico."</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10.</w:t>
            </w:r>
            <w:r w:rsidRPr="00A62F61">
              <w:rPr>
                <w:rFonts w:ascii="Arial" w:hAnsi="Arial" w:cs="Arial"/>
                <w:sz w:val="20"/>
                <w:szCs w:val="20"/>
                <w:lang w:val="es-ES_tradnl"/>
              </w:rPr>
              <w:tab/>
              <w:t>Añádase luego del numeral 37 el siguiente:</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"38. La o el notario notificará, a petición de parte, la revocatoria de mandato o poder, siempre que el domicilio de la persona por notificarse se encuentre dentro del cantón o jurisdicción territorial en el que</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US"/>
              </w:rPr>
              <w:br w:type="column"/>
            </w:r>
            <w:proofErr w:type="gramStart"/>
            <w:r w:rsidRPr="00A62F61">
              <w:rPr>
                <w:rFonts w:ascii="Arial" w:hAnsi="Arial" w:cs="Arial"/>
                <w:sz w:val="20"/>
                <w:szCs w:val="20"/>
                <w:lang w:val="es-ES_tradnl"/>
              </w:rPr>
              <w:t>ejerce</w:t>
            </w:r>
            <w:proofErr w:type="gramEnd"/>
            <w:r w:rsidRPr="00A62F61">
              <w:rPr>
                <w:rFonts w:ascii="Arial" w:hAnsi="Arial" w:cs="Arial"/>
                <w:sz w:val="20"/>
                <w:szCs w:val="20"/>
                <w:lang w:val="es-ES_tradnl"/>
              </w:rPr>
              <w:t xml:space="preserve"> sus funciones. La notificación se efectuará de conformidad con las reglas para la citación en persona o por boletas establecidas en el Código Orgánico General de Procesos"</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11. Sustituyese el último párrafo del artículo 18 por el siguiente:</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ES_tradnl"/>
              </w:rPr>
              <w:t>"En estos casos y en el previsto en el artículo 81 de la Ley Orgánica del Sistema Nacional de Contratación Pública, de existir controversia, las y los interesados podrán demandar sus pretensiones por vía sumaria. Para el efecto, la o el notario a petición de parte, protocolizará y entregará en el plazo de tres días las copias de todo lo actuado."</w:t>
            </w:r>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hyperlink r:id="rId24" w:history="1">
              <w:r w:rsidRPr="00A62F61">
                <w:rPr>
                  <w:rStyle w:val="Hipervnculo"/>
                  <w:rFonts w:ascii="Arial" w:hAnsi="Arial" w:cs="Arial"/>
                  <w:sz w:val="20"/>
                  <w:szCs w:val="20"/>
                  <w:lang w:val="es-US"/>
                </w:rPr>
                <w:t>Ver Registro Oficial</w:t>
              </w:r>
            </w:hyperlink>
          </w:p>
          <w:p w:rsidR="00A62F61" w:rsidRPr="00A62F61" w:rsidRDefault="00A62F61" w:rsidP="00A62F61">
            <w:pPr>
              <w:jc w:val="both"/>
              <w:rPr>
                <w:rFonts w:ascii="Arial" w:hAnsi="Arial" w:cs="Arial"/>
                <w:sz w:val="20"/>
                <w:szCs w:val="20"/>
                <w:lang w:val="es-US"/>
              </w:rPr>
            </w:pPr>
          </w:p>
        </w:tc>
      </w:tr>
    </w:tbl>
    <w:p w:rsidR="00A62F61" w:rsidRDefault="00A62F61" w:rsidP="00A62F61">
      <w:pPr>
        <w:jc w:val="both"/>
        <w:rPr>
          <w:rFonts w:ascii="Arial" w:hAnsi="Arial" w:cs="Arial"/>
          <w:sz w:val="20"/>
          <w:szCs w:val="20"/>
          <w:lang w:val="es-US"/>
        </w:rPr>
      </w:pPr>
    </w:p>
    <w:p w:rsidR="00A83A18" w:rsidRDefault="00A83A18" w:rsidP="00A62F61">
      <w:pPr>
        <w:jc w:val="both"/>
        <w:rPr>
          <w:rFonts w:ascii="Arial" w:hAnsi="Arial" w:cs="Arial"/>
          <w:sz w:val="20"/>
          <w:szCs w:val="20"/>
          <w:lang w:val="es-US"/>
        </w:rPr>
      </w:pPr>
    </w:p>
    <w:p w:rsidR="00A83A18" w:rsidRDefault="00A83A18" w:rsidP="00A62F61">
      <w:pPr>
        <w:jc w:val="both"/>
        <w:rPr>
          <w:rFonts w:ascii="Arial" w:hAnsi="Arial" w:cs="Arial"/>
          <w:sz w:val="20"/>
          <w:szCs w:val="20"/>
          <w:lang w:val="es-US"/>
        </w:rPr>
      </w:pPr>
    </w:p>
    <w:p w:rsidR="00A83A18" w:rsidRDefault="00A83A18" w:rsidP="00A62F61">
      <w:pPr>
        <w:jc w:val="both"/>
        <w:rPr>
          <w:rFonts w:ascii="Arial" w:hAnsi="Arial" w:cs="Arial"/>
          <w:sz w:val="20"/>
          <w:szCs w:val="20"/>
          <w:lang w:val="es-US"/>
        </w:rPr>
      </w:pPr>
    </w:p>
    <w:p w:rsidR="00A83A18" w:rsidRPr="00A62F61" w:rsidRDefault="00A83A18" w:rsidP="00A62F61">
      <w:pPr>
        <w:jc w:val="both"/>
        <w:rPr>
          <w:rFonts w:ascii="Arial" w:hAnsi="Arial" w:cs="Arial"/>
          <w:sz w:val="20"/>
          <w:szCs w:val="20"/>
          <w:lang w:val="es-US"/>
        </w:rPr>
      </w:pPr>
      <w:bookmarkStart w:id="0" w:name="_GoBack"/>
      <w:bookmarkEnd w:id="0"/>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62F61" w:rsidRPr="00A62F61" w:rsidTr="00A62F61">
        <w:trPr>
          <w:trHeight w:val="1380"/>
        </w:trPr>
        <w:tc>
          <w:tcPr>
            <w:tcW w:w="9257" w:type="dxa"/>
            <w:shd w:val="clear" w:color="auto" w:fill="DDFFFF"/>
          </w:tcPr>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b/>
                <w:sz w:val="20"/>
                <w:szCs w:val="20"/>
                <w:lang w:val="es-ES_tradnl"/>
              </w:rPr>
            </w:pPr>
            <w:r w:rsidRPr="00A62F61">
              <w:rPr>
                <w:rFonts w:ascii="Arial" w:hAnsi="Arial" w:cs="Arial"/>
                <w:b/>
                <w:sz w:val="20"/>
                <w:szCs w:val="20"/>
                <w:lang w:val="es-ES_tradnl"/>
              </w:rPr>
              <w:t>LEY ORGÁNICA PARA EVITAR LA ESPECULACIÓN SOBRE EL VALOR DE LAS TIERRAS Y FIJACIÓN DE TRIBUTOS</w:t>
            </w:r>
          </w:p>
          <w:p w:rsidR="00A62F61" w:rsidRPr="00A62F61" w:rsidRDefault="00A62F61" w:rsidP="00A62F61">
            <w:pPr>
              <w:jc w:val="both"/>
              <w:rPr>
                <w:rFonts w:ascii="Arial" w:hAnsi="Arial" w:cs="Arial"/>
                <w:b/>
                <w:sz w:val="20"/>
                <w:szCs w:val="20"/>
                <w:lang w:val="es-ES_tradnl"/>
              </w:rPr>
            </w:pPr>
          </w:p>
          <w:p w:rsidR="00A62F61" w:rsidRPr="00A62F61" w:rsidRDefault="00A62F61" w:rsidP="00A62F61">
            <w:pPr>
              <w:jc w:val="both"/>
              <w:rPr>
                <w:rFonts w:ascii="Arial" w:hAnsi="Arial" w:cs="Arial"/>
                <w:b/>
                <w:sz w:val="20"/>
                <w:szCs w:val="20"/>
                <w:lang w:val="es-ES_tradnl"/>
              </w:rPr>
            </w:pPr>
          </w:p>
          <w:p w:rsidR="00A62F61" w:rsidRPr="00A62F61" w:rsidRDefault="00A62F61" w:rsidP="00A62F61">
            <w:pPr>
              <w:jc w:val="both"/>
              <w:rPr>
                <w:rFonts w:ascii="Arial" w:hAnsi="Arial" w:cs="Arial"/>
                <w:sz w:val="20"/>
                <w:szCs w:val="20"/>
                <w:lang w:val="es-US"/>
              </w:rPr>
            </w:pPr>
            <w:r w:rsidRPr="00A62F61">
              <w:rPr>
                <w:rFonts w:ascii="Arial" w:hAnsi="Arial" w:cs="Arial"/>
                <w:b/>
                <w:sz w:val="20"/>
                <w:szCs w:val="20"/>
                <w:lang w:val="es-US"/>
              </w:rPr>
              <w:t xml:space="preserve">Expedido por: </w:t>
            </w:r>
            <w:r w:rsidRPr="00A62F61">
              <w:rPr>
                <w:rFonts w:ascii="Arial" w:hAnsi="Arial" w:cs="Arial"/>
                <w:sz w:val="20"/>
                <w:szCs w:val="20"/>
                <w:lang w:val="es-US"/>
              </w:rPr>
              <w:t xml:space="preserve">Ley S/N, publicado en el Suplemento del Registro Oficial No. 913 de 30 de diciembre del 2016  </w:t>
            </w:r>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hyperlink r:id="rId25" w:history="1">
              <w:r w:rsidRPr="00A62F61">
                <w:rPr>
                  <w:rStyle w:val="Hipervnculo"/>
                  <w:rFonts w:ascii="Arial" w:hAnsi="Arial" w:cs="Arial"/>
                  <w:sz w:val="20"/>
                  <w:szCs w:val="20"/>
                  <w:lang w:val="es-US"/>
                </w:rPr>
                <w:t>Ver Vigencia</w:t>
              </w:r>
            </w:hyperlink>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 xml:space="preserve">Artículo 1. </w:t>
            </w:r>
            <w:r w:rsidRPr="00A62F61">
              <w:rPr>
                <w:rFonts w:ascii="Arial" w:hAnsi="Arial" w:cs="Arial"/>
                <w:sz w:val="20"/>
                <w:szCs w:val="20"/>
                <w:lang w:val="es-ES_tradnl"/>
              </w:rPr>
              <w:t>Agréguese la siguiente frase al final del artículo 197 del Código Orgánico de Organización Territorial, Autonomía y Descentralización:</w:t>
            </w:r>
          </w:p>
          <w:p w:rsidR="00A62F61" w:rsidRPr="00A62F61" w:rsidRDefault="00A62F61" w:rsidP="00A62F61">
            <w:pPr>
              <w:jc w:val="both"/>
              <w:rPr>
                <w:rFonts w:ascii="Arial" w:hAnsi="Arial" w:cs="Arial"/>
                <w:sz w:val="20"/>
                <w:szCs w:val="20"/>
                <w:lang w:val="es-US"/>
              </w:rPr>
            </w:pPr>
            <w:r w:rsidRPr="00A62F61">
              <w:rPr>
                <w:rFonts w:ascii="Arial" w:hAnsi="Arial" w:cs="Arial"/>
                <w:iCs/>
                <w:sz w:val="20"/>
                <w:szCs w:val="20"/>
                <w:lang w:val="es-ES_tradnl"/>
              </w:rPr>
              <w:t>“Para la ponderación del criterio de esfuerzo fiscal se contará con el informe previo de la Administración Tributaria Nacional, quien establecerá los parámetros que se deben considerar para determinar dicho esfuerzo.”</w:t>
            </w: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 xml:space="preserve">Artículo 2. </w:t>
            </w:r>
            <w:r w:rsidRPr="00A62F61">
              <w:rPr>
                <w:rFonts w:ascii="Arial" w:hAnsi="Arial" w:cs="Arial"/>
                <w:sz w:val="20"/>
                <w:szCs w:val="20"/>
                <w:lang w:val="es-ES_tradnl"/>
              </w:rPr>
              <w:t>Sustitúyase el artículo 526 del Código Orgánico de Organización Territorial, Autonomía y Descentralización por el siguiente:</w:t>
            </w:r>
          </w:p>
          <w:p w:rsidR="00A62F61" w:rsidRPr="00A62F61" w:rsidRDefault="00A62F61" w:rsidP="00A62F61">
            <w:pPr>
              <w:jc w:val="both"/>
              <w:rPr>
                <w:rFonts w:ascii="Arial" w:hAnsi="Arial" w:cs="Arial"/>
                <w:sz w:val="20"/>
                <w:szCs w:val="20"/>
                <w:lang w:val="es-US"/>
              </w:rPr>
            </w:pPr>
            <w:r w:rsidRPr="00A62F61">
              <w:rPr>
                <w:rFonts w:ascii="Arial" w:hAnsi="Arial" w:cs="Arial"/>
                <w:b/>
                <w:bCs/>
                <w:iCs/>
                <w:sz w:val="20"/>
                <w:szCs w:val="20"/>
                <w:lang w:val="es-ES_tradnl"/>
              </w:rPr>
              <w:t xml:space="preserve">“Artículo 526.- Responsabilidad de información catastral. </w:t>
            </w:r>
            <w:r w:rsidRPr="00A62F61">
              <w:rPr>
                <w:rFonts w:ascii="Arial" w:hAnsi="Arial" w:cs="Arial"/>
                <w:iCs/>
                <w:sz w:val="20"/>
                <w:szCs w:val="20"/>
                <w:lang w:val="es-ES_tradnl"/>
              </w:rPr>
              <w:t>Los notarios, registradores de la propiedad, las entidades del sistema financiero y cualquier otra entidad pública o privada que posea información pública sobre inmuebles enviarán a la entidad responsable de la administración de datos públicos y a las oficinas encargadas de la formación de los catastros, dentro de los diez primeros días de cada mes, el registro completo de las transferencias totales o parciales de los predios urbanos y rurales, de las particiones entre condóminos, de las adjudicaciones por remate y otras causas, así como de las hipotecas que hubieren autorizado o registrado, distinguiendo en todo caso el valor del terreno y de la edificación. Todo ello, de acuerdo con los requisitos, condiciones, medios, formatos y especificaciones fijados por el ministerio rector de la política de desarrollo urbano y vivienda. Esta información se la remitirá a través de medios electrónicos.</w:t>
            </w:r>
          </w:p>
          <w:p w:rsidR="00A62F61" w:rsidRPr="00A62F61" w:rsidRDefault="00A62F61" w:rsidP="00A62F61">
            <w:pPr>
              <w:jc w:val="both"/>
              <w:rPr>
                <w:rFonts w:ascii="Arial" w:hAnsi="Arial" w:cs="Arial"/>
                <w:sz w:val="20"/>
                <w:szCs w:val="20"/>
                <w:lang w:val="es-US"/>
              </w:rPr>
            </w:pPr>
            <w:r w:rsidRPr="00A62F61">
              <w:rPr>
                <w:rFonts w:ascii="Arial" w:hAnsi="Arial" w:cs="Arial"/>
                <w:iCs/>
                <w:sz w:val="20"/>
                <w:szCs w:val="20"/>
                <w:lang w:val="es-ES_tradnl"/>
              </w:rPr>
              <w:t>En los casos mencionados en este artículo, es obligación de los notarios exigir la presentación de los títulos de crédito cancelados del impuesto predial correspondiente al año anterior en que se celebra la escritura, así como en los actos que se requieran las correspondientes autorizaciones del gobierno autónomo descentralizado municipal o metropolitano, como requisito previo para autorizar una escritura de venta, partición, permuta u otra forma de transferencia de dominio de inmuebles. A falta de los títulos de crédito cancelados, se exigirá la presentación del certificado emitido por el tesorero municipal en el que conste, no estar en mora del impuesto correspondiente.”</w:t>
            </w: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 xml:space="preserve">Artículo 3. </w:t>
            </w:r>
            <w:r w:rsidRPr="00A62F61">
              <w:rPr>
                <w:rFonts w:ascii="Arial" w:hAnsi="Arial" w:cs="Arial"/>
                <w:sz w:val="20"/>
                <w:szCs w:val="20"/>
                <w:lang w:val="es-ES_tradnl"/>
              </w:rPr>
              <w:t>Agréguese a continuación del artículo 526 del Código Orgánico de Organización Territorial, Autonomía y Descentralización el siguiente artículo:</w:t>
            </w:r>
          </w:p>
          <w:p w:rsidR="00A62F61" w:rsidRPr="00A62F61" w:rsidRDefault="00A62F61" w:rsidP="00A62F61">
            <w:pPr>
              <w:jc w:val="both"/>
              <w:rPr>
                <w:rFonts w:ascii="Arial" w:hAnsi="Arial" w:cs="Arial"/>
                <w:sz w:val="20"/>
                <w:szCs w:val="20"/>
                <w:lang w:val="es-US"/>
              </w:rPr>
            </w:pPr>
            <w:r w:rsidRPr="00A62F61">
              <w:rPr>
                <w:rFonts w:ascii="Arial" w:hAnsi="Arial" w:cs="Arial"/>
                <w:b/>
                <w:bCs/>
                <w:iCs/>
                <w:sz w:val="20"/>
                <w:szCs w:val="20"/>
                <w:lang w:val="es-ES_tradnl"/>
              </w:rPr>
              <w:t xml:space="preserve">“Artículo 526.1.- Obligación de actualización. </w:t>
            </w:r>
            <w:r w:rsidRPr="00A62F61">
              <w:rPr>
                <w:rFonts w:ascii="Arial" w:hAnsi="Arial" w:cs="Arial"/>
                <w:iCs/>
                <w:sz w:val="20"/>
                <w:szCs w:val="20"/>
                <w:lang w:val="es-ES_tradnl"/>
              </w:rPr>
              <w:t xml:space="preserve">Sin perjuicio de las demás obligaciones de actualización, los gobiernos autónomos descentralizados municipales y metropolitanos tienen la obligación de actualizar los avalúos de los predios a su cargo, a un valor comprendido entre el </w:t>
            </w:r>
            <w:r w:rsidRPr="00A62F61">
              <w:rPr>
                <w:rFonts w:ascii="Arial" w:hAnsi="Arial" w:cs="Arial"/>
                <w:iCs/>
                <w:sz w:val="20"/>
                <w:szCs w:val="20"/>
                <w:lang w:val="es-ES_tradnl"/>
              </w:rPr>
              <w:lastRenderedPageBreak/>
              <w:t>setenta por ciento (70%) y el cien por ciento (100%) del valor del avalúo comercial solicitado   por   la   institución   financiera   para   el</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US"/>
              </w:rPr>
              <w:br w:type="column"/>
            </w:r>
            <w:proofErr w:type="gramStart"/>
            <w:r w:rsidRPr="00A62F61">
              <w:rPr>
                <w:rFonts w:ascii="Arial" w:hAnsi="Arial" w:cs="Arial"/>
                <w:iCs/>
                <w:sz w:val="20"/>
                <w:szCs w:val="20"/>
                <w:lang w:val="es-ES_tradnl"/>
              </w:rPr>
              <w:t>otorgamiento</w:t>
            </w:r>
            <w:proofErr w:type="gramEnd"/>
            <w:r w:rsidRPr="00A62F61">
              <w:rPr>
                <w:rFonts w:ascii="Arial" w:hAnsi="Arial" w:cs="Arial"/>
                <w:iCs/>
                <w:sz w:val="20"/>
                <w:szCs w:val="20"/>
                <w:lang w:val="es-ES_tradnl"/>
              </w:rPr>
              <w:t xml:space="preserve"> del crédito o al precio real de venta que consta en la escritura cuando se hubiere producido una hipoteca o venta de un bien inmueble, según el caso, siempre y cuando dicho valor sea mayor al avalúo registrado en su catastro.</w:t>
            </w:r>
          </w:p>
          <w:p w:rsidR="00A62F61" w:rsidRPr="00A62F61" w:rsidRDefault="00A62F61" w:rsidP="00A62F61">
            <w:pPr>
              <w:jc w:val="both"/>
              <w:rPr>
                <w:rFonts w:ascii="Arial" w:hAnsi="Arial" w:cs="Arial"/>
                <w:sz w:val="20"/>
                <w:szCs w:val="20"/>
                <w:lang w:val="es-US"/>
              </w:rPr>
            </w:pPr>
            <w:r w:rsidRPr="00A62F61">
              <w:rPr>
                <w:rFonts w:ascii="Arial" w:hAnsi="Arial" w:cs="Arial"/>
                <w:iCs/>
                <w:sz w:val="20"/>
                <w:szCs w:val="20"/>
                <w:lang w:val="es-ES_tradnl"/>
              </w:rPr>
              <w:t>Los registradores de la propiedad no podrán inscribir los mencionados actos jurídicos sin la presentación del certificado de actualización del avalúo del predio, por los valores mencionados en el párrafo anterior, de ser aplicables. En dicho certificado deberá constar desglosado el valor del terreno y de construcción.</w:t>
            </w:r>
          </w:p>
          <w:p w:rsidR="00A62F61" w:rsidRPr="00A62F61" w:rsidRDefault="00A62F61" w:rsidP="00A62F61">
            <w:pPr>
              <w:jc w:val="both"/>
              <w:rPr>
                <w:rFonts w:ascii="Arial" w:hAnsi="Arial" w:cs="Arial"/>
                <w:sz w:val="20"/>
                <w:szCs w:val="20"/>
                <w:lang w:val="es-US"/>
              </w:rPr>
            </w:pPr>
            <w:r w:rsidRPr="00A62F61">
              <w:rPr>
                <w:rFonts w:ascii="Arial" w:hAnsi="Arial" w:cs="Arial"/>
                <w:iCs/>
                <w:sz w:val="20"/>
                <w:szCs w:val="20"/>
                <w:lang w:val="es-ES_tradnl"/>
              </w:rPr>
              <w:t>El plazo para la notificación y entrega del certificado de actualización del avalúo catastral no podrá ser mayor a cinco (5) días hábiles a partir de la fecha de presentación de la solicitud. En caso de que el gobierno autónomo descentralizado municipal o metropolitano no emita dicho certificado dentro del plazo señalado, el registrador de la propiedad procederá a la inscripción de la escritura y notificará dentro de los tres días siguientes a la Superintendencia de Ordenamiento Territorial, Uso y Gestión del Suelo y a la Contraloría General del Estado para que, en el ámbito de sus competencias, establezcan las sanciones pertinentes.</w:t>
            </w:r>
          </w:p>
          <w:p w:rsidR="00A62F61" w:rsidRPr="00A62F61" w:rsidRDefault="00A62F61" w:rsidP="00A62F61">
            <w:pPr>
              <w:jc w:val="both"/>
              <w:rPr>
                <w:rFonts w:ascii="Arial" w:hAnsi="Arial" w:cs="Arial"/>
                <w:sz w:val="20"/>
                <w:szCs w:val="20"/>
                <w:lang w:val="es-US"/>
              </w:rPr>
            </w:pPr>
            <w:r w:rsidRPr="00A62F61">
              <w:rPr>
                <w:rFonts w:ascii="Arial" w:hAnsi="Arial" w:cs="Arial"/>
                <w:iCs/>
                <w:sz w:val="20"/>
                <w:szCs w:val="20"/>
                <w:lang w:val="es-ES_tradnl"/>
              </w:rPr>
              <w:t xml:space="preserve">Los registradores de la propiedad deberán remitir la información necesaria para la actualización de los catastros a los gobiernos autónomos descentralizados municipales y metropolitanos, conforme a los plazos, condiciones y medios establecidos por el órgano rector del catastro nacional integrado </w:t>
            </w:r>
            <w:proofErr w:type="spellStart"/>
            <w:r w:rsidRPr="00A62F61">
              <w:rPr>
                <w:rFonts w:ascii="Arial" w:hAnsi="Arial" w:cs="Arial"/>
                <w:iCs/>
                <w:sz w:val="20"/>
                <w:szCs w:val="20"/>
                <w:lang w:val="es-ES_tradnl"/>
              </w:rPr>
              <w:t>georreferenciado</w:t>
            </w:r>
            <w:proofErr w:type="spellEnd"/>
            <w:r w:rsidRPr="00A62F61">
              <w:rPr>
                <w:rFonts w:ascii="Arial" w:hAnsi="Arial" w:cs="Arial"/>
                <w:iCs/>
                <w:sz w:val="20"/>
                <w:szCs w:val="20"/>
                <w:lang w:val="es-ES_tradnl"/>
              </w:rPr>
              <w:t>, sin perjuicio de lo señalado en el inciso anterior.”</w:t>
            </w:r>
          </w:p>
          <w:p w:rsidR="00A62F61" w:rsidRPr="00A62F61" w:rsidRDefault="00A62F61" w:rsidP="00A62F61">
            <w:pPr>
              <w:jc w:val="both"/>
              <w:rPr>
                <w:rFonts w:ascii="Arial" w:hAnsi="Arial" w:cs="Arial"/>
                <w:sz w:val="20"/>
                <w:szCs w:val="20"/>
                <w:lang w:val="es-US"/>
              </w:rPr>
            </w:pPr>
            <w:r w:rsidRPr="00A62F61">
              <w:rPr>
                <w:rFonts w:ascii="Arial" w:hAnsi="Arial" w:cs="Arial"/>
                <w:b/>
                <w:bCs/>
                <w:sz w:val="20"/>
                <w:szCs w:val="20"/>
                <w:lang w:val="es-ES_tradnl"/>
              </w:rPr>
              <w:t xml:space="preserve">Artículo 4. </w:t>
            </w:r>
            <w:r w:rsidRPr="00A62F61">
              <w:rPr>
                <w:rFonts w:ascii="Arial" w:hAnsi="Arial" w:cs="Arial"/>
                <w:sz w:val="20"/>
                <w:szCs w:val="20"/>
                <w:lang w:val="es-ES_tradnl"/>
              </w:rPr>
              <w:t>A continuación del artículo 561 del Código Orgánico de Organización Territorial, Autonomía y Descentralización, agréguese la siguiente sección:</w:t>
            </w:r>
          </w:p>
          <w:p w:rsidR="00A62F61" w:rsidRPr="00A62F61" w:rsidRDefault="00A62F61" w:rsidP="00A62F61">
            <w:pPr>
              <w:jc w:val="both"/>
              <w:rPr>
                <w:rFonts w:ascii="Arial" w:hAnsi="Arial" w:cs="Arial"/>
                <w:sz w:val="20"/>
                <w:szCs w:val="20"/>
                <w:lang w:val="es-US"/>
              </w:rPr>
            </w:pPr>
            <w:r w:rsidRPr="00A62F61">
              <w:rPr>
                <w:rFonts w:ascii="Arial" w:hAnsi="Arial" w:cs="Arial"/>
                <w:b/>
                <w:bCs/>
                <w:iCs/>
                <w:sz w:val="20"/>
                <w:szCs w:val="20"/>
                <w:lang w:val="es-ES_tradnl"/>
              </w:rPr>
              <w:t>“Sección Décimo Segunda</w:t>
            </w:r>
          </w:p>
          <w:p w:rsidR="00A62F61" w:rsidRPr="00A62F61" w:rsidRDefault="00A62F61" w:rsidP="00A62F61">
            <w:pPr>
              <w:jc w:val="both"/>
              <w:rPr>
                <w:rFonts w:ascii="Arial" w:hAnsi="Arial" w:cs="Arial"/>
                <w:sz w:val="20"/>
                <w:szCs w:val="20"/>
                <w:lang w:val="es-US"/>
              </w:rPr>
            </w:pPr>
            <w:r w:rsidRPr="00A62F61">
              <w:rPr>
                <w:rFonts w:ascii="Arial" w:hAnsi="Arial" w:cs="Arial"/>
                <w:b/>
                <w:bCs/>
                <w:iCs/>
                <w:sz w:val="20"/>
                <w:szCs w:val="20"/>
                <w:lang w:val="es-ES_tradnl"/>
              </w:rPr>
              <w:t>IMPUESTO SOBRE EL VALOR ESPECULATIVO</w:t>
            </w:r>
          </w:p>
          <w:p w:rsidR="00A62F61" w:rsidRPr="00A62F61" w:rsidRDefault="00A62F61" w:rsidP="00A62F61">
            <w:pPr>
              <w:jc w:val="both"/>
              <w:rPr>
                <w:rFonts w:ascii="Arial" w:hAnsi="Arial" w:cs="Arial"/>
                <w:sz w:val="20"/>
                <w:szCs w:val="20"/>
                <w:lang w:val="es-US"/>
              </w:rPr>
            </w:pPr>
            <w:r w:rsidRPr="00A62F61">
              <w:rPr>
                <w:rFonts w:ascii="Arial" w:hAnsi="Arial" w:cs="Arial"/>
                <w:b/>
                <w:bCs/>
                <w:iCs/>
                <w:sz w:val="20"/>
                <w:szCs w:val="20"/>
                <w:lang w:val="es-ES_tradnl"/>
              </w:rPr>
              <w:t>DEL SUELO EN LA TRANSFERENCIA DE</w:t>
            </w:r>
          </w:p>
          <w:p w:rsidR="00A62F61" w:rsidRPr="00A62F61" w:rsidRDefault="00A62F61" w:rsidP="00A62F61">
            <w:pPr>
              <w:jc w:val="both"/>
              <w:rPr>
                <w:rFonts w:ascii="Arial" w:hAnsi="Arial" w:cs="Arial"/>
                <w:sz w:val="20"/>
                <w:szCs w:val="20"/>
                <w:lang w:val="es-US"/>
              </w:rPr>
            </w:pPr>
            <w:r w:rsidRPr="00A62F61">
              <w:rPr>
                <w:rFonts w:ascii="Arial" w:hAnsi="Arial" w:cs="Arial"/>
                <w:b/>
                <w:bCs/>
                <w:iCs/>
                <w:sz w:val="20"/>
                <w:szCs w:val="20"/>
                <w:lang w:val="es-ES_tradnl"/>
              </w:rPr>
              <w:t>BIENES INMUEBLES</w:t>
            </w:r>
          </w:p>
          <w:p w:rsidR="00A62F61" w:rsidRPr="00A62F61" w:rsidRDefault="00A62F61" w:rsidP="00A62F61">
            <w:pPr>
              <w:jc w:val="both"/>
              <w:rPr>
                <w:rFonts w:ascii="Arial" w:hAnsi="Arial" w:cs="Arial"/>
                <w:sz w:val="20"/>
                <w:szCs w:val="20"/>
                <w:lang w:val="es-US"/>
              </w:rPr>
            </w:pPr>
            <w:r w:rsidRPr="00A62F61">
              <w:rPr>
                <w:rFonts w:ascii="Arial" w:hAnsi="Arial" w:cs="Arial"/>
                <w:b/>
                <w:bCs/>
                <w:iCs/>
                <w:sz w:val="20"/>
                <w:szCs w:val="20"/>
                <w:lang w:val="es-ES_tradnl"/>
              </w:rPr>
              <w:t xml:space="preserve">Artículo 561.1.- Objeto imponible. </w:t>
            </w:r>
            <w:r w:rsidRPr="00A62F61">
              <w:rPr>
                <w:rFonts w:ascii="Arial" w:hAnsi="Arial" w:cs="Arial"/>
                <w:iCs/>
                <w:sz w:val="20"/>
                <w:szCs w:val="20"/>
                <w:lang w:val="es-ES_tradnl"/>
              </w:rPr>
              <w:t>Gravar a la ganancia extraordinaria en la transferencia de bienes inmuebles. En el caso de aportes de bienes inmuebles, únicamente estarán gravados aquellos realizados a fideicomisos o a sociedades, que tengan como fin último la actividad económica de promoción inmobiliaria y construcción de bienes inmuebles para su comercialización, conforme a las condiciones y requisitos establecidos por el órgano rector de la política de desarrollo urbano y vivienda.</w:t>
            </w:r>
          </w:p>
          <w:p w:rsidR="00A62F61" w:rsidRPr="00A62F61" w:rsidRDefault="00A62F61" w:rsidP="00A62F61">
            <w:pPr>
              <w:jc w:val="both"/>
              <w:rPr>
                <w:rFonts w:ascii="Arial" w:hAnsi="Arial" w:cs="Arial"/>
                <w:sz w:val="20"/>
                <w:szCs w:val="20"/>
                <w:lang w:val="es-US"/>
              </w:rPr>
            </w:pPr>
            <w:r w:rsidRPr="00A62F61">
              <w:rPr>
                <w:rFonts w:ascii="Arial" w:hAnsi="Arial" w:cs="Arial"/>
                <w:iCs/>
                <w:sz w:val="20"/>
                <w:szCs w:val="20"/>
                <w:lang w:val="es-ES_tradnl"/>
              </w:rPr>
              <w:t>También estarán gravados con este impuesto, aquellas transferencias que bajo cualquier mecanismo se realicen con fines elusivos o evasivos, incluso a través de aportes de bienes inmuebles a fideicomisos o a sociedades que, sin tener como actividad principal la promoción inmobiliaria y construcción de bienes inmuebles para su comercialización, en la práctica realicen dichas actividades sobre el inmueble aportado. En tales casos será responsable solidario de la obligación tributaria</w:t>
            </w:r>
          </w:p>
          <w:p w:rsidR="00A62F61" w:rsidRPr="00A62F61" w:rsidRDefault="00A62F61" w:rsidP="00A62F61">
            <w:pPr>
              <w:jc w:val="both"/>
              <w:rPr>
                <w:rFonts w:ascii="Arial" w:hAnsi="Arial" w:cs="Arial"/>
                <w:sz w:val="20"/>
                <w:szCs w:val="20"/>
                <w:lang w:val="es-US"/>
              </w:rPr>
            </w:pPr>
            <w:proofErr w:type="gramStart"/>
            <w:r w:rsidRPr="00A62F61">
              <w:rPr>
                <w:rFonts w:ascii="Arial" w:hAnsi="Arial" w:cs="Arial"/>
                <w:iCs/>
                <w:sz w:val="20"/>
                <w:szCs w:val="20"/>
                <w:lang w:val="es-ES_tradnl"/>
              </w:rPr>
              <w:t>quien</w:t>
            </w:r>
            <w:proofErr w:type="gramEnd"/>
            <w:r w:rsidRPr="00A62F61">
              <w:rPr>
                <w:rFonts w:ascii="Arial" w:hAnsi="Arial" w:cs="Arial"/>
                <w:iCs/>
                <w:sz w:val="20"/>
                <w:szCs w:val="20"/>
                <w:lang w:val="es-ES_tradnl"/>
              </w:rPr>
              <w:t xml:space="preserve"> recibió el respectivo aporte. Para la aplicación de lo anteriormente dispuesto, se observará lo señalado en el artículo 17 del Código Tributario, respecto de la calificación del hecho generador.”</w:t>
            </w:r>
          </w:p>
          <w:p w:rsidR="00A62F61" w:rsidRPr="00A62F61" w:rsidRDefault="00A62F61" w:rsidP="00A62F61">
            <w:pPr>
              <w:jc w:val="both"/>
              <w:rPr>
                <w:rFonts w:ascii="Arial" w:hAnsi="Arial" w:cs="Arial"/>
                <w:sz w:val="20"/>
                <w:szCs w:val="20"/>
                <w:lang w:val="es-US"/>
              </w:rPr>
            </w:pPr>
            <w:r w:rsidRPr="00A62F61">
              <w:rPr>
                <w:rFonts w:ascii="Arial" w:hAnsi="Arial" w:cs="Arial"/>
                <w:b/>
                <w:bCs/>
                <w:iCs/>
                <w:sz w:val="20"/>
                <w:szCs w:val="20"/>
                <w:lang w:val="es-ES_tradnl"/>
              </w:rPr>
              <w:t xml:space="preserve">Artículo 561.2.- Sujeto activo. </w:t>
            </w:r>
            <w:r w:rsidRPr="00A62F61">
              <w:rPr>
                <w:rFonts w:ascii="Arial" w:hAnsi="Arial" w:cs="Arial"/>
                <w:iCs/>
                <w:sz w:val="20"/>
                <w:szCs w:val="20"/>
                <w:lang w:val="es-ES_tradnl"/>
              </w:rPr>
              <w:t xml:space="preserve">Son sujetos activos los gobiernos autónomos descentralizados </w:t>
            </w:r>
            <w:r w:rsidRPr="00A62F61">
              <w:rPr>
                <w:rFonts w:ascii="Arial" w:hAnsi="Arial" w:cs="Arial"/>
                <w:iCs/>
                <w:sz w:val="20"/>
                <w:szCs w:val="20"/>
                <w:lang w:val="es-ES_tradnl"/>
              </w:rPr>
              <w:lastRenderedPageBreak/>
              <w:t>municipales o metropolitanos, por la ganancia extraordinaria generada en su respectiva circunscripción territorial y, subsidiariamente, la autoridad tributaria nacional.</w:t>
            </w:r>
          </w:p>
          <w:p w:rsidR="00A62F61" w:rsidRPr="00A62F61" w:rsidRDefault="00A62F61" w:rsidP="00A62F61">
            <w:pPr>
              <w:jc w:val="both"/>
              <w:rPr>
                <w:rFonts w:ascii="Arial" w:hAnsi="Arial" w:cs="Arial"/>
                <w:sz w:val="20"/>
                <w:szCs w:val="20"/>
                <w:lang w:val="es-US"/>
              </w:rPr>
            </w:pPr>
            <w:r w:rsidRPr="00A62F61">
              <w:rPr>
                <w:rFonts w:ascii="Arial" w:hAnsi="Arial" w:cs="Arial"/>
                <w:b/>
                <w:bCs/>
                <w:iCs/>
                <w:sz w:val="20"/>
                <w:szCs w:val="20"/>
                <w:lang w:val="es-ES_tradnl"/>
              </w:rPr>
              <w:t xml:space="preserve">Artículo 561.3.- Sujetos pasivos. </w:t>
            </w:r>
            <w:r w:rsidRPr="00A62F61">
              <w:rPr>
                <w:rFonts w:ascii="Arial" w:hAnsi="Arial" w:cs="Arial"/>
                <w:iCs/>
                <w:sz w:val="20"/>
                <w:szCs w:val="20"/>
                <w:lang w:val="es-ES_tradnl"/>
              </w:rPr>
              <w:t>Son sujetos pasivos, en calidad de contribuyentes, las personas naturales, sucesiones indivisas y las sociedades, en los términos establecidos en la Ley de Régimen Tributario Interno, que transfieran bienes inmuebles.</w:t>
            </w:r>
          </w:p>
          <w:p w:rsidR="00A62F61" w:rsidRPr="00A62F61" w:rsidRDefault="00A62F61" w:rsidP="00A62F61">
            <w:pPr>
              <w:jc w:val="both"/>
              <w:rPr>
                <w:rFonts w:ascii="Arial" w:hAnsi="Arial" w:cs="Arial"/>
                <w:sz w:val="20"/>
                <w:szCs w:val="20"/>
                <w:lang w:val="es-US"/>
              </w:rPr>
            </w:pPr>
            <w:r w:rsidRPr="00A62F61">
              <w:rPr>
                <w:rFonts w:ascii="Arial" w:hAnsi="Arial" w:cs="Arial"/>
                <w:b/>
                <w:bCs/>
                <w:iCs/>
                <w:sz w:val="20"/>
                <w:szCs w:val="20"/>
                <w:lang w:val="es-ES_tradnl"/>
              </w:rPr>
              <w:t xml:space="preserve">Artículo 561.4.- Hecho generador. </w:t>
            </w:r>
            <w:r w:rsidRPr="00A62F61">
              <w:rPr>
                <w:rFonts w:ascii="Arial" w:hAnsi="Arial" w:cs="Arial"/>
                <w:iCs/>
                <w:sz w:val="20"/>
                <w:szCs w:val="20"/>
                <w:lang w:val="es-ES_tradnl"/>
              </w:rPr>
              <w:t>El hecho generador es la transferencia de dominio de bienes inmuebles rurales o urbanos, a cualquier título, que dé lugar a una ganancia extraordinaria, en los términos establecidos en la presente sección.</w:t>
            </w:r>
          </w:p>
          <w:p w:rsidR="00A62F61" w:rsidRPr="00A62F61" w:rsidRDefault="00A62F61" w:rsidP="00A62F61">
            <w:pPr>
              <w:jc w:val="both"/>
              <w:rPr>
                <w:rFonts w:ascii="Arial" w:hAnsi="Arial" w:cs="Arial"/>
                <w:sz w:val="20"/>
                <w:szCs w:val="20"/>
                <w:lang w:val="es-US"/>
              </w:rPr>
            </w:pPr>
            <w:r w:rsidRPr="00A62F61">
              <w:rPr>
                <w:rFonts w:ascii="Arial" w:hAnsi="Arial" w:cs="Arial"/>
                <w:b/>
                <w:bCs/>
                <w:iCs/>
                <w:sz w:val="20"/>
                <w:szCs w:val="20"/>
                <w:lang w:val="es-ES_tradnl"/>
              </w:rPr>
              <w:t xml:space="preserve">Artículo 561.5.- Ganancia ordinaria. </w:t>
            </w:r>
            <w:r w:rsidRPr="00A62F61">
              <w:rPr>
                <w:rFonts w:ascii="Arial" w:hAnsi="Arial" w:cs="Arial"/>
                <w:iCs/>
                <w:sz w:val="20"/>
                <w:szCs w:val="20"/>
                <w:lang w:val="es-ES_tradnl"/>
              </w:rPr>
              <w:t>Para efectos de esta sección, se entenderá como ganancia ordinaria al producto de multiplicar el valor de adquisición del bien inmueble por el factor de ajuste de ganancia ordinaria, a cuyo resultado se deberá restar el valor de adquisición.</w:t>
            </w:r>
          </w:p>
          <w:p w:rsidR="00A62F61" w:rsidRPr="00A62F61" w:rsidRDefault="00A62F61" w:rsidP="00A62F61">
            <w:pPr>
              <w:jc w:val="both"/>
              <w:rPr>
                <w:rFonts w:ascii="Arial" w:hAnsi="Arial" w:cs="Arial"/>
                <w:sz w:val="20"/>
                <w:szCs w:val="20"/>
                <w:lang w:val="es-US"/>
              </w:rPr>
            </w:pPr>
            <w:r w:rsidRPr="00A62F61">
              <w:rPr>
                <w:rFonts w:ascii="Arial" w:hAnsi="Arial" w:cs="Arial"/>
                <w:b/>
                <w:bCs/>
                <w:iCs/>
                <w:sz w:val="20"/>
                <w:szCs w:val="20"/>
                <w:lang w:val="es-ES_tradnl"/>
              </w:rPr>
              <w:t>Artículo 561.6</w:t>
            </w:r>
            <w:r w:rsidRPr="00A62F61">
              <w:rPr>
                <w:rFonts w:ascii="Arial" w:hAnsi="Arial" w:cs="Arial"/>
                <w:iCs/>
                <w:sz w:val="20"/>
                <w:szCs w:val="20"/>
                <w:lang w:val="es-ES_tradnl"/>
              </w:rPr>
              <w:t xml:space="preserve">.- </w:t>
            </w:r>
            <w:r w:rsidRPr="00A62F61">
              <w:rPr>
                <w:rFonts w:ascii="Arial" w:hAnsi="Arial" w:cs="Arial"/>
                <w:b/>
                <w:bCs/>
                <w:iCs/>
                <w:sz w:val="20"/>
                <w:szCs w:val="20"/>
                <w:lang w:val="es-ES_tradnl"/>
              </w:rPr>
              <w:t xml:space="preserve">Valor de adquisición. </w:t>
            </w:r>
            <w:r w:rsidRPr="00A62F61">
              <w:rPr>
                <w:rFonts w:ascii="Arial" w:hAnsi="Arial" w:cs="Arial"/>
                <w:iCs/>
                <w:sz w:val="20"/>
                <w:szCs w:val="20"/>
                <w:lang w:val="es-ES_tradnl"/>
              </w:rPr>
              <w:t>El valor de adquisición está conformado por la suma de los siguientes rubros:</w:t>
            </w:r>
          </w:p>
          <w:p w:rsidR="00A62F61" w:rsidRPr="00A62F61" w:rsidRDefault="00A62F61" w:rsidP="00A62F61">
            <w:pPr>
              <w:numPr>
                <w:ilvl w:val="0"/>
                <w:numId w:val="41"/>
              </w:numPr>
              <w:jc w:val="both"/>
              <w:rPr>
                <w:rFonts w:ascii="Arial" w:hAnsi="Arial" w:cs="Arial"/>
                <w:iCs/>
                <w:sz w:val="20"/>
                <w:szCs w:val="20"/>
                <w:lang w:val="es-ES_tradnl"/>
              </w:rPr>
            </w:pPr>
            <w:r w:rsidRPr="00A62F61">
              <w:rPr>
                <w:rFonts w:ascii="Arial" w:hAnsi="Arial" w:cs="Arial"/>
                <w:iCs/>
                <w:sz w:val="20"/>
                <w:szCs w:val="20"/>
                <w:lang w:val="es-ES_tradnl"/>
              </w:rPr>
              <w:t>El valor que consta en la escritura pública de transferencia de dominio del bien, en la cual deberá detallarse su forma y medios de pago. En caso de que existan pagos en efectivo dentro de la transacción y estos superen los cinco mil dólares de los Estados Unidos de América (USD 5.000,oo), los notarios deberán informar al Servicio de Rentas Internas, en las condiciones establecidas por dicha administración tributaria;</w:t>
            </w:r>
          </w:p>
          <w:p w:rsidR="00A62F61" w:rsidRPr="00A62F61" w:rsidRDefault="00A62F61" w:rsidP="00A62F61">
            <w:pPr>
              <w:numPr>
                <w:ilvl w:val="0"/>
                <w:numId w:val="41"/>
              </w:numPr>
              <w:jc w:val="both"/>
              <w:rPr>
                <w:rFonts w:ascii="Arial" w:hAnsi="Arial" w:cs="Arial"/>
                <w:iCs/>
                <w:sz w:val="20"/>
                <w:szCs w:val="20"/>
                <w:lang w:val="es-ES_tradnl"/>
              </w:rPr>
            </w:pPr>
            <w:r w:rsidRPr="00A62F61">
              <w:rPr>
                <w:rFonts w:ascii="Arial" w:hAnsi="Arial" w:cs="Arial"/>
                <w:iCs/>
                <w:sz w:val="20"/>
                <w:szCs w:val="20"/>
                <w:lang w:val="es-ES_tradnl"/>
              </w:rPr>
              <w:t xml:space="preserve">Los rubros correspondientes a obras o mejoras que hayan incrementado sustancialmente el valor del bien luego de la adquisición y formen parte del mismo, siempre que se encuentren debidamente soportados. En caso de que dichas obras o mejoras superen el 30% del valor del avalúo catastral, estas deberán estar actualizadas en los registros catastrales. En el caso de terrenos rurales de uso agrícola también se considerará como mejora a las inversiones realizadas en los mismos, en las cuantías y con las condiciones, requisitos y metodologías establecidos por el órgano rector del catastro nacional integrado </w:t>
            </w:r>
            <w:proofErr w:type="spellStart"/>
            <w:r w:rsidRPr="00A62F61">
              <w:rPr>
                <w:rFonts w:ascii="Arial" w:hAnsi="Arial" w:cs="Arial"/>
                <w:iCs/>
                <w:sz w:val="20"/>
                <w:szCs w:val="20"/>
                <w:lang w:val="es-ES_tradnl"/>
              </w:rPr>
              <w:t>georreferenciado</w:t>
            </w:r>
            <w:proofErr w:type="spellEnd"/>
            <w:r w:rsidRPr="00A62F61">
              <w:rPr>
                <w:rFonts w:ascii="Arial" w:hAnsi="Arial" w:cs="Arial"/>
                <w:iCs/>
                <w:sz w:val="20"/>
                <w:szCs w:val="20"/>
                <w:lang w:val="es-ES_tradnl"/>
              </w:rPr>
              <w:t>; y,</w:t>
            </w:r>
          </w:p>
          <w:p w:rsidR="00A62F61" w:rsidRPr="00A62F61" w:rsidRDefault="00A62F61" w:rsidP="00A62F61">
            <w:pPr>
              <w:jc w:val="both"/>
              <w:rPr>
                <w:rFonts w:ascii="Arial" w:hAnsi="Arial" w:cs="Arial"/>
                <w:sz w:val="20"/>
                <w:szCs w:val="20"/>
                <w:lang w:val="es-US"/>
              </w:rPr>
            </w:pPr>
            <w:r w:rsidRPr="00A62F61">
              <w:rPr>
                <w:rFonts w:ascii="Arial" w:hAnsi="Arial" w:cs="Arial"/>
                <w:iCs/>
                <w:sz w:val="20"/>
                <w:szCs w:val="20"/>
                <w:lang w:val="es-ES_tradnl"/>
              </w:rPr>
              <w:t>c)</w:t>
            </w:r>
            <w:r w:rsidRPr="00A62F61">
              <w:rPr>
                <w:rFonts w:ascii="Arial" w:hAnsi="Arial" w:cs="Arial"/>
                <w:iCs/>
                <w:sz w:val="20"/>
                <w:szCs w:val="20"/>
                <w:lang w:val="es-ES_tradnl"/>
              </w:rPr>
              <w:tab/>
              <w:t>Los pagos efectuados correspondientes a contribuciones especiales de mejoras u otros mecanismos de captación de plusvalía, nacional o seccional, debidamente soportados por el vendedor.</w:t>
            </w:r>
          </w:p>
          <w:p w:rsidR="00A62F61" w:rsidRPr="00A62F61" w:rsidRDefault="00A62F61" w:rsidP="00A62F61">
            <w:pPr>
              <w:jc w:val="both"/>
              <w:rPr>
                <w:rFonts w:ascii="Arial" w:hAnsi="Arial" w:cs="Arial"/>
                <w:sz w:val="20"/>
                <w:szCs w:val="20"/>
                <w:lang w:val="es-US"/>
              </w:rPr>
            </w:pPr>
            <w:r w:rsidRPr="00A62F61">
              <w:rPr>
                <w:rFonts w:ascii="Arial" w:hAnsi="Arial" w:cs="Arial"/>
                <w:sz w:val="20"/>
                <w:szCs w:val="20"/>
                <w:lang w:val="es-US"/>
              </w:rPr>
              <w:br w:type="column"/>
            </w:r>
            <w:r w:rsidRPr="00A62F61">
              <w:rPr>
                <w:rFonts w:ascii="Arial" w:hAnsi="Arial" w:cs="Arial"/>
                <w:iCs/>
                <w:sz w:val="20"/>
                <w:szCs w:val="20"/>
                <w:lang w:val="es-ES_tradnl"/>
              </w:rPr>
              <w:t>Para el caso de personas naturales o sociedades que tengan como actividad económica la promoción inmobiliaria y construcción de bienes inmuebles para su comercialización podrán considerar, adicionalmente, como parte del valor de adquisición aquellos costos y gastos en los que hayan incurrido en la construcción del bien inmueble objeto de transferencia y que cumplan con las condiciones para ser considerados como gastos deducibles para efectos de la liquidación del Impuesto a la Renta, de conformidad con la ley.</w:t>
            </w:r>
          </w:p>
          <w:p w:rsidR="00A62F61" w:rsidRPr="00A62F61" w:rsidRDefault="00A62F61" w:rsidP="00A62F61">
            <w:pPr>
              <w:jc w:val="both"/>
              <w:rPr>
                <w:rFonts w:ascii="Arial" w:hAnsi="Arial" w:cs="Arial"/>
                <w:sz w:val="20"/>
                <w:szCs w:val="20"/>
                <w:lang w:val="es-US"/>
              </w:rPr>
            </w:pPr>
            <w:r w:rsidRPr="00A62F61">
              <w:rPr>
                <w:rFonts w:ascii="Arial" w:hAnsi="Arial" w:cs="Arial"/>
                <w:b/>
                <w:bCs/>
                <w:iCs/>
                <w:sz w:val="20"/>
                <w:szCs w:val="20"/>
                <w:lang w:val="es-ES_tradnl"/>
              </w:rPr>
              <w:t>Artículo 561.7</w:t>
            </w:r>
            <w:r w:rsidRPr="00A62F61">
              <w:rPr>
                <w:rFonts w:ascii="Arial" w:hAnsi="Arial" w:cs="Arial"/>
                <w:iCs/>
                <w:sz w:val="20"/>
                <w:szCs w:val="20"/>
                <w:lang w:val="es-ES_tradnl"/>
              </w:rPr>
              <w:t xml:space="preserve">.- </w:t>
            </w:r>
            <w:r w:rsidRPr="00A62F61">
              <w:rPr>
                <w:rFonts w:ascii="Arial" w:hAnsi="Arial" w:cs="Arial"/>
                <w:b/>
                <w:bCs/>
                <w:iCs/>
                <w:sz w:val="20"/>
                <w:szCs w:val="20"/>
                <w:lang w:val="es-ES_tradnl"/>
              </w:rPr>
              <w:t xml:space="preserve">Factor de ajuste de ganancia ordinaria. </w:t>
            </w:r>
            <w:r w:rsidRPr="00A62F61">
              <w:rPr>
                <w:rFonts w:ascii="Arial" w:hAnsi="Arial" w:cs="Arial"/>
                <w:iCs/>
                <w:sz w:val="20"/>
                <w:szCs w:val="20"/>
                <w:lang w:val="es-ES_tradnl"/>
              </w:rPr>
              <w:t>Para el cálculo del factor de ajuste se aplicará la siguiente fórmula:</w:t>
            </w:r>
          </w:p>
          <w:p w:rsidR="00A62F61" w:rsidRPr="00A62F61" w:rsidRDefault="00A62F61" w:rsidP="00A62F61">
            <w:pPr>
              <w:jc w:val="both"/>
              <w:rPr>
                <w:rFonts w:ascii="Arial" w:hAnsi="Arial" w:cs="Arial"/>
                <w:sz w:val="20"/>
                <w:szCs w:val="20"/>
                <w:lang w:val="es-US"/>
              </w:rPr>
            </w:pPr>
            <w:r w:rsidRPr="00A62F61">
              <w:rPr>
                <w:rFonts w:ascii="Arial" w:hAnsi="Arial" w:cs="Arial"/>
                <w:iCs/>
                <w:sz w:val="20"/>
                <w:szCs w:val="20"/>
                <w:lang w:val="es-ES_tradnl"/>
              </w:rPr>
              <w:t>FA = (1 + i )</w:t>
            </w:r>
            <w:r w:rsidRPr="00A62F61">
              <w:rPr>
                <w:rFonts w:ascii="Arial" w:hAnsi="Arial" w:cs="Arial"/>
                <w:b/>
                <w:bCs/>
                <w:iCs/>
                <w:sz w:val="20"/>
                <w:szCs w:val="20"/>
                <w:vertAlign w:val="superscript"/>
                <w:lang w:val="es-ES_tradnl"/>
              </w:rPr>
              <w:t>n</w:t>
            </w:r>
          </w:p>
          <w:p w:rsidR="00A62F61" w:rsidRPr="00A62F61" w:rsidRDefault="00A62F61" w:rsidP="00A62F61">
            <w:pPr>
              <w:jc w:val="both"/>
              <w:rPr>
                <w:rFonts w:ascii="Arial" w:hAnsi="Arial" w:cs="Arial"/>
                <w:sz w:val="20"/>
                <w:szCs w:val="20"/>
                <w:lang w:val="es-US"/>
              </w:rPr>
            </w:pPr>
            <w:r w:rsidRPr="00A62F61">
              <w:rPr>
                <w:rFonts w:ascii="Arial" w:hAnsi="Arial" w:cs="Arial"/>
                <w:iCs/>
                <w:sz w:val="20"/>
                <w:szCs w:val="20"/>
                <w:lang w:val="es-ES_tradnl"/>
              </w:rPr>
              <w:t>En donde:</w:t>
            </w:r>
          </w:p>
          <w:p w:rsidR="00A62F61" w:rsidRPr="00A62F61" w:rsidRDefault="00A62F61" w:rsidP="00A62F61">
            <w:pPr>
              <w:numPr>
                <w:ilvl w:val="0"/>
                <w:numId w:val="42"/>
              </w:numPr>
              <w:jc w:val="both"/>
              <w:rPr>
                <w:rFonts w:ascii="Arial" w:hAnsi="Arial" w:cs="Arial"/>
                <w:sz w:val="20"/>
                <w:szCs w:val="20"/>
                <w:lang w:val="es-ES_tradnl"/>
              </w:rPr>
            </w:pPr>
            <w:r w:rsidRPr="00A62F61">
              <w:rPr>
                <w:rFonts w:ascii="Arial" w:hAnsi="Arial" w:cs="Arial"/>
                <w:b/>
                <w:bCs/>
                <w:iCs/>
                <w:sz w:val="20"/>
                <w:szCs w:val="20"/>
                <w:lang w:val="es-ES_tradnl"/>
              </w:rPr>
              <w:t>FA :</w:t>
            </w:r>
            <w:r w:rsidRPr="00A62F61">
              <w:rPr>
                <w:rFonts w:ascii="Arial" w:hAnsi="Arial" w:cs="Arial"/>
                <w:b/>
                <w:bCs/>
                <w:iCs/>
                <w:sz w:val="20"/>
                <w:szCs w:val="20"/>
                <w:lang w:val="es-ES_tradnl"/>
              </w:rPr>
              <w:tab/>
            </w:r>
            <w:r w:rsidRPr="00A62F61">
              <w:rPr>
                <w:rFonts w:ascii="Arial" w:hAnsi="Arial" w:cs="Arial"/>
                <w:iCs/>
                <w:sz w:val="20"/>
                <w:szCs w:val="20"/>
                <w:lang w:val="es-ES_tradnl"/>
              </w:rPr>
              <w:t>factor de ajuste</w:t>
            </w:r>
          </w:p>
          <w:p w:rsidR="00A62F61" w:rsidRPr="00A62F61" w:rsidRDefault="00A62F61" w:rsidP="00A62F61">
            <w:pPr>
              <w:numPr>
                <w:ilvl w:val="0"/>
                <w:numId w:val="42"/>
              </w:numPr>
              <w:jc w:val="both"/>
              <w:rPr>
                <w:rFonts w:ascii="Arial" w:hAnsi="Arial" w:cs="Arial"/>
                <w:sz w:val="20"/>
                <w:szCs w:val="20"/>
                <w:lang w:val="es-ES_tradnl"/>
              </w:rPr>
            </w:pPr>
            <w:r w:rsidRPr="00A62F61">
              <w:rPr>
                <w:rFonts w:ascii="Arial" w:hAnsi="Arial" w:cs="Arial"/>
                <w:b/>
                <w:bCs/>
                <w:iCs/>
                <w:sz w:val="20"/>
                <w:szCs w:val="20"/>
                <w:lang w:val="es-ES_tradnl"/>
              </w:rPr>
              <w:t xml:space="preserve">i: </w:t>
            </w:r>
            <w:r w:rsidRPr="00A62F61">
              <w:rPr>
                <w:rFonts w:ascii="Arial" w:hAnsi="Arial" w:cs="Arial"/>
                <w:iCs/>
                <w:sz w:val="20"/>
                <w:szCs w:val="20"/>
                <w:lang w:val="es-ES_tradnl"/>
              </w:rPr>
              <w:t xml:space="preserve">promedio de la tasa de interés pasiva referencial para depósitos a plazo de 361 días y más, </w:t>
            </w:r>
            <w:r w:rsidRPr="00A62F61">
              <w:rPr>
                <w:rFonts w:ascii="Arial" w:hAnsi="Arial" w:cs="Arial"/>
                <w:iCs/>
                <w:sz w:val="20"/>
                <w:szCs w:val="20"/>
                <w:lang w:val="es-ES_tradnl"/>
              </w:rPr>
              <w:lastRenderedPageBreak/>
              <w:t>publicada mensualmente por el Banco Central en el período comprendido entre el mes y año de adquisición, y el mes y año de transferencia del bien inmueble.</w:t>
            </w:r>
          </w:p>
          <w:p w:rsidR="00A62F61" w:rsidRPr="00A62F61" w:rsidRDefault="00A62F61" w:rsidP="00A62F61">
            <w:pPr>
              <w:numPr>
                <w:ilvl w:val="0"/>
                <w:numId w:val="42"/>
              </w:numPr>
              <w:jc w:val="both"/>
              <w:rPr>
                <w:rFonts w:ascii="Arial" w:hAnsi="Arial" w:cs="Arial"/>
                <w:sz w:val="20"/>
                <w:szCs w:val="20"/>
                <w:lang w:val="es-ES_tradnl"/>
              </w:rPr>
            </w:pPr>
            <w:r w:rsidRPr="00A62F61">
              <w:rPr>
                <w:rFonts w:ascii="Arial" w:hAnsi="Arial" w:cs="Arial"/>
                <w:b/>
                <w:bCs/>
                <w:iCs/>
                <w:sz w:val="20"/>
                <w:szCs w:val="20"/>
                <w:lang w:val="es-ES_tradnl"/>
              </w:rPr>
              <w:t xml:space="preserve">n: </w:t>
            </w:r>
            <w:r w:rsidRPr="00A62F61">
              <w:rPr>
                <w:rFonts w:ascii="Arial" w:hAnsi="Arial" w:cs="Arial"/>
                <w:iCs/>
                <w:sz w:val="20"/>
                <w:szCs w:val="20"/>
                <w:lang w:val="es-ES_tradnl"/>
              </w:rPr>
              <w:t>número de meses transcurridos entre la fecha de adquisición y la fecha de transferencia del bien inmueble dividido para doce.</w:t>
            </w:r>
          </w:p>
          <w:p w:rsidR="00A62F61" w:rsidRPr="00A62F61" w:rsidRDefault="00A62F61" w:rsidP="00A62F61">
            <w:pPr>
              <w:jc w:val="both"/>
              <w:rPr>
                <w:rFonts w:ascii="Arial" w:hAnsi="Arial" w:cs="Arial"/>
                <w:sz w:val="20"/>
                <w:szCs w:val="20"/>
                <w:lang w:val="es-US"/>
              </w:rPr>
            </w:pPr>
            <w:r w:rsidRPr="00A62F61">
              <w:rPr>
                <w:rFonts w:ascii="Arial" w:hAnsi="Arial" w:cs="Arial"/>
                <w:b/>
                <w:bCs/>
                <w:iCs/>
                <w:sz w:val="20"/>
                <w:szCs w:val="20"/>
                <w:lang w:val="es-ES_tradnl"/>
              </w:rPr>
              <w:t xml:space="preserve">Artículo 561.8.- Valor de adquisición ajustado. </w:t>
            </w:r>
            <w:r w:rsidRPr="00A62F61">
              <w:rPr>
                <w:rFonts w:ascii="Arial" w:hAnsi="Arial" w:cs="Arial"/>
                <w:iCs/>
                <w:sz w:val="20"/>
                <w:szCs w:val="20"/>
                <w:lang w:val="es-ES_tradnl"/>
              </w:rPr>
              <w:t>El valor de adquisición ajustado es la suma del valor de adquisición más la ganancia ordinaria.</w:t>
            </w:r>
          </w:p>
          <w:p w:rsidR="00A62F61" w:rsidRPr="00A62F61" w:rsidRDefault="00A62F61" w:rsidP="00A62F61">
            <w:pPr>
              <w:jc w:val="both"/>
              <w:rPr>
                <w:rFonts w:ascii="Arial" w:hAnsi="Arial" w:cs="Arial"/>
                <w:sz w:val="20"/>
                <w:szCs w:val="20"/>
                <w:lang w:val="es-US"/>
              </w:rPr>
            </w:pPr>
            <w:r w:rsidRPr="00A62F61">
              <w:rPr>
                <w:rFonts w:ascii="Arial" w:hAnsi="Arial" w:cs="Arial"/>
                <w:b/>
                <w:bCs/>
                <w:iCs/>
                <w:sz w:val="20"/>
                <w:szCs w:val="20"/>
                <w:lang w:val="es-ES_tradnl"/>
              </w:rPr>
              <w:t>Artículo 561.9</w:t>
            </w:r>
            <w:r w:rsidRPr="00A62F61">
              <w:rPr>
                <w:rFonts w:ascii="Arial" w:hAnsi="Arial" w:cs="Arial"/>
                <w:iCs/>
                <w:sz w:val="20"/>
                <w:szCs w:val="20"/>
                <w:lang w:val="es-ES_tradnl"/>
              </w:rPr>
              <w:t xml:space="preserve">.- </w:t>
            </w:r>
            <w:r w:rsidRPr="00A62F61">
              <w:rPr>
                <w:rFonts w:ascii="Arial" w:hAnsi="Arial" w:cs="Arial"/>
                <w:b/>
                <w:bCs/>
                <w:iCs/>
                <w:sz w:val="20"/>
                <w:szCs w:val="20"/>
                <w:lang w:val="es-ES_tradnl"/>
              </w:rPr>
              <w:t xml:space="preserve">Valor de la transferencia. </w:t>
            </w:r>
            <w:r w:rsidRPr="00A62F61">
              <w:rPr>
                <w:rFonts w:ascii="Arial" w:hAnsi="Arial" w:cs="Arial"/>
                <w:iCs/>
                <w:sz w:val="20"/>
                <w:szCs w:val="20"/>
                <w:lang w:val="es-ES_tradnl"/>
              </w:rPr>
              <w:t>Se considera como valor de la transferencia del bien al que consta en la escritura pública respectiva.</w:t>
            </w:r>
          </w:p>
          <w:p w:rsidR="00A62F61" w:rsidRPr="00A62F61" w:rsidRDefault="00A62F61" w:rsidP="00A62F61">
            <w:pPr>
              <w:jc w:val="both"/>
              <w:rPr>
                <w:rFonts w:ascii="Arial" w:hAnsi="Arial" w:cs="Arial"/>
                <w:sz w:val="20"/>
                <w:szCs w:val="20"/>
                <w:lang w:val="es-US"/>
              </w:rPr>
            </w:pPr>
            <w:r w:rsidRPr="00A62F61">
              <w:rPr>
                <w:rFonts w:ascii="Arial" w:hAnsi="Arial" w:cs="Arial"/>
                <w:b/>
                <w:bCs/>
                <w:iCs/>
                <w:sz w:val="20"/>
                <w:szCs w:val="20"/>
                <w:lang w:val="es-ES_tradnl"/>
              </w:rPr>
              <w:t>Artículo 561.10</w:t>
            </w:r>
            <w:r w:rsidRPr="00A62F61">
              <w:rPr>
                <w:rFonts w:ascii="Arial" w:hAnsi="Arial" w:cs="Arial"/>
                <w:iCs/>
                <w:sz w:val="20"/>
                <w:szCs w:val="20"/>
                <w:lang w:val="es-ES_tradnl"/>
              </w:rPr>
              <w:t>.</w:t>
            </w:r>
            <w:r w:rsidRPr="00A62F61">
              <w:rPr>
                <w:rFonts w:ascii="Arial" w:hAnsi="Arial" w:cs="Arial"/>
                <w:b/>
                <w:bCs/>
                <w:iCs/>
                <w:sz w:val="20"/>
                <w:szCs w:val="20"/>
                <w:lang w:val="es-ES_tradnl"/>
              </w:rPr>
              <w:t xml:space="preserve">- Base imponible. </w:t>
            </w:r>
            <w:r w:rsidRPr="00A62F61">
              <w:rPr>
                <w:rFonts w:ascii="Arial" w:hAnsi="Arial" w:cs="Arial"/>
                <w:iCs/>
                <w:sz w:val="20"/>
                <w:szCs w:val="20"/>
                <w:lang w:val="es-ES_tradnl"/>
              </w:rPr>
              <w:t xml:space="preserve">La base imponible será el valor de la ganancia extraordinaria, que corresponde a la diferencia entre el valor de transferencia del bien inmueble y el de adquisición </w:t>
            </w:r>
            <w:proofErr w:type="gramStart"/>
            <w:r w:rsidRPr="00A62F61">
              <w:rPr>
                <w:rFonts w:ascii="Arial" w:hAnsi="Arial" w:cs="Arial"/>
                <w:iCs/>
                <w:sz w:val="20"/>
                <w:szCs w:val="20"/>
                <w:lang w:val="es-ES_tradnl"/>
              </w:rPr>
              <w:t>ajustado</w:t>
            </w:r>
            <w:proofErr w:type="gramEnd"/>
            <w:r w:rsidRPr="00A62F61">
              <w:rPr>
                <w:rFonts w:ascii="Arial" w:hAnsi="Arial" w:cs="Arial"/>
                <w:iCs/>
                <w:sz w:val="20"/>
                <w:szCs w:val="20"/>
                <w:lang w:val="es-ES_tradnl"/>
              </w:rPr>
              <w:t>, de acuerdo a las reglas de los artículos precedentes.</w:t>
            </w:r>
          </w:p>
          <w:p w:rsidR="00A62F61" w:rsidRPr="00A62F61" w:rsidRDefault="00A62F61" w:rsidP="00A62F61">
            <w:pPr>
              <w:jc w:val="both"/>
              <w:rPr>
                <w:rFonts w:ascii="Arial" w:hAnsi="Arial" w:cs="Arial"/>
                <w:sz w:val="20"/>
                <w:szCs w:val="20"/>
                <w:lang w:val="es-US"/>
              </w:rPr>
            </w:pPr>
          </w:p>
          <w:p w:rsidR="00A62F61" w:rsidRPr="00A62F61" w:rsidRDefault="00A62F61" w:rsidP="00A62F61">
            <w:pPr>
              <w:jc w:val="both"/>
              <w:rPr>
                <w:rFonts w:ascii="Arial" w:hAnsi="Arial" w:cs="Arial"/>
                <w:sz w:val="20"/>
                <w:szCs w:val="20"/>
                <w:lang w:val="es-US"/>
              </w:rPr>
            </w:pPr>
            <w:hyperlink r:id="rId26" w:history="1">
              <w:r w:rsidRPr="00A62F61">
                <w:rPr>
                  <w:rStyle w:val="Hipervnculo"/>
                  <w:rFonts w:ascii="Arial" w:hAnsi="Arial" w:cs="Arial"/>
                  <w:sz w:val="20"/>
                  <w:szCs w:val="20"/>
                  <w:lang w:val="es-US"/>
                </w:rPr>
                <w:t>Ver Registro Oficial</w:t>
              </w:r>
            </w:hyperlink>
          </w:p>
        </w:tc>
      </w:tr>
    </w:tbl>
    <w:p w:rsidR="00A62F61" w:rsidRPr="00A62F61" w:rsidRDefault="00A62F61" w:rsidP="00A62F61">
      <w:pPr>
        <w:jc w:val="both"/>
        <w:rPr>
          <w:rFonts w:ascii="Arial" w:hAnsi="Arial" w:cs="Arial"/>
          <w:sz w:val="20"/>
          <w:szCs w:val="20"/>
          <w:lang w:val="es-US"/>
        </w:rPr>
      </w:pPr>
    </w:p>
    <w:p w:rsidR="009537AA" w:rsidRPr="00A62F61" w:rsidRDefault="009537AA" w:rsidP="00A62F61">
      <w:pPr>
        <w:jc w:val="both"/>
        <w:rPr>
          <w:rFonts w:ascii="Arial" w:hAnsi="Arial" w:cs="Arial"/>
          <w:sz w:val="20"/>
          <w:szCs w:val="20"/>
        </w:rPr>
      </w:pPr>
    </w:p>
    <w:sectPr w:rsidR="009537AA" w:rsidRPr="00A62F61" w:rsidSect="0030615E">
      <w:headerReference w:type="default" r:id="rId27"/>
      <w:pgSz w:w="11906" w:h="16838"/>
      <w:pgMar w:top="212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F61" w:rsidRDefault="00A62F61">
    <w:pPr>
      <w:pStyle w:val="Encabezado"/>
    </w:pPr>
    <w:r>
      <w:rPr>
        <w:noProof/>
        <w:lang w:val="es-EC" w:eastAsia="es-EC"/>
      </w:rPr>
      <w:drawing>
        <wp:anchor distT="0" distB="0" distL="114300" distR="114300" simplePos="0" relativeHeight="251659264" behindDoc="1" locked="0" layoutInCell="1" allowOverlap="1" wp14:anchorId="77AB3AAB" wp14:editId="7EF6A8BB">
          <wp:simplePos x="0" y="0"/>
          <wp:positionH relativeFrom="margin">
            <wp:posOffset>2349500</wp:posOffset>
          </wp:positionH>
          <wp:positionV relativeFrom="paragraph">
            <wp:posOffset>-286385</wp:posOffset>
          </wp:positionV>
          <wp:extent cx="3759200" cy="571500"/>
          <wp:effectExtent l="0" t="0" r="0" b="0"/>
          <wp:wrapNone/>
          <wp:docPr id="19" name="Imagen 19"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AFAA316"/>
    <w:lvl w:ilvl="0">
      <w:numFmt w:val="bullet"/>
      <w:lvlText w:val="*"/>
      <w:lvlJc w:val="left"/>
      <w:pPr>
        <w:ind w:left="0" w:firstLine="0"/>
      </w:pPr>
    </w:lvl>
  </w:abstractNum>
  <w:abstractNum w:abstractNumId="1">
    <w:nsid w:val="073C4AF8"/>
    <w:multiLevelType w:val="hybridMultilevel"/>
    <w:tmpl w:val="A8CE9854"/>
    <w:lvl w:ilvl="0" w:tplc="D0503E8C">
      <w:start w:val="1"/>
      <w:numFmt w:val="decimal"/>
      <w:lvlText w:val="%1."/>
      <w:lvlJc w:val="left"/>
      <w:pPr>
        <w:ind w:left="1458" w:hanging="360"/>
      </w:pPr>
      <w:rPr>
        <w:rFonts w:hint="default"/>
      </w:r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2">
    <w:nsid w:val="09AB2369"/>
    <w:multiLevelType w:val="singleLevel"/>
    <w:tmpl w:val="637CEA64"/>
    <w:lvl w:ilvl="0">
      <w:start w:val="1"/>
      <w:numFmt w:val="lowerLetter"/>
      <w:lvlText w:val="%1)"/>
      <w:legacy w:legacy="1" w:legacySpace="0" w:legacyIndent="283"/>
      <w:lvlJc w:val="left"/>
      <w:pPr>
        <w:ind w:left="0" w:firstLine="0"/>
      </w:pPr>
      <w:rPr>
        <w:rFonts w:ascii="Times New Roman" w:hAnsi="Times New Roman" w:cs="Times New Roman" w:hint="default"/>
      </w:rPr>
    </w:lvl>
  </w:abstractNum>
  <w:abstractNum w:abstractNumId="3">
    <w:nsid w:val="0B545573"/>
    <w:multiLevelType w:val="hybridMultilevel"/>
    <w:tmpl w:val="ECEA7222"/>
    <w:lvl w:ilvl="0" w:tplc="51C433A0">
      <w:start w:val="1"/>
      <w:numFmt w:val="decimal"/>
      <w:lvlText w:val="%1."/>
      <w:lvlJc w:val="left"/>
      <w:pPr>
        <w:ind w:left="2002" w:hanging="81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4">
    <w:nsid w:val="104B37AF"/>
    <w:multiLevelType w:val="hybridMultilevel"/>
    <w:tmpl w:val="649C2718"/>
    <w:lvl w:ilvl="0" w:tplc="51C433A0">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5">
    <w:nsid w:val="10966DCC"/>
    <w:multiLevelType w:val="hybridMultilevel"/>
    <w:tmpl w:val="D4BCDFA8"/>
    <w:lvl w:ilvl="0" w:tplc="D0503E8C">
      <w:start w:val="1"/>
      <w:numFmt w:val="decimal"/>
      <w:lvlText w:val="%1."/>
      <w:lvlJc w:val="left"/>
      <w:pPr>
        <w:ind w:left="1458" w:hanging="360"/>
      </w:pPr>
      <w:rPr>
        <w:rFonts w:hint="default"/>
      </w:r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6">
    <w:nsid w:val="141B7FC6"/>
    <w:multiLevelType w:val="hybridMultilevel"/>
    <w:tmpl w:val="4E826762"/>
    <w:lvl w:ilvl="0" w:tplc="BD84F686">
      <w:start w:val="1"/>
      <w:numFmt w:val="decimal"/>
      <w:lvlText w:val="%1."/>
      <w:lvlJc w:val="left"/>
      <w:pPr>
        <w:ind w:left="2151" w:hanging="675"/>
      </w:pPr>
      <w:rPr>
        <w:rFonts w:hint="default"/>
      </w:r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7">
    <w:nsid w:val="14745601"/>
    <w:multiLevelType w:val="singleLevel"/>
    <w:tmpl w:val="AD38D4BE"/>
    <w:lvl w:ilvl="0">
      <w:start w:val="1"/>
      <w:numFmt w:val="decimal"/>
      <w:lvlText w:val="%1."/>
      <w:legacy w:legacy="1" w:legacySpace="0" w:legacyIndent="283"/>
      <w:lvlJc w:val="left"/>
      <w:pPr>
        <w:ind w:left="0" w:firstLine="0"/>
      </w:pPr>
      <w:rPr>
        <w:rFonts w:ascii="Times New Roman" w:hAnsi="Times New Roman" w:cs="Times New Roman" w:hint="default"/>
      </w:rPr>
    </w:lvl>
  </w:abstractNum>
  <w:abstractNum w:abstractNumId="8">
    <w:nsid w:val="184F467C"/>
    <w:multiLevelType w:val="singleLevel"/>
    <w:tmpl w:val="963AC834"/>
    <w:lvl w:ilvl="0">
      <w:start w:val="7"/>
      <w:numFmt w:val="decimal"/>
      <w:lvlText w:val="%1."/>
      <w:legacy w:legacy="1" w:legacySpace="0" w:legacyIndent="274"/>
      <w:lvlJc w:val="left"/>
      <w:pPr>
        <w:ind w:left="0" w:firstLine="0"/>
      </w:pPr>
      <w:rPr>
        <w:rFonts w:ascii="Arial" w:hAnsi="Arial" w:cs="Times New Roman" w:hint="default"/>
      </w:rPr>
    </w:lvl>
  </w:abstractNum>
  <w:abstractNum w:abstractNumId="9">
    <w:nsid w:val="1BDC050C"/>
    <w:multiLevelType w:val="hybridMultilevel"/>
    <w:tmpl w:val="9B4E7DF2"/>
    <w:lvl w:ilvl="0" w:tplc="300A0019">
      <w:start w:val="1"/>
      <w:numFmt w:val="lowerLetter"/>
      <w:lvlText w:val="%1."/>
      <w:lvlJc w:val="left"/>
      <w:pPr>
        <w:ind w:left="1458"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10">
    <w:nsid w:val="2200238D"/>
    <w:multiLevelType w:val="hybridMultilevel"/>
    <w:tmpl w:val="0DC467D2"/>
    <w:lvl w:ilvl="0" w:tplc="51C433A0">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11">
    <w:nsid w:val="23D30370"/>
    <w:multiLevelType w:val="hybridMultilevel"/>
    <w:tmpl w:val="C7CC8AB8"/>
    <w:lvl w:ilvl="0" w:tplc="51C433A0">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12">
    <w:nsid w:val="2FBE4FC0"/>
    <w:multiLevelType w:val="singleLevel"/>
    <w:tmpl w:val="7FF2E6C0"/>
    <w:lvl w:ilvl="0">
      <w:start w:val="3"/>
      <w:numFmt w:val="lowerLetter"/>
      <w:lvlText w:val="%1)"/>
      <w:legacy w:legacy="1" w:legacySpace="0" w:legacyIndent="274"/>
      <w:lvlJc w:val="left"/>
      <w:pPr>
        <w:ind w:left="0" w:firstLine="0"/>
      </w:pPr>
      <w:rPr>
        <w:rFonts w:ascii="Arial" w:hAnsi="Arial" w:cs="Times New Roman" w:hint="default"/>
      </w:rPr>
    </w:lvl>
  </w:abstractNum>
  <w:abstractNum w:abstractNumId="13">
    <w:nsid w:val="32163B19"/>
    <w:multiLevelType w:val="singleLevel"/>
    <w:tmpl w:val="32AE914A"/>
    <w:lvl w:ilvl="0">
      <w:start w:val="1"/>
      <w:numFmt w:val="lowerLetter"/>
      <w:lvlText w:val="%1)"/>
      <w:legacy w:legacy="1" w:legacySpace="0" w:legacyIndent="278"/>
      <w:lvlJc w:val="left"/>
      <w:pPr>
        <w:ind w:left="0" w:firstLine="0"/>
      </w:pPr>
      <w:rPr>
        <w:rFonts w:ascii="Arial" w:hAnsi="Arial" w:cs="Times New Roman" w:hint="default"/>
      </w:rPr>
    </w:lvl>
  </w:abstractNum>
  <w:abstractNum w:abstractNumId="14">
    <w:nsid w:val="32773207"/>
    <w:multiLevelType w:val="singleLevel"/>
    <w:tmpl w:val="AD38D4BE"/>
    <w:lvl w:ilvl="0">
      <w:start w:val="1"/>
      <w:numFmt w:val="decimal"/>
      <w:lvlText w:val="%1."/>
      <w:legacy w:legacy="1" w:legacySpace="0" w:legacyIndent="283"/>
      <w:lvlJc w:val="left"/>
      <w:pPr>
        <w:ind w:left="0" w:firstLine="0"/>
      </w:pPr>
      <w:rPr>
        <w:rFonts w:ascii="Times New Roman" w:hAnsi="Times New Roman" w:cs="Times New Roman" w:hint="default"/>
      </w:rPr>
    </w:lvl>
  </w:abstractNum>
  <w:abstractNum w:abstractNumId="15">
    <w:nsid w:val="36354075"/>
    <w:multiLevelType w:val="hybridMultilevel"/>
    <w:tmpl w:val="264A3514"/>
    <w:lvl w:ilvl="0" w:tplc="BD84F686">
      <w:start w:val="1"/>
      <w:numFmt w:val="decimal"/>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16">
    <w:nsid w:val="364A657F"/>
    <w:multiLevelType w:val="hybridMultilevel"/>
    <w:tmpl w:val="60CCD788"/>
    <w:lvl w:ilvl="0" w:tplc="51C433A0">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17">
    <w:nsid w:val="36A34C6E"/>
    <w:multiLevelType w:val="hybridMultilevel"/>
    <w:tmpl w:val="A536860C"/>
    <w:lvl w:ilvl="0" w:tplc="6DACD130">
      <w:start w:val="1"/>
      <w:numFmt w:val="decimal"/>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18">
    <w:nsid w:val="37D23300"/>
    <w:multiLevelType w:val="singleLevel"/>
    <w:tmpl w:val="89ECA1CC"/>
    <w:lvl w:ilvl="0">
      <w:start w:val="1"/>
      <w:numFmt w:val="decimal"/>
      <w:lvlText w:val="%1."/>
      <w:legacy w:legacy="1" w:legacySpace="0" w:legacyIndent="278"/>
      <w:lvlJc w:val="left"/>
      <w:pPr>
        <w:ind w:left="0" w:firstLine="0"/>
      </w:pPr>
      <w:rPr>
        <w:rFonts w:ascii="Arial" w:hAnsi="Arial" w:cs="Times New Roman" w:hint="default"/>
      </w:rPr>
    </w:lvl>
  </w:abstractNum>
  <w:abstractNum w:abstractNumId="19">
    <w:nsid w:val="3E9A5C4F"/>
    <w:multiLevelType w:val="hybridMultilevel"/>
    <w:tmpl w:val="087490B8"/>
    <w:lvl w:ilvl="0" w:tplc="300A000F">
      <w:start w:val="1"/>
      <w:numFmt w:val="decimal"/>
      <w:lvlText w:val="%1."/>
      <w:lvlJc w:val="left"/>
      <w:pPr>
        <w:ind w:left="1316" w:hanging="360"/>
      </w:p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20">
    <w:nsid w:val="3F403EDB"/>
    <w:multiLevelType w:val="singleLevel"/>
    <w:tmpl w:val="BCCEB4CC"/>
    <w:lvl w:ilvl="0">
      <w:start w:val="1"/>
      <w:numFmt w:val="lowerLetter"/>
      <w:lvlText w:val="%1)"/>
      <w:legacy w:legacy="1" w:legacySpace="0" w:legacyIndent="283"/>
      <w:lvlJc w:val="left"/>
      <w:pPr>
        <w:ind w:left="0" w:firstLine="0"/>
      </w:pPr>
      <w:rPr>
        <w:rFonts w:ascii="Arial" w:hAnsi="Arial" w:cs="Times New Roman" w:hint="default"/>
      </w:rPr>
    </w:lvl>
  </w:abstractNum>
  <w:abstractNum w:abstractNumId="21">
    <w:nsid w:val="3F7F38C9"/>
    <w:multiLevelType w:val="singleLevel"/>
    <w:tmpl w:val="8642FECA"/>
    <w:lvl w:ilvl="0">
      <w:start w:val="2"/>
      <w:numFmt w:val="lowerLetter"/>
      <w:lvlText w:val="%1)"/>
      <w:legacy w:legacy="1" w:legacySpace="0" w:legacyIndent="269"/>
      <w:lvlJc w:val="left"/>
      <w:pPr>
        <w:ind w:left="0" w:firstLine="0"/>
      </w:pPr>
      <w:rPr>
        <w:rFonts w:ascii="Arial" w:hAnsi="Arial" w:cs="Times New Roman" w:hint="default"/>
      </w:rPr>
    </w:lvl>
  </w:abstractNum>
  <w:abstractNum w:abstractNumId="22">
    <w:nsid w:val="482E3DC5"/>
    <w:multiLevelType w:val="singleLevel"/>
    <w:tmpl w:val="EBF6BDF8"/>
    <w:lvl w:ilvl="0">
      <w:start w:val="2"/>
      <w:numFmt w:val="lowerLetter"/>
      <w:lvlText w:val="%1)"/>
      <w:legacy w:legacy="1" w:legacySpace="0" w:legacyIndent="288"/>
      <w:lvlJc w:val="left"/>
      <w:pPr>
        <w:ind w:left="0" w:firstLine="0"/>
      </w:pPr>
      <w:rPr>
        <w:rFonts w:ascii="Arial" w:hAnsi="Arial" w:cs="Times New Roman" w:hint="default"/>
      </w:rPr>
    </w:lvl>
  </w:abstractNum>
  <w:abstractNum w:abstractNumId="23">
    <w:nsid w:val="486F16E5"/>
    <w:multiLevelType w:val="hybridMultilevel"/>
    <w:tmpl w:val="7A32510E"/>
    <w:lvl w:ilvl="0" w:tplc="9EC21058">
      <w:start w:val="1"/>
      <w:numFmt w:val="decimal"/>
      <w:lvlText w:val="%1."/>
      <w:lvlJc w:val="left"/>
      <w:pPr>
        <w:ind w:left="1406" w:hanging="810"/>
      </w:pPr>
      <w:rPr>
        <w:rFonts w:hint="default"/>
      </w:rPr>
    </w:lvl>
    <w:lvl w:ilvl="1" w:tplc="300A0019" w:tentative="1">
      <w:start w:val="1"/>
      <w:numFmt w:val="lowerLetter"/>
      <w:lvlText w:val="%2."/>
      <w:lvlJc w:val="left"/>
      <w:pPr>
        <w:ind w:left="1676" w:hanging="360"/>
      </w:pPr>
    </w:lvl>
    <w:lvl w:ilvl="2" w:tplc="300A001B" w:tentative="1">
      <w:start w:val="1"/>
      <w:numFmt w:val="lowerRoman"/>
      <w:lvlText w:val="%3."/>
      <w:lvlJc w:val="right"/>
      <w:pPr>
        <w:ind w:left="2396" w:hanging="180"/>
      </w:pPr>
    </w:lvl>
    <w:lvl w:ilvl="3" w:tplc="300A000F" w:tentative="1">
      <w:start w:val="1"/>
      <w:numFmt w:val="decimal"/>
      <w:lvlText w:val="%4."/>
      <w:lvlJc w:val="left"/>
      <w:pPr>
        <w:ind w:left="3116" w:hanging="360"/>
      </w:pPr>
    </w:lvl>
    <w:lvl w:ilvl="4" w:tplc="300A0019" w:tentative="1">
      <w:start w:val="1"/>
      <w:numFmt w:val="lowerLetter"/>
      <w:lvlText w:val="%5."/>
      <w:lvlJc w:val="left"/>
      <w:pPr>
        <w:ind w:left="3836" w:hanging="360"/>
      </w:pPr>
    </w:lvl>
    <w:lvl w:ilvl="5" w:tplc="300A001B" w:tentative="1">
      <w:start w:val="1"/>
      <w:numFmt w:val="lowerRoman"/>
      <w:lvlText w:val="%6."/>
      <w:lvlJc w:val="right"/>
      <w:pPr>
        <w:ind w:left="4556" w:hanging="180"/>
      </w:pPr>
    </w:lvl>
    <w:lvl w:ilvl="6" w:tplc="300A000F" w:tentative="1">
      <w:start w:val="1"/>
      <w:numFmt w:val="decimal"/>
      <w:lvlText w:val="%7."/>
      <w:lvlJc w:val="left"/>
      <w:pPr>
        <w:ind w:left="5276" w:hanging="360"/>
      </w:pPr>
    </w:lvl>
    <w:lvl w:ilvl="7" w:tplc="300A0019" w:tentative="1">
      <w:start w:val="1"/>
      <w:numFmt w:val="lowerLetter"/>
      <w:lvlText w:val="%8."/>
      <w:lvlJc w:val="left"/>
      <w:pPr>
        <w:ind w:left="5996" w:hanging="360"/>
      </w:pPr>
    </w:lvl>
    <w:lvl w:ilvl="8" w:tplc="300A001B" w:tentative="1">
      <w:start w:val="1"/>
      <w:numFmt w:val="lowerRoman"/>
      <w:lvlText w:val="%9."/>
      <w:lvlJc w:val="right"/>
      <w:pPr>
        <w:ind w:left="6716" w:hanging="180"/>
      </w:pPr>
    </w:lvl>
  </w:abstractNum>
  <w:abstractNum w:abstractNumId="24">
    <w:nsid w:val="4E5132DE"/>
    <w:multiLevelType w:val="hybridMultilevel"/>
    <w:tmpl w:val="E1A87FE2"/>
    <w:lvl w:ilvl="0" w:tplc="BD84F686">
      <w:start w:val="1"/>
      <w:numFmt w:val="decimal"/>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25">
    <w:nsid w:val="51B26B0D"/>
    <w:multiLevelType w:val="hybridMultilevel"/>
    <w:tmpl w:val="30B8507E"/>
    <w:lvl w:ilvl="0" w:tplc="D0503E8C">
      <w:start w:val="1"/>
      <w:numFmt w:val="decimal"/>
      <w:lvlText w:val="%1."/>
      <w:lvlJc w:val="left"/>
      <w:pPr>
        <w:ind w:left="1458" w:hanging="360"/>
      </w:pPr>
      <w:rPr>
        <w:rFonts w:hint="default"/>
      </w:r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26">
    <w:nsid w:val="51C40452"/>
    <w:multiLevelType w:val="hybridMultilevel"/>
    <w:tmpl w:val="6526C8D0"/>
    <w:lvl w:ilvl="0" w:tplc="BD84F686">
      <w:start w:val="1"/>
      <w:numFmt w:val="decimal"/>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27">
    <w:nsid w:val="52391215"/>
    <w:multiLevelType w:val="hybridMultilevel"/>
    <w:tmpl w:val="BC5EF194"/>
    <w:lvl w:ilvl="0" w:tplc="300A000F">
      <w:start w:val="1"/>
      <w:numFmt w:val="decimal"/>
      <w:lvlText w:val="%1."/>
      <w:lvlJc w:val="left"/>
      <w:pPr>
        <w:ind w:left="1316" w:hanging="360"/>
      </w:p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28">
    <w:nsid w:val="5CA85CB6"/>
    <w:multiLevelType w:val="singleLevel"/>
    <w:tmpl w:val="100AAD10"/>
    <w:lvl w:ilvl="0">
      <w:start w:val="1"/>
      <w:numFmt w:val="decimal"/>
      <w:lvlText w:val="%1."/>
      <w:legacy w:legacy="1" w:legacySpace="0" w:legacyIndent="283"/>
      <w:lvlJc w:val="left"/>
      <w:pPr>
        <w:ind w:left="0" w:firstLine="0"/>
      </w:pPr>
      <w:rPr>
        <w:rFonts w:ascii="Arial" w:hAnsi="Arial" w:cs="Times New Roman" w:hint="default"/>
      </w:rPr>
    </w:lvl>
  </w:abstractNum>
  <w:abstractNum w:abstractNumId="29">
    <w:nsid w:val="61EE2F46"/>
    <w:multiLevelType w:val="singleLevel"/>
    <w:tmpl w:val="4E42B210"/>
    <w:lvl w:ilvl="0">
      <w:start w:val="1"/>
      <w:numFmt w:val="lowerLetter"/>
      <w:lvlText w:val="%1)"/>
      <w:legacy w:legacy="1" w:legacySpace="0" w:legacyIndent="278"/>
      <w:lvlJc w:val="left"/>
      <w:pPr>
        <w:ind w:left="0" w:firstLine="0"/>
      </w:pPr>
      <w:rPr>
        <w:rFonts w:ascii="Arial" w:hAnsi="Arial" w:cs="Times New Roman" w:hint="default"/>
      </w:rPr>
    </w:lvl>
  </w:abstractNum>
  <w:abstractNum w:abstractNumId="30">
    <w:nsid w:val="65BB736B"/>
    <w:multiLevelType w:val="singleLevel"/>
    <w:tmpl w:val="4E42B210"/>
    <w:lvl w:ilvl="0">
      <w:start w:val="1"/>
      <w:numFmt w:val="lowerLetter"/>
      <w:lvlText w:val="%1)"/>
      <w:legacy w:legacy="1" w:legacySpace="0" w:legacyIndent="278"/>
      <w:lvlJc w:val="left"/>
      <w:pPr>
        <w:ind w:left="0" w:firstLine="0"/>
      </w:pPr>
      <w:rPr>
        <w:rFonts w:ascii="Arial" w:hAnsi="Arial" w:cs="Times New Roman" w:hint="default"/>
      </w:rPr>
    </w:lvl>
  </w:abstractNum>
  <w:abstractNum w:abstractNumId="31">
    <w:nsid w:val="6A911059"/>
    <w:multiLevelType w:val="hybridMultilevel"/>
    <w:tmpl w:val="AA16B392"/>
    <w:lvl w:ilvl="0" w:tplc="BD84F686">
      <w:start w:val="1"/>
      <w:numFmt w:val="decimal"/>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32">
    <w:nsid w:val="6BDE04E8"/>
    <w:multiLevelType w:val="hybridMultilevel"/>
    <w:tmpl w:val="E0407A5C"/>
    <w:lvl w:ilvl="0" w:tplc="BD84F686">
      <w:start w:val="1"/>
      <w:numFmt w:val="decimal"/>
      <w:lvlText w:val="%1."/>
      <w:lvlJc w:val="left"/>
      <w:pPr>
        <w:ind w:left="2151" w:hanging="675"/>
      </w:pPr>
      <w:rPr>
        <w:rFonts w:hint="default"/>
      </w:r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33">
    <w:nsid w:val="6ED66488"/>
    <w:multiLevelType w:val="hybridMultilevel"/>
    <w:tmpl w:val="F78E867E"/>
    <w:lvl w:ilvl="0" w:tplc="300A0019">
      <w:start w:val="1"/>
      <w:numFmt w:val="lowerLetter"/>
      <w:lvlText w:val="%1."/>
      <w:lvlJc w:val="left"/>
      <w:pPr>
        <w:ind w:left="1458"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34">
    <w:nsid w:val="6F3A5056"/>
    <w:multiLevelType w:val="hybridMultilevel"/>
    <w:tmpl w:val="709C960A"/>
    <w:lvl w:ilvl="0" w:tplc="506A6738">
      <w:start w:val="1"/>
      <w:numFmt w:val="decimal"/>
      <w:lvlText w:val="%1."/>
      <w:lvlJc w:val="left"/>
      <w:pPr>
        <w:ind w:left="1836" w:hanging="360"/>
      </w:pPr>
      <w:rPr>
        <w:rFonts w:hint="default"/>
      </w:r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35">
    <w:nsid w:val="6F403F10"/>
    <w:multiLevelType w:val="singleLevel"/>
    <w:tmpl w:val="F3386EC0"/>
    <w:lvl w:ilvl="0">
      <w:start w:val="4"/>
      <w:numFmt w:val="decimal"/>
      <w:lvlText w:val="%1."/>
      <w:legacy w:legacy="1" w:legacySpace="0" w:legacyIndent="283"/>
      <w:lvlJc w:val="left"/>
      <w:pPr>
        <w:ind w:left="0" w:firstLine="0"/>
      </w:pPr>
      <w:rPr>
        <w:rFonts w:ascii="Arial" w:hAnsi="Arial" w:cs="Times New Roman" w:hint="default"/>
      </w:rPr>
    </w:lvl>
  </w:abstractNum>
  <w:abstractNum w:abstractNumId="36">
    <w:nsid w:val="7150583C"/>
    <w:multiLevelType w:val="singleLevel"/>
    <w:tmpl w:val="3050B5E4"/>
    <w:lvl w:ilvl="0">
      <w:start w:val="1"/>
      <w:numFmt w:val="lowerLetter"/>
      <w:lvlText w:val="%1)"/>
      <w:legacy w:legacy="1" w:legacySpace="0" w:legacyIndent="207"/>
      <w:lvlJc w:val="left"/>
      <w:pPr>
        <w:ind w:left="0" w:firstLine="0"/>
      </w:pPr>
      <w:rPr>
        <w:rFonts w:ascii="Arial" w:hAnsi="Arial" w:cs="Times New Roman" w:hint="default"/>
      </w:rPr>
    </w:lvl>
  </w:abstractNum>
  <w:abstractNum w:abstractNumId="37">
    <w:nsid w:val="78F109D9"/>
    <w:multiLevelType w:val="hybridMultilevel"/>
    <w:tmpl w:val="0BA4F274"/>
    <w:lvl w:ilvl="0" w:tplc="BD84F686">
      <w:start w:val="1"/>
      <w:numFmt w:val="decimal"/>
      <w:lvlText w:val="%1."/>
      <w:lvlJc w:val="left"/>
      <w:pPr>
        <w:ind w:left="2151" w:hanging="675"/>
      </w:pPr>
      <w:rPr>
        <w:rFonts w:hint="default"/>
      </w:r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38">
    <w:nsid w:val="78F92C27"/>
    <w:multiLevelType w:val="hybridMultilevel"/>
    <w:tmpl w:val="6D908B3E"/>
    <w:lvl w:ilvl="0" w:tplc="506A6738">
      <w:start w:val="1"/>
      <w:numFmt w:val="decimal"/>
      <w:lvlText w:val="%1."/>
      <w:lvlJc w:val="left"/>
      <w:pPr>
        <w:ind w:left="1098" w:hanging="360"/>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39">
    <w:nsid w:val="795C1C96"/>
    <w:multiLevelType w:val="hybridMultilevel"/>
    <w:tmpl w:val="A6E65098"/>
    <w:lvl w:ilvl="0" w:tplc="300A000F">
      <w:start w:val="1"/>
      <w:numFmt w:val="decimal"/>
      <w:lvlText w:val="%1."/>
      <w:lvlJc w:val="left"/>
      <w:pPr>
        <w:ind w:left="1458"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40">
    <w:nsid w:val="7BE8437F"/>
    <w:multiLevelType w:val="hybridMultilevel"/>
    <w:tmpl w:val="452AF234"/>
    <w:lvl w:ilvl="0" w:tplc="51C433A0">
      <w:start w:val="1"/>
      <w:numFmt w:val="decimal"/>
      <w:lvlText w:val="%1."/>
      <w:lvlJc w:val="left"/>
      <w:pPr>
        <w:ind w:left="2002" w:hanging="81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41">
    <w:nsid w:val="7FD85EC2"/>
    <w:multiLevelType w:val="hybridMultilevel"/>
    <w:tmpl w:val="19EE2B58"/>
    <w:lvl w:ilvl="0" w:tplc="51C433A0">
      <w:start w:val="1"/>
      <w:numFmt w:val="decimal"/>
      <w:lvlText w:val="%1."/>
      <w:lvlJc w:val="left"/>
      <w:pPr>
        <w:ind w:left="2002" w:hanging="810"/>
      </w:pPr>
      <w:rPr>
        <w:rFonts w:hint="default"/>
      </w:rPr>
    </w:lvl>
    <w:lvl w:ilvl="1" w:tplc="300A0019" w:tentative="1">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num w:numId="1">
    <w:abstractNumId w:val="1"/>
  </w:num>
  <w:num w:numId="2">
    <w:abstractNumId w:val="25"/>
  </w:num>
  <w:num w:numId="3">
    <w:abstractNumId w:val="5"/>
  </w:num>
  <w:num w:numId="4">
    <w:abstractNumId w:val="9"/>
  </w:num>
  <w:num w:numId="5">
    <w:abstractNumId w:val="33"/>
  </w:num>
  <w:num w:numId="6">
    <w:abstractNumId w:val="38"/>
  </w:num>
  <w:num w:numId="7">
    <w:abstractNumId w:val="34"/>
  </w:num>
  <w:num w:numId="8">
    <w:abstractNumId w:val="17"/>
  </w:num>
  <w:num w:numId="9">
    <w:abstractNumId w:val="27"/>
  </w:num>
  <w:num w:numId="10">
    <w:abstractNumId w:val="10"/>
  </w:num>
  <w:num w:numId="11">
    <w:abstractNumId w:val="41"/>
  </w:num>
  <w:num w:numId="12">
    <w:abstractNumId w:val="11"/>
  </w:num>
  <w:num w:numId="13">
    <w:abstractNumId w:val="40"/>
  </w:num>
  <w:num w:numId="14">
    <w:abstractNumId w:val="16"/>
  </w:num>
  <w:num w:numId="15">
    <w:abstractNumId w:val="3"/>
  </w:num>
  <w:num w:numId="16">
    <w:abstractNumId w:val="4"/>
  </w:num>
  <w:num w:numId="17">
    <w:abstractNumId w:val="39"/>
  </w:num>
  <w:num w:numId="18">
    <w:abstractNumId w:val="15"/>
  </w:num>
  <w:num w:numId="19">
    <w:abstractNumId w:val="6"/>
  </w:num>
  <w:num w:numId="20">
    <w:abstractNumId w:val="24"/>
  </w:num>
  <w:num w:numId="21">
    <w:abstractNumId w:val="37"/>
  </w:num>
  <w:num w:numId="22">
    <w:abstractNumId w:val="31"/>
  </w:num>
  <w:num w:numId="23">
    <w:abstractNumId w:val="32"/>
  </w:num>
  <w:num w:numId="24">
    <w:abstractNumId w:val="26"/>
  </w:num>
  <w:num w:numId="25">
    <w:abstractNumId w:val="19"/>
  </w:num>
  <w:num w:numId="26">
    <w:abstractNumId w:val="23"/>
  </w:num>
  <w:num w:numId="27">
    <w:abstractNumId w:val="14"/>
    <w:lvlOverride w:ilvl="0">
      <w:startOverride w:val="1"/>
    </w:lvlOverride>
  </w:num>
  <w:num w:numId="28">
    <w:abstractNumId w:val="7"/>
    <w:lvlOverride w:ilvl="0">
      <w:startOverride w:val="1"/>
    </w:lvlOverride>
  </w:num>
  <w:num w:numId="29">
    <w:abstractNumId w:val="0"/>
    <w:lvlOverride w:ilvl="0">
      <w:lvl w:ilvl="0">
        <w:numFmt w:val="bullet"/>
        <w:lvlText w:val="-"/>
        <w:legacy w:legacy="1" w:legacySpace="0" w:legacyIndent="283"/>
        <w:lvlJc w:val="left"/>
        <w:pPr>
          <w:ind w:left="0" w:firstLine="0"/>
        </w:pPr>
        <w:rPr>
          <w:rFonts w:ascii="Times New Roman" w:hAnsi="Times New Roman" w:cs="Times New Roman" w:hint="default"/>
        </w:rPr>
      </w:lvl>
    </w:lvlOverride>
  </w:num>
  <w:num w:numId="30">
    <w:abstractNumId w:val="18"/>
    <w:lvlOverride w:ilvl="0">
      <w:startOverride w:val="1"/>
    </w:lvlOverride>
  </w:num>
  <w:num w:numId="31">
    <w:abstractNumId w:val="22"/>
    <w:lvlOverride w:ilvl="0">
      <w:startOverride w:val="2"/>
    </w:lvlOverride>
  </w:num>
  <w:num w:numId="32">
    <w:abstractNumId w:val="21"/>
    <w:lvlOverride w:ilvl="0">
      <w:startOverride w:val="2"/>
    </w:lvlOverride>
  </w:num>
  <w:num w:numId="33">
    <w:abstractNumId w:val="0"/>
    <w:lvlOverride w:ilvl="0">
      <w:lvl w:ilvl="0">
        <w:numFmt w:val="bullet"/>
        <w:lvlText w:val="•"/>
        <w:legacy w:legacy="1" w:legacySpace="0" w:legacyIndent="274"/>
        <w:lvlJc w:val="left"/>
        <w:rPr>
          <w:rFonts w:ascii="Arial" w:hAnsi="Arial" w:hint="default"/>
        </w:rPr>
      </w:lvl>
    </w:lvlOverride>
  </w:num>
  <w:num w:numId="34">
    <w:abstractNumId w:val="2"/>
    <w:lvlOverride w:ilvl="0">
      <w:startOverride w:val="1"/>
    </w:lvlOverride>
  </w:num>
  <w:num w:numId="35">
    <w:abstractNumId w:val="28"/>
    <w:lvlOverride w:ilvl="0">
      <w:startOverride w:val="1"/>
    </w:lvlOverride>
  </w:num>
  <w:num w:numId="36">
    <w:abstractNumId w:val="13"/>
    <w:lvlOverride w:ilvl="0">
      <w:startOverride w:val="1"/>
    </w:lvlOverride>
  </w:num>
  <w:num w:numId="37">
    <w:abstractNumId w:val="12"/>
    <w:lvlOverride w:ilvl="0">
      <w:startOverride w:val="3"/>
    </w:lvlOverride>
  </w:num>
  <w:num w:numId="38">
    <w:abstractNumId w:val="0"/>
    <w:lvlOverride w:ilvl="0">
      <w:lvl w:ilvl="0">
        <w:numFmt w:val="bullet"/>
        <w:lvlText w:val="•"/>
        <w:legacy w:legacy="1" w:legacySpace="0" w:legacyIndent="269"/>
        <w:lvlJc w:val="left"/>
        <w:pPr>
          <w:ind w:left="0" w:firstLine="0"/>
        </w:pPr>
        <w:rPr>
          <w:rFonts w:ascii="Arial" w:hAnsi="Arial" w:cs="Times New Roman" w:hint="default"/>
        </w:rPr>
      </w:lvl>
    </w:lvlOverride>
  </w:num>
  <w:num w:numId="39">
    <w:abstractNumId w:val="35"/>
    <w:lvlOverride w:ilvl="0">
      <w:startOverride w:val="4"/>
    </w:lvlOverride>
  </w:num>
  <w:num w:numId="40">
    <w:abstractNumId w:val="8"/>
    <w:lvlOverride w:ilvl="0">
      <w:startOverride w:val="7"/>
    </w:lvlOverride>
  </w:num>
  <w:num w:numId="41">
    <w:abstractNumId w:val="36"/>
    <w:lvlOverride w:ilvl="0">
      <w:startOverride w:val="1"/>
    </w:lvlOverride>
  </w:num>
  <w:num w:numId="42">
    <w:abstractNumId w:val="0"/>
    <w:lvlOverride w:ilvl="0">
      <w:lvl w:ilvl="0">
        <w:numFmt w:val="bullet"/>
        <w:lvlText w:val="•"/>
        <w:legacy w:legacy="1" w:legacySpace="0" w:legacyIndent="154"/>
        <w:lvlJc w:val="left"/>
        <w:pPr>
          <w:ind w:left="0" w:firstLine="0"/>
        </w:pPr>
        <w:rPr>
          <w:rFonts w:ascii="Arial" w:hAnsi="Arial" w:cs="Times New Roman" w:hint="default"/>
        </w:rPr>
      </w:lvl>
    </w:lvlOverride>
  </w:num>
  <w:num w:numId="43">
    <w:abstractNumId w:val="30"/>
    <w:lvlOverride w:ilvl="0">
      <w:startOverride w:val="1"/>
    </w:lvlOverride>
  </w:num>
  <w:num w:numId="44">
    <w:abstractNumId w:val="20"/>
    <w:lvlOverride w:ilvl="0">
      <w:startOverride w:val="1"/>
    </w:lvlOverride>
  </w:num>
  <w:num w:numId="45">
    <w:abstractNumId w:val="2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F61"/>
    <w:rsid w:val="00084699"/>
    <w:rsid w:val="0030615E"/>
    <w:rsid w:val="009537AA"/>
    <w:rsid w:val="009670FF"/>
    <w:rsid w:val="009D0C0F"/>
    <w:rsid w:val="00A62F61"/>
    <w:rsid w:val="00A83A18"/>
    <w:rsid w:val="00D5563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62F61"/>
    <w:pPr>
      <w:widowControl w:val="0"/>
      <w:autoSpaceDE w:val="0"/>
      <w:autoSpaceDN w:val="0"/>
      <w:adjustRightInd w:val="0"/>
      <w:spacing w:after="0" w:line="240" w:lineRule="auto"/>
      <w:ind w:left="720"/>
      <w:contextualSpacing/>
    </w:pPr>
    <w:rPr>
      <w:rFonts w:ascii="Arial" w:eastAsia="Times New Roman" w:hAnsi="Arial" w:cs="Arial"/>
      <w:sz w:val="20"/>
      <w:szCs w:val="20"/>
      <w:lang w:val="es-US" w:eastAsia="es-US"/>
    </w:rPr>
  </w:style>
  <w:style w:type="paragraph" w:styleId="Encabezado">
    <w:name w:val="header"/>
    <w:basedOn w:val="Normal"/>
    <w:link w:val="EncabezadoCar"/>
    <w:uiPriority w:val="99"/>
    <w:unhideWhenUsed/>
    <w:rsid w:val="00A62F61"/>
    <w:pPr>
      <w:widowControl w:val="0"/>
      <w:tabs>
        <w:tab w:val="center" w:pos="4252"/>
        <w:tab w:val="right" w:pos="8504"/>
      </w:tabs>
      <w:autoSpaceDE w:val="0"/>
      <w:autoSpaceDN w:val="0"/>
      <w:adjustRightInd w:val="0"/>
      <w:spacing w:after="0" w:line="240" w:lineRule="auto"/>
    </w:pPr>
    <w:rPr>
      <w:rFonts w:ascii="Arial" w:eastAsia="Times New Roman" w:hAnsi="Arial" w:cs="Arial"/>
      <w:sz w:val="20"/>
      <w:szCs w:val="20"/>
      <w:lang w:val="es-US" w:eastAsia="es-US"/>
    </w:rPr>
  </w:style>
  <w:style w:type="character" w:customStyle="1" w:styleId="EncabezadoCar">
    <w:name w:val="Encabezado Car"/>
    <w:basedOn w:val="Fuentedeprrafopredeter"/>
    <w:link w:val="Encabezado"/>
    <w:uiPriority w:val="99"/>
    <w:rsid w:val="00A62F61"/>
    <w:rPr>
      <w:rFonts w:ascii="Arial" w:eastAsia="Times New Roman" w:hAnsi="Arial" w:cs="Arial"/>
      <w:sz w:val="20"/>
      <w:szCs w:val="20"/>
      <w:lang w:val="es-US" w:eastAsia="es-US"/>
    </w:rPr>
  </w:style>
  <w:style w:type="paragraph" w:styleId="Piedepgina">
    <w:name w:val="footer"/>
    <w:basedOn w:val="Normal"/>
    <w:link w:val="PiedepginaCar"/>
    <w:uiPriority w:val="99"/>
    <w:unhideWhenUsed/>
    <w:rsid w:val="00A62F61"/>
    <w:pPr>
      <w:widowControl w:val="0"/>
      <w:tabs>
        <w:tab w:val="center" w:pos="4252"/>
        <w:tab w:val="right" w:pos="8504"/>
      </w:tabs>
      <w:autoSpaceDE w:val="0"/>
      <w:autoSpaceDN w:val="0"/>
      <w:adjustRightInd w:val="0"/>
      <w:spacing w:after="0" w:line="240" w:lineRule="auto"/>
    </w:pPr>
    <w:rPr>
      <w:rFonts w:ascii="Arial" w:eastAsia="Times New Roman" w:hAnsi="Arial" w:cs="Arial"/>
      <w:sz w:val="20"/>
      <w:szCs w:val="20"/>
      <w:lang w:val="es-US" w:eastAsia="es-US"/>
    </w:rPr>
  </w:style>
  <w:style w:type="character" w:customStyle="1" w:styleId="PiedepginaCar">
    <w:name w:val="Pie de página Car"/>
    <w:basedOn w:val="Fuentedeprrafopredeter"/>
    <w:link w:val="Piedepgina"/>
    <w:uiPriority w:val="99"/>
    <w:rsid w:val="00A62F61"/>
    <w:rPr>
      <w:rFonts w:ascii="Arial" w:eastAsia="Times New Roman" w:hAnsi="Arial" w:cs="Arial"/>
      <w:sz w:val="20"/>
      <w:szCs w:val="20"/>
      <w:lang w:val="es-US" w:eastAsia="es-US"/>
    </w:rPr>
  </w:style>
  <w:style w:type="character" w:styleId="Hipervnculo">
    <w:name w:val="Hyperlink"/>
    <w:basedOn w:val="Fuentedeprrafopredeter"/>
    <w:uiPriority w:val="99"/>
    <w:unhideWhenUsed/>
    <w:rsid w:val="00A62F61"/>
    <w:rPr>
      <w:color w:val="0000FF" w:themeColor="hyperlink"/>
      <w:u w:val="single"/>
    </w:rPr>
  </w:style>
  <w:style w:type="paragraph" w:styleId="Textodeglobo">
    <w:name w:val="Balloon Text"/>
    <w:basedOn w:val="Normal"/>
    <w:link w:val="TextodegloboCar"/>
    <w:uiPriority w:val="99"/>
    <w:semiHidden/>
    <w:unhideWhenUsed/>
    <w:rsid w:val="00A62F61"/>
    <w:pPr>
      <w:widowControl w:val="0"/>
      <w:autoSpaceDE w:val="0"/>
      <w:autoSpaceDN w:val="0"/>
      <w:adjustRightInd w:val="0"/>
      <w:spacing w:after="0" w:line="240" w:lineRule="auto"/>
    </w:pPr>
    <w:rPr>
      <w:rFonts w:ascii="Segoe UI" w:eastAsia="Times New Roman" w:hAnsi="Segoe UI" w:cs="Segoe UI"/>
      <w:sz w:val="18"/>
      <w:szCs w:val="18"/>
      <w:lang w:val="es-US" w:eastAsia="es-US"/>
    </w:rPr>
  </w:style>
  <w:style w:type="character" w:customStyle="1" w:styleId="TextodegloboCar">
    <w:name w:val="Texto de globo Car"/>
    <w:basedOn w:val="Fuentedeprrafopredeter"/>
    <w:link w:val="Textodeglobo"/>
    <w:uiPriority w:val="99"/>
    <w:semiHidden/>
    <w:rsid w:val="00A62F61"/>
    <w:rPr>
      <w:rFonts w:ascii="Segoe UI" w:eastAsia="Times New Roman" w:hAnsi="Segoe UI" w:cs="Segoe UI"/>
      <w:sz w:val="18"/>
      <w:szCs w:val="18"/>
      <w:lang w:val="es-US" w:eastAsia="es-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62F61"/>
    <w:pPr>
      <w:widowControl w:val="0"/>
      <w:autoSpaceDE w:val="0"/>
      <w:autoSpaceDN w:val="0"/>
      <w:adjustRightInd w:val="0"/>
      <w:spacing w:after="0" w:line="240" w:lineRule="auto"/>
      <w:ind w:left="720"/>
      <w:contextualSpacing/>
    </w:pPr>
    <w:rPr>
      <w:rFonts w:ascii="Arial" w:eastAsia="Times New Roman" w:hAnsi="Arial" w:cs="Arial"/>
      <w:sz w:val="20"/>
      <w:szCs w:val="20"/>
      <w:lang w:val="es-US" w:eastAsia="es-US"/>
    </w:rPr>
  </w:style>
  <w:style w:type="paragraph" w:styleId="Encabezado">
    <w:name w:val="header"/>
    <w:basedOn w:val="Normal"/>
    <w:link w:val="EncabezadoCar"/>
    <w:uiPriority w:val="99"/>
    <w:unhideWhenUsed/>
    <w:rsid w:val="00A62F61"/>
    <w:pPr>
      <w:widowControl w:val="0"/>
      <w:tabs>
        <w:tab w:val="center" w:pos="4252"/>
        <w:tab w:val="right" w:pos="8504"/>
      </w:tabs>
      <w:autoSpaceDE w:val="0"/>
      <w:autoSpaceDN w:val="0"/>
      <w:adjustRightInd w:val="0"/>
      <w:spacing w:after="0" w:line="240" w:lineRule="auto"/>
    </w:pPr>
    <w:rPr>
      <w:rFonts w:ascii="Arial" w:eastAsia="Times New Roman" w:hAnsi="Arial" w:cs="Arial"/>
      <w:sz w:val="20"/>
      <w:szCs w:val="20"/>
      <w:lang w:val="es-US" w:eastAsia="es-US"/>
    </w:rPr>
  </w:style>
  <w:style w:type="character" w:customStyle="1" w:styleId="EncabezadoCar">
    <w:name w:val="Encabezado Car"/>
    <w:basedOn w:val="Fuentedeprrafopredeter"/>
    <w:link w:val="Encabezado"/>
    <w:uiPriority w:val="99"/>
    <w:rsid w:val="00A62F61"/>
    <w:rPr>
      <w:rFonts w:ascii="Arial" w:eastAsia="Times New Roman" w:hAnsi="Arial" w:cs="Arial"/>
      <w:sz w:val="20"/>
      <w:szCs w:val="20"/>
      <w:lang w:val="es-US" w:eastAsia="es-US"/>
    </w:rPr>
  </w:style>
  <w:style w:type="paragraph" w:styleId="Piedepgina">
    <w:name w:val="footer"/>
    <w:basedOn w:val="Normal"/>
    <w:link w:val="PiedepginaCar"/>
    <w:uiPriority w:val="99"/>
    <w:unhideWhenUsed/>
    <w:rsid w:val="00A62F61"/>
    <w:pPr>
      <w:widowControl w:val="0"/>
      <w:tabs>
        <w:tab w:val="center" w:pos="4252"/>
        <w:tab w:val="right" w:pos="8504"/>
      </w:tabs>
      <w:autoSpaceDE w:val="0"/>
      <w:autoSpaceDN w:val="0"/>
      <w:adjustRightInd w:val="0"/>
      <w:spacing w:after="0" w:line="240" w:lineRule="auto"/>
    </w:pPr>
    <w:rPr>
      <w:rFonts w:ascii="Arial" w:eastAsia="Times New Roman" w:hAnsi="Arial" w:cs="Arial"/>
      <w:sz w:val="20"/>
      <w:szCs w:val="20"/>
      <w:lang w:val="es-US" w:eastAsia="es-US"/>
    </w:rPr>
  </w:style>
  <w:style w:type="character" w:customStyle="1" w:styleId="PiedepginaCar">
    <w:name w:val="Pie de página Car"/>
    <w:basedOn w:val="Fuentedeprrafopredeter"/>
    <w:link w:val="Piedepgina"/>
    <w:uiPriority w:val="99"/>
    <w:rsid w:val="00A62F61"/>
    <w:rPr>
      <w:rFonts w:ascii="Arial" w:eastAsia="Times New Roman" w:hAnsi="Arial" w:cs="Arial"/>
      <w:sz w:val="20"/>
      <w:szCs w:val="20"/>
      <w:lang w:val="es-US" w:eastAsia="es-US"/>
    </w:rPr>
  </w:style>
  <w:style w:type="character" w:styleId="Hipervnculo">
    <w:name w:val="Hyperlink"/>
    <w:basedOn w:val="Fuentedeprrafopredeter"/>
    <w:uiPriority w:val="99"/>
    <w:unhideWhenUsed/>
    <w:rsid w:val="00A62F61"/>
    <w:rPr>
      <w:color w:val="0000FF" w:themeColor="hyperlink"/>
      <w:u w:val="single"/>
    </w:rPr>
  </w:style>
  <w:style w:type="paragraph" w:styleId="Textodeglobo">
    <w:name w:val="Balloon Text"/>
    <w:basedOn w:val="Normal"/>
    <w:link w:val="TextodegloboCar"/>
    <w:uiPriority w:val="99"/>
    <w:semiHidden/>
    <w:unhideWhenUsed/>
    <w:rsid w:val="00A62F61"/>
    <w:pPr>
      <w:widowControl w:val="0"/>
      <w:autoSpaceDE w:val="0"/>
      <w:autoSpaceDN w:val="0"/>
      <w:adjustRightInd w:val="0"/>
      <w:spacing w:after="0" w:line="240" w:lineRule="auto"/>
    </w:pPr>
    <w:rPr>
      <w:rFonts w:ascii="Segoe UI" w:eastAsia="Times New Roman" w:hAnsi="Segoe UI" w:cs="Segoe UI"/>
      <w:sz w:val="18"/>
      <w:szCs w:val="18"/>
      <w:lang w:val="es-US" w:eastAsia="es-US"/>
    </w:rPr>
  </w:style>
  <w:style w:type="character" w:customStyle="1" w:styleId="TextodegloboCar">
    <w:name w:val="Texto de globo Car"/>
    <w:basedOn w:val="Fuentedeprrafopredeter"/>
    <w:link w:val="Textodeglobo"/>
    <w:uiPriority w:val="99"/>
    <w:semiHidden/>
    <w:rsid w:val="00A62F61"/>
    <w:rPr>
      <w:rFonts w:ascii="Segoe UI" w:eastAsia="Times New Roman" w:hAnsi="Segoe UI" w:cs="Segoe UI"/>
      <w:sz w:val="18"/>
      <w:szCs w:val="18"/>
      <w:lang w:val="es-US" w:eastAsia="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traloria" TargetMode="External"/><Relationship Id="rId13" Type="http://schemas.openxmlformats.org/officeDocument/2006/relationships/hyperlink" Target="http://www.silec.com.ec/Webtools/LexisFinder/ImageVisualizer/ImageVisualizer.aspx?id=3571DE85CC4171F815D301F34CD3B7F9D5B9E235&amp;type=RO" TargetMode="External"/><Relationship Id="rId18" Type="http://schemas.openxmlformats.org/officeDocument/2006/relationships/hyperlink" Target="http://www.silec.com.ec/Webtools/LexisFinder/ImageVisualizer/ImageVisualizer.aspx?id=11F8744BCB63C5623B1C7335F7EA9F6DA0BDC80A&amp;type=RO" TargetMode="External"/><Relationship Id="rId26" Type="http://schemas.openxmlformats.org/officeDocument/2006/relationships/hyperlink" Target="http://www.silec.com.ec/Webtools/LexisFinder/ImageVisualizer/ImageVisualizer.aspx?id=3A807C38538D7A0AC8563A46299DABC6E57BEE72&amp;type=RO" TargetMode="External"/><Relationship Id="rId3" Type="http://schemas.microsoft.com/office/2007/relationships/stylesWithEffects" Target="stylesWithEffects.xml"/><Relationship Id="rId21" Type="http://schemas.openxmlformats.org/officeDocument/2006/relationships/hyperlink" Target="http://www.silec.com.ec/Webtools/LexisFinder/ImageVisualizer/ImageVisualizer.aspx?id=224337149E24A4F6352FAD8BC45DFC5B77BB063F&amp;type=RO" TargetMode="External"/><Relationship Id="rId7" Type="http://schemas.openxmlformats.org/officeDocument/2006/relationships/hyperlink" Target="http://www.silec.com.ec/Webtools/LexisFinder/ImageVisualizer/ImageVisualizer.aspx?id=31C324F28DEE9DF8996F68B57DCD03A473084CE8&amp;type=RO" TargetMode="External"/><Relationship Id="rId12" Type="http://schemas.openxmlformats.org/officeDocument/2006/relationships/hyperlink" Target="http://www.silec.com.ec/Webtools/LexisFinder/ImageVisualizer/ImageVisualizer.aspx?id=3571DE85CC4171F815D301F34CD3B7F9D5B9E235&amp;type=RO" TargetMode="External"/><Relationship Id="rId17" Type="http://schemas.openxmlformats.org/officeDocument/2006/relationships/hyperlink" Target="http://www.silec.com.ec/Webtools/LexisFinder/ImageVisualizer/ImageVisualizer.aspx?id=11F8744BCB63C5623B1C7335F7EA9F6DA0BDC80A&amp;type=RO" TargetMode="External"/><Relationship Id="rId25" Type="http://schemas.openxmlformats.org/officeDocument/2006/relationships/hyperlink" Target="http://www.silec.com.ec/Webtools/LexisFinder/ImageVisualizer/ImageVisualizer.aspx?id=3A807C38538D7A0AC8563A46299DABC6E57BEE72&amp;type=RO" TargetMode="External"/><Relationship Id="rId2" Type="http://schemas.openxmlformats.org/officeDocument/2006/relationships/styles" Target="styles.xml"/><Relationship Id="rId16" Type="http://schemas.openxmlformats.org/officeDocument/2006/relationships/hyperlink" Target="http://www.silec.com.ec/Webtools/LexisFinder/ImageVisualizer/ImageVisualizer.aspx?id=0D328C9A4FB480FB76A7103739B734A32F2BF337&amp;type=RO" TargetMode="External"/><Relationship Id="rId20" Type="http://schemas.openxmlformats.org/officeDocument/2006/relationships/hyperlink" Target="http://www.silec.com.ec/Webtools/LexisFinder/ImageVisualizer/ImageVisualizer.aspx?id=ACFB81EB83F0E2D586E6CB33C53AB85A1DB4C61F&amp;type=RO"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silec.com.ec/Webtools/LexisFinder/ImageVisualizer/ImageVisualizer.aspx?id=81549C55EB2FFBD31BE1C8D701D4AD3A1223DEA3&amp;type=RO" TargetMode="External"/><Relationship Id="rId11" Type="http://schemas.openxmlformats.org/officeDocument/2006/relationships/hyperlink" Target="http://www.silec.com.ec/Webtools/LexisFinder/ImageVisualizer/ImageVisualizer.aspx?id=3571DE85CC4171F815D301F34CD3B7F9D5B9E235&amp;type=RO" TargetMode="External"/><Relationship Id="rId24" Type="http://schemas.openxmlformats.org/officeDocument/2006/relationships/hyperlink" Target="http://www.silec.com.ec/Webtools/LexisFinder/ImageVisualizer/ImageVisualizer.aspx?id=224337149E24A4F6352FAD8BC45DFC5B77BB063F&amp;type=RO" TargetMode="External"/><Relationship Id="rId5" Type="http://schemas.openxmlformats.org/officeDocument/2006/relationships/webSettings" Target="webSettings.xml"/><Relationship Id="rId15" Type="http://schemas.openxmlformats.org/officeDocument/2006/relationships/hyperlink" Target="http://www.silec.com.ec/Webtools/LexisFinder/ImageVisualizer/ImageVisualizer.aspx?id=0D328C9A4FB480FB76A7103739B734A32F2BF337&amp;type=RO" TargetMode="External"/><Relationship Id="rId23" Type="http://schemas.openxmlformats.org/officeDocument/2006/relationships/hyperlink" Target="http://www.silec.com.ec/Webtools/LexisFinder/ImageVisualizer/ImageVisualizer.aspx?id=224337149E24A4F6352FAD8BC45DFC5B77BB063F&amp;type=RO" TargetMode="External"/><Relationship Id="rId28" Type="http://schemas.openxmlformats.org/officeDocument/2006/relationships/fontTable" Target="fontTable.xml"/><Relationship Id="rId10" Type="http://schemas.openxmlformats.org/officeDocument/2006/relationships/hyperlink" Target="http://www.silec.com.ec/Webtools/LexisFinder/ImageVisualizer/ImageVisualizer.aspx?id=3571DE85CC4171F815D301F34CD3B7F9D5B9E235&amp;type=RO" TargetMode="External"/><Relationship Id="rId19" Type="http://schemas.openxmlformats.org/officeDocument/2006/relationships/hyperlink" Target="http://www.silec.com.ec/Webtools/LexisFinder/ImageVisualizer/ImageVisualizer.aspx?id=11F8744BCB63C5623B1C7335F7EA9F6DA0BDC80A&amp;type=RO" TargetMode="External"/><Relationship Id="rId4" Type="http://schemas.openxmlformats.org/officeDocument/2006/relationships/settings" Target="settings.xml"/><Relationship Id="rId9" Type="http://schemas.openxmlformats.org/officeDocument/2006/relationships/hyperlink" Target="http://www.silec.com.ec/Webtools/LexisFinder/ImageVisualizer/ImageVisualizer.aspx?id=31C324F28DEE9DF8996F68B57DCD03A473084CE8&amp;type=RO" TargetMode="External"/><Relationship Id="rId14" Type="http://schemas.openxmlformats.org/officeDocument/2006/relationships/hyperlink" Target="http://www.silec.com.ec/Webtools/LexisFinder/ImageVisualizer/ImageVisualizer.aspx?id=3155DDDB4402ABC628EE543E6CC80D87C06464D1&amp;type=RO" TargetMode="External"/><Relationship Id="rId22" Type="http://schemas.openxmlformats.org/officeDocument/2006/relationships/hyperlink" Target="http://www.silec.com.ec/Webtools/LexisFinder/ImageVisualizer/ImageVisualizer.aspx?id=224337149E24A4F6352FAD8BC45DFC5B77BB063F&amp;type=RO"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11590</Words>
  <Characters>63750</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Vivanco Carla</dc:creator>
  <cp:lastModifiedBy>Vivanco Carla</cp:lastModifiedBy>
  <cp:revision>2</cp:revision>
  <dcterms:created xsi:type="dcterms:W3CDTF">2017-01-19T17:14:00Z</dcterms:created>
  <dcterms:modified xsi:type="dcterms:W3CDTF">2017-01-19T17:14:00Z</dcterms:modified>
</cp:coreProperties>
</file>