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1F" w:rsidRDefault="00C72F1F" w:rsidP="00C72F1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rbel"/>
          <w:sz w:val="24"/>
          <w:szCs w:val="24"/>
        </w:rPr>
      </w:pPr>
      <w:r w:rsidRPr="00C72F1F">
        <w:rPr>
          <w:rFonts w:ascii="Bookman Old Style" w:hAnsi="Bookman Old Style" w:cs="Corbel"/>
          <w:sz w:val="24"/>
          <w:szCs w:val="24"/>
        </w:rPr>
        <w:t xml:space="preserve">Al respecto, la Comisión, entre </w:t>
      </w:r>
      <w:r>
        <w:rPr>
          <w:rFonts w:ascii="Bookman Old Style" w:hAnsi="Bookman Old Style" w:cs="Corbel"/>
          <w:sz w:val="24"/>
          <w:szCs w:val="24"/>
        </w:rPr>
        <w:t xml:space="preserve">otros criterios, ha establecido </w:t>
      </w:r>
      <w:r w:rsidRPr="00C72F1F">
        <w:rPr>
          <w:rFonts w:ascii="Bookman Old Style" w:hAnsi="Bookman Old Style" w:cs="Corbel"/>
          <w:sz w:val="24"/>
          <w:szCs w:val="24"/>
        </w:rPr>
        <w:t xml:space="preserve">en lo que respecta a su competencia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ratione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personae</w:t>
      </w:r>
      <w:proofErr w:type="spellEnd"/>
      <w:r>
        <w:rPr>
          <w:rFonts w:ascii="Bookman Old Style" w:hAnsi="Bookman Old Style" w:cs="Corbel"/>
          <w:sz w:val="24"/>
          <w:szCs w:val="24"/>
        </w:rPr>
        <w:t xml:space="preserve"> </w:t>
      </w:r>
      <w:r w:rsidRPr="00C72F1F">
        <w:rPr>
          <w:rFonts w:ascii="Bookman Old Style" w:hAnsi="Bookman Old Style" w:cs="Corbel"/>
          <w:sz w:val="24"/>
          <w:szCs w:val="24"/>
        </w:rPr>
        <w:t>que no es posible la</w:t>
      </w:r>
      <w:r>
        <w:rPr>
          <w:rFonts w:ascii="Bookman Old Style" w:hAnsi="Bookman Old Style" w:cs="Corbel"/>
          <w:sz w:val="24"/>
          <w:szCs w:val="24"/>
        </w:rPr>
        <w:t xml:space="preserve"> </w:t>
      </w:r>
      <w:r w:rsidRPr="00C72F1F">
        <w:rPr>
          <w:rFonts w:ascii="Bookman Old Style" w:hAnsi="Bookman Old Style" w:cs="Corbel"/>
          <w:sz w:val="24"/>
          <w:szCs w:val="24"/>
        </w:rPr>
        <w:t>present</w:t>
      </w:r>
      <w:r>
        <w:rPr>
          <w:rFonts w:ascii="Bookman Old Style" w:hAnsi="Bookman Old Style" w:cs="Corbel"/>
          <w:sz w:val="24"/>
          <w:szCs w:val="24"/>
        </w:rPr>
        <w:t xml:space="preserve">ación de una petición por parte </w:t>
      </w:r>
      <w:r w:rsidRPr="00C72F1F">
        <w:rPr>
          <w:rFonts w:ascii="Bookman Old Style" w:hAnsi="Bookman Old Style" w:cs="Corbel"/>
          <w:sz w:val="24"/>
          <w:szCs w:val="24"/>
        </w:rPr>
        <w:t>de personas morales,23 ni es posi</w:t>
      </w:r>
      <w:r>
        <w:rPr>
          <w:rFonts w:ascii="Bookman Old Style" w:hAnsi="Bookman Old Style" w:cs="Corbel"/>
          <w:sz w:val="24"/>
          <w:szCs w:val="24"/>
        </w:rPr>
        <w:t xml:space="preserve">ble realizar peticiones a forma </w:t>
      </w:r>
      <w:r w:rsidRPr="00C72F1F">
        <w:rPr>
          <w:rFonts w:ascii="Bookman Old Style" w:hAnsi="Bookman Old Style" w:cs="Corbel"/>
          <w:sz w:val="24"/>
          <w:szCs w:val="24"/>
        </w:rPr>
        <w:t>una “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actio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popularis</w:t>
      </w:r>
      <w:proofErr w:type="spellEnd"/>
      <w:r w:rsidRPr="00C72F1F">
        <w:rPr>
          <w:rFonts w:ascii="Bookman Old Style" w:hAnsi="Bookman Old Style" w:cs="Corbel"/>
          <w:sz w:val="24"/>
          <w:szCs w:val="24"/>
        </w:rPr>
        <w:t>”, es de</w:t>
      </w:r>
      <w:r>
        <w:rPr>
          <w:rFonts w:ascii="Bookman Old Style" w:hAnsi="Bookman Old Style" w:cs="Corbel"/>
          <w:sz w:val="24"/>
          <w:szCs w:val="24"/>
        </w:rPr>
        <w:t xml:space="preserve">cir, a nombre de todo el pueblo </w:t>
      </w:r>
      <w:r w:rsidRPr="00C72F1F">
        <w:rPr>
          <w:rFonts w:ascii="Bookman Old Style" w:hAnsi="Bookman Old Style" w:cs="Corbel"/>
          <w:sz w:val="24"/>
          <w:szCs w:val="24"/>
        </w:rPr>
        <w:t xml:space="preserve">de un país.24 En lo que respecta a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ratione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loci</w:t>
      </w:r>
      <w:proofErr w:type="spellEnd"/>
      <w:r>
        <w:rPr>
          <w:rFonts w:ascii="Bookman Old Style" w:hAnsi="Bookman Old Style" w:cs="Corbel"/>
          <w:sz w:val="24"/>
          <w:szCs w:val="24"/>
        </w:rPr>
        <w:t xml:space="preserve">, la Comisión </w:t>
      </w:r>
      <w:r w:rsidRPr="00C72F1F">
        <w:rPr>
          <w:rFonts w:ascii="Bookman Old Style" w:hAnsi="Bookman Old Style" w:cs="Corbel"/>
          <w:sz w:val="24"/>
          <w:szCs w:val="24"/>
        </w:rPr>
        <w:t>consistentemente no ha acep</w:t>
      </w:r>
      <w:r>
        <w:rPr>
          <w:rFonts w:ascii="Bookman Old Style" w:hAnsi="Bookman Old Style" w:cs="Corbel"/>
          <w:sz w:val="24"/>
          <w:szCs w:val="24"/>
        </w:rPr>
        <w:t xml:space="preserve">tado conocer sobre violaciones </w:t>
      </w:r>
      <w:r w:rsidRPr="00C72F1F">
        <w:rPr>
          <w:rFonts w:ascii="Bookman Old Style" w:hAnsi="Bookman Old Style" w:cs="Corbel"/>
          <w:sz w:val="24"/>
          <w:szCs w:val="24"/>
        </w:rPr>
        <w:t>ocurridas fuera de los Esta</w:t>
      </w:r>
      <w:r>
        <w:rPr>
          <w:rFonts w:ascii="Bookman Old Style" w:hAnsi="Bookman Old Style" w:cs="Corbel"/>
          <w:sz w:val="24"/>
          <w:szCs w:val="24"/>
        </w:rPr>
        <w:t xml:space="preserve">dos miembros de la Organización de Estados </w:t>
      </w:r>
      <w:r w:rsidRPr="00C72F1F">
        <w:rPr>
          <w:rFonts w:ascii="Bookman Old Style" w:hAnsi="Bookman Old Style" w:cs="Corbel"/>
          <w:sz w:val="24"/>
          <w:szCs w:val="24"/>
        </w:rPr>
        <w:t>Americanos; sin emb</w:t>
      </w:r>
      <w:r>
        <w:rPr>
          <w:rFonts w:ascii="Bookman Old Style" w:hAnsi="Bookman Old Style" w:cs="Corbel"/>
          <w:sz w:val="24"/>
          <w:szCs w:val="24"/>
        </w:rPr>
        <w:t xml:space="preserve">argo, en un precedente aislado, </w:t>
      </w:r>
      <w:r w:rsidRPr="00C72F1F">
        <w:rPr>
          <w:rFonts w:ascii="Bookman Old Style" w:hAnsi="Bookman Old Style" w:cs="Corbel"/>
          <w:sz w:val="24"/>
          <w:szCs w:val="24"/>
        </w:rPr>
        <w:t>la Comisión preciso que</w:t>
      </w:r>
      <w:r>
        <w:rPr>
          <w:rFonts w:ascii="Bookman Old Style" w:hAnsi="Bookman Old Style" w:cs="Corbel"/>
          <w:sz w:val="24"/>
          <w:szCs w:val="24"/>
        </w:rPr>
        <w:t xml:space="preserve"> “en ciertas circunstancias […] </w:t>
      </w:r>
      <w:r w:rsidRPr="00C72F1F">
        <w:rPr>
          <w:rFonts w:ascii="Bookman Old Style" w:hAnsi="Bookman Old Style" w:cs="Corbel"/>
          <w:sz w:val="24"/>
          <w:szCs w:val="24"/>
        </w:rPr>
        <w:t>tiene competencia para c</w:t>
      </w:r>
      <w:r>
        <w:rPr>
          <w:rFonts w:ascii="Bookman Old Style" w:hAnsi="Bookman Old Style" w:cs="Corbel"/>
          <w:sz w:val="24"/>
          <w:szCs w:val="24"/>
        </w:rPr>
        <w:t xml:space="preserve">onocer de las comunicaciones en </w:t>
      </w:r>
      <w:r w:rsidRPr="00C72F1F">
        <w:rPr>
          <w:rFonts w:ascii="Bookman Old Style" w:hAnsi="Bookman Old Style" w:cs="Corbel"/>
          <w:sz w:val="24"/>
          <w:szCs w:val="24"/>
        </w:rPr>
        <w:t>que se denuncia la violación</w:t>
      </w:r>
      <w:r>
        <w:rPr>
          <w:rFonts w:ascii="Bookman Old Style" w:hAnsi="Bookman Old Style" w:cs="Corbel"/>
          <w:sz w:val="24"/>
          <w:szCs w:val="24"/>
        </w:rPr>
        <w:t xml:space="preserve"> de derechos humanos protegidos </w:t>
      </w:r>
      <w:r w:rsidRPr="00C72F1F">
        <w:rPr>
          <w:rFonts w:ascii="Bookman Old Style" w:hAnsi="Bookman Old Style" w:cs="Corbel"/>
          <w:sz w:val="24"/>
          <w:szCs w:val="24"/>
        </w:rPr>
        <w:t>en el Sistema Interame</w:t>
      </w:r>
      <w:r>
        <w:rPr>
          <w:rFonts w:ascii="Bookman Old Style" w:hAnsi="Bookman Old Style" w:cs="Corbel"/>
          <w:sz w:val="24"/>
          <w:szCs w:val="24"/>
        </w:rPr>
        <w:t xml:space="preserve">ricano por agentes de un Estado </w:t>
      </w:r>
      <w:r w:rsidRPr="00C72F1F">
        <w:rPr>
          <w:rFonts w:ascii="Bookman Old Style" w:hAnsi="Bookman Old Style" w:cs="Corbel"/>
          <w:sz w:val="24"/>
          <w:szCs w:val="24"/>
        </w:rPr>
        <w:t>miembro de la Organización aun cu</w:t>
      </w:r>
      <w:r>
        <w:rPr>
          <w:rFonts w:ascii="Bookman Old Style" w:hAnsi="Bookman Old Style" w:cs="Corbel"/>
          <w:sz w:val="24"/>
          <w:szCs w:val="24"/>
        </w:rPr>
        <w:t xml:space="preserve">ando los hechos que constituyen </w:t>
      </w:r>
      <w:r w:rsidRPr="00C72F1F">
        <w:rPr>
          <w:rFonts w:ascii="Bookman Old Style" w:hAnsi="Bookman Old Style" w:cs="Corbel"/>
          <w:sz w:val="24"/>
          <w:szCs w:val="24"/>
        </w:rPr>
        <w:t>esta violación hayan o</w:t>
      </w:r>
      <w:r>
        <w:rPr>
          <w:rFonts w:ascii="Bookman Old Style" w:hAnsi="Bookman Old Style" w:cs="Corbel"/>
          <w:sz w:val="24"/>
          <w:szCs w:val="24"/>
        </w:rPr>
        <w:t xml:space="preserve">currido fuera del territorio de </w:t>
      </w:r>
      <w:r w:rsidRPr="00C72F1F">
        <w:rPr>
          <w:rFonts w:ascii="Bookman Old Style" w:hAnsi="Bookman Old Style" w:cs="Corbel"/>
          <w:sz w:val="24"/>
          <w:szCs w:val="24"/>
        </w:rPr>
        <w:t xml:space="preserve">dicho Estado”.25 Esta postura </w:t>
      </w:r>
      <w:r>
        <w:rPr>
          <w:rFonts w:ascii="Bookman Old Style" w:hAnsi="Bookman Old Style" w:cs="Corbel"/>
          <w:sz w:val="24"/>
          <w:szCs w:val="24"/>
        </w:rPr>
        <w:t xml:space="preserve">de la Comisión ha sido retomada </w:t>
      </w:r>
      <w:r w:rsidRPr="00C72F1F">
        <w:rPr>
          <w:rFonts w:ascii="Bookman Old Style" w:hAnsi="Bookman Old Style" w:cs="Corbel"/>
          <w:sz w:val="24"/>
          <w:szCs w:val="24"/>
        </w:rPr>
        <w:t xml:space="preserve">en otros casos,26 mas </w:t>
      </w:r>
      <w:r>
        <w:rPr>
          <w:rFonts w:ascii="Bookman Old Style" w:hAnsi="Bookman Old Style" w:cs="Corbel"/>
          <w:sz w:val="24"/>
          <w:szCs w:val="24"/>
        </w:rPr>
        <w:t xml:space="preserve">no implica que la Comisión haya </w:t>
      </w:r>
      <w:r w:rsidRPr="00C72F1F">
        <w:rPr>
          <w:rFonts w:ascii="Bookman Old Style" w:hAnsi="Bookman Old Style" w:cs="Corbel"/>
          <w:sz w:val="24"/>
          <w:szCs w:val="24"/>
        </w:rPr>
        <w:t>aceptado por analogía exa</w:t>
      </w:r>
      <w:r>
        <w:rPr>
          <w:rFonts w:ascii="Bookman Old Style" w:hAnsi="Bookman Old Style" w:cs="Corbel"/>
          <w:sz w:val="24"/>
          <w:szCs w:val="24"/>
        </w:rPr>
        <w:t xml:space="preserve">minar algún caso en el contexto </w:t>
      </w:r>
      <w:r w:rsidRPr="00C72F1F">
        <w:rPr>
          <w:rFonts w:ascii="Bookman Old Style" w:hAnsi="Bookman Old Style" w:cs="Corbel"/>
          <w:sz w:val="24"/>
          <w:szCs w:val="24"/>
        </w:rPr>
        <w:t>de un conflicto armado internacional fuera del territorio del</w:t>
      </w:r>
      <w:r>
        <w:rPr>
          <w:rFonts w:ascii="Bookman Old Style" w:hAnsi="Bookman Old Style" w:cs="Corbel"/>
          <w:sz w:val="24"/>
          <w:szCs w:val="24"/>
        </w:rPr>
        <w:t xml:space="preserve"> </w:t>
      </w:r>
      <w:bookmarkStart w:id="0" w:name="_GoBack"/>
      <w:bookmarkEnd w:id="0"/>
      <w:r w:rsidRPr="00C72F1F">
        <w:rPr>
          <w:rFonts w:ascii="Bookman Old Style" w:hAnsi="Bookman Old Style" w:cs="Corbel"/>
          <w:sz w:val="24"/>
          <w:szCs w:val="24"/>
        </w:rPr>
        <w:t>Estado en cuestión.</w:t>
      </w:r>
      <w:r>
        <w:rPr>
          <w:rFonts w:ascii="Bookman Old Style" w:hAnsi="Bookman Old Style" w:cs="Corbel"/>
          <w:sz w:val="24"/>
          <w:szCs w:val="24"/>
        </w:rPr>
        <w:t>27</w:t>
      </w:r>
      <w:r w:rsidRPr="00C72F1F">
        <w:rPr>
          <w:rFonts w:ascii="Bookman Old Style" w:hAnsi="Bookman Old Style" w:cs="Corbel"/>
          <w:sz w:val="24"/>
          <w:szCs w:val="24"/>
        </w:rPr>
        <w:t>La Comisión tiene jurisdicció</w:t>
      </w:r>
      <w:r>
        <w:rPr>
          <w:rFonts w:ascii="Bookman Old Style" w:hAnsi="Bookman Old Style" w:cs="Corbel"/>
          <w:sz w:val="24"/>
          <w:szCs w:val="24"/>
        </w:rPr>
        <w:t xml:space="preserve">n sobre peticiones individuales </w:t>
      </w:r>
      <w:r w:rsidRPr="00C72F1F">
        <w:rPr>
          <w:rFonts w:ascii="Bookman Old Style" w:hAnsi="Bookman Old Style" w:cs="Corbel"/>
          <w:sz w:val="24"/>
          <w:szCs w:val="24"/>
        </w:rPr>
        <w:t>interpuestas al am</w:t>
      </w:r>
      <w:r>
        <w:rPr>
          <w:rFonts w:ascii="Bookman Old Style" w:hAnsi="Bookman Old Style" w:cs="Corbel"/>
          <w:sz w:val="24"/>
          <w:szCs w:val="24"/>
        </w:rPr>
        <w:t xml:space="preserve">paro de la Convención Americana </w:t>
      </w:r>
      <w:r w:rsidRPr="00C72F1F">
        <w:rPr>
          <w:rFonts w:ascii="Bookman Old Style" w:hAnsi="Bookman Old Style" w:cs="Corbel"/>
          <w:sz w:val="24"/>
          <w:szCs w:val="24"/>
        </w:rPr>
        <w:t xml:space="preserve">contra un Estado desde “la </w:t>
      </w:r>
      <w:r>
        <w:rPr>
          <w:rFonts w:ascii="Bookman Old Style" w:hAnsi="Bookman Old Style" w:cs="Corbel"/>
          <w:sz w:val="24"/>
          <w:szCs w:val="24"/>
        </w:rPr>
        <w:t>fecha del depósito de su instru</w:t>
      </w:r>
      <w:r w:rsidRPr="00C72F1F">
        <w:rPr>
          <w:rFonts w:ascii="Bookman Old Style" w:hAnsi="Bookman Old Style" w:cs="Corbel"/>
          <w:sz w:val="24"/>
          <w:szCs w:val="24"/>
        </w:rPr>
        <w:t>mento de ratificación o de adhesión”. Adicionalmente</w:t>
      </w:r>
      <w:r>
        <w:rPr>
          <w:rFonts w:ascii="Bookman Old Style" w:hAnsi="Bookman Old Style" w:cs="Corbel"/>
          <w:sz w:val="24"/>
          <w:szCs w:val="24"/>
        </w:rPr>
        <w:t xml:space="preserve">, la Comisión </w:t>
      </w:r>
      <w:r w:rsidRPr="00C72F1F">
        <w:rPr>
          <w:rFonts w:ascii="Bookman Old Style" w:hAnsi="Bookman Old Style" w:cs="Corbel"/>
          <w:sz w:val="24"/>
          <w:szCs w:val="24"/>
        </w:rPr>
        <w:t>tiene jurisdicción s</w:t>
      </w:r>
      <w:r>
        <w:rPr>
          <w:rFonts w:ascii="Bookman Old Style" w:hAnsi="Bookman Old Style" w:cs="Corbel"/>
          <w:sz w:val="24"/>
          <w:szCs w:val="24"/>
        </w:rPr>
        <w:t xml:space="preserve">obre peticiones interpuestas de </w:t>
      </w:r>
      <w:r w:rsidRPr="00C72F1F">
        <w:rPr>
          <w:rFonts w:ascii="Bookman Old Style" w:hAnsi="Bookman Old Style" w:cs="Corbel"/>
          <w:sz w:val="24"/>
          <w:szCs w:val="24"/>
        </w:rPr>
        <w:t xml:space="preserve">acuerdo con la Declaración </w:t>
      </w:r>
      <w:r>
        <w:rPr>
          <w:rFonts w:ascii="Bookman Old Style" w:hAnsi="Bookman Old Style" w:cs="Corbel"/>
          <w:sz w:val="24"/>
          <w:szCs w:val="24"/>
        </w:rPr>
        <w:t xml:space="preserve">Americana por todos los Estados </w:t>
      </w:r>
      <w:r w:rsidRPr="00C72F1F">
        <w:rPr>
          <w:rFonts w:ascii="Bookman Old Style" w:hAnsi="Bookman Old Style" w:cs="Corbel"/>
          <w:sz w:val="24"/>
          <w:szCs w:val="24"/>
        </w:rPr>
        <w:t>miembros de la OEA. Esto hace qu</w:t>
      </w:r>
      <w:r>
        <w:rPr>
          <w:rFonts w:ascii="Bookman Old Style" w:hAnsi="Bookman Old Style" w:cs="Corbel"/>
          <w:sz w:val="24"/>
          <w:szCs w:val="24"/>
        </w:rPr>
        <w:t xml:space="preserve">e en casos en donde los eventos </w:t>
      </w:r>
      <w:r w:rsidRPr="00C72F1F">
        <w:rPr>
          <w:rFonts w:ascii="Bookman Old Style" w:hAnsi="Bookman Old Style" w:cs="Corbel"/>
          <w:sz w:val="24"/>
          <w:szCs w:val="24"/>
        </w:rPr>
        <w:t>se desarrollan a través del tiempo</w:t>
      </w:r>
      <w:r>
        <w:rPr>
          <w:rFonts w:ascii="Bookman Old Style" w:hAnsi="Bookman Old Style" w:cs="Corbel"/>
          <w:sz w:val="24"/>
          <w:szCs w:val="24"/>
        </w:rPr>
        <w:t xml:space="preserve"> en varias facetas, la Comisión </w:t>
      </w:r>
      <w:r w:rsidRPr="00C72F1F">
        <w:rPr>
          <w:rFonts w:ascii="Bookman Old Style" w:hAnsi="Bookman Old Style" w:cs="Corbel"/>
          <w:sz w:val="24"/>
          <w:szCs w:val="24"/>
        </w:rPr>
        <w:t>pueda tener una compe</w:t>
      </w:r>
      <w:r>
        <w:rPr>
          <w:rFonts w:ascii="Bookman Old Style" w:hAnsi="Bookman Old Style" w:cs="Corbel"/>
          <w:sz w:val="24"/>
          <w:szCs w:val="24"/>
        </w:rPr>
        <w:t xml:space="preserve">tencia diferenciada en el mismo </w:t>
      </w:r>
      <w:r w:rsidRPr="00C72F1F">
        <w:rPr>
          <w:rFonts w:ascii="Bookman Old Style" w:hAnsi="Bookman Old Style" w:cs="Corbel"/>
          <w:sz w:val="24"/>
          <w:szCs w:val="24"/>
        </w:rPr>
        <w:t>caso. Así, por ejemplo, e</w:t>
      </w:r>
      <w:r>
        <w:rPr>
          <w:rFonts w:ascii="Bookman Old Style" w:hAnsi="Bookman Old Style" w:cs="Corbel"/>
          <w:sz w:val="24"/>
          <w:szCs w:val="24"/>
        </w:rPr>
        <w:t xml:space="preserve">n casos relativos a ejecuciones </w:t>
      </w:r>
      <w:r w:rsidRPr="00C72F1F">
        <w:rPr>
          <w:rFonts w:ascii="Bookman Old Style" w:hAnsi="Bookman Old Style" w:cs="Corbel"/>
          <w:sz w:val="24"/>
          <w:szCs w:val="24"/>
        </w:rPr>
        <w:t>extrajudiciales encubiertas por</w:t>
      </w:r>
      <w:r>
        <w:rPr>
          <w:rFonts w:ascii="Bookman Old Style" w:hAnsi="Bookman Old Style" w:cs="Corbel"/>
          <w:sz w:val="24"/>
          <w:szCs w:val="24"/>
        </w:rPr>
        <w:t xml:space="preserve"> leyes de amnistía, la Comisión </w:t>
      </w:r>
      <w:r w:rsidRPr="00C72F1F">
        <w:rPr>
          <w:rFonts w:ascii="Bookman Old Style" w:hAnsi="Bookman Old Style" w:cs="Corbel"/>
          <w:sz w:val="24"/>
          <w:szCs w:val="24"/>
        </w:rPr>
        <w:t>consideró que los hechos relat</w:t>
      </w:r>
      <w:r>
        <w:rPr>
          <w:rFonts w:ascii="Bookman Old Style" w:hAnsi="Bookman Old Style" w:cs="Corbel"/>
          <w:sz w:val="24"/>
          <w:szCs w:val="24"/>
        </w:rPr>
        <w:t xml:space="preserve">ivos a la alegada denegación de </w:t>
      </w:r>
      <w:r w:rsidRPr="00C72F1F">
        <w:rPr>
          <w:rFonts w:ascii="Bookman Old Style" w:hAnsi="Bookman Old Style" w:cs="Corbel"/>
          <w:sz w:val="24"/>
          <w:szCs w:val="24"/>
        </w:rPr>
        <w:t xml:space="preserve">justicia caían bajo su jurisdicción bajo </w:t>
      </w:r>
      <w:r>
        <w:rPr>
          <w:rFonts w:ascii="Bookman Old Style" w:hAnsi="Bookman Old Style" w:cs="Corbel"/>
          <w:sz w:val="24"/>
          <w:szCs w:val="24"/>
        </w:rPr>
        <w:t xml:space="preserve">la Convención y la Declaración, </w:t>
      </w:r>
      <w:r w:rsidRPr="00C72F1F">
        <w:rPr>
          <w:rFonts w:ascii="Bookman Old Style" w:hAnsi="Bookman Old Style" w:cs="Corbel"/>
          <w:sz w:val="24"/>
          <w:szCs w:val="24"/>
        </w:rPr>
        <w:t>debido a que dichos</w:t>
      </w:r>
      <w:r>
        <w:rPr>
          <w:rFonts w:ascii="Bookman Old Style" w:hAnsi="Bookman Old Style" w:cs="Corbel"/>
          <w:sz w:val="24"/>
          <w:szCs w:val="24"/>
        </w:rPr>
        <w:t xml:space="preserve"> eventos ocurrieron tanto antes </w:t>
      </w:r>
      <w:r w:rsidRPr="00C72F1F">
        <w:rPr>
          <w:rFonts w:ascii="Bookman Old Style" w:hAnsi="Bookman Old Style" w:cs="Corbel"/>
          <w:sz w:val="24"/>
          <w:szCs w:val="24"/>
        </w:rPr>
        <w:t>como después de que el Esta</w:t>
      </w:r>
      <w:r>
        <w:rPr>
          <w:rFonts w:ascii="Bookman Old Style" w:hAnsi="Bookman Old Style" w:cs="Corbel"/>
          <w:sz w:val="24"/>
          <w:szCs w:val="24"/>
        </w:rPr>
        <w:t xml:space="preserve">do demandado hubiera ratificado </w:t>
      </w:r>
      <w:r w:rsidRPr="00C72F1F">
        <w:rPr>
          <w:rFonts w:ascii="Bookman Old Style" w:hAnsi="Bookman Old Style" w:cs="Corbel"/>
          <w:sz w:val="24"/>
          <w:szCs w:val="24"/>
        </w:rPr>
        <w:t xml:space="preserve">la Convención Americana.28 La </w:t>
      </w:r>
      <w:r>
        <w:rPr>
          <w:rFonts w:ascii="Bookman Old Style" w:hAnsi="Bookman Old Style" w:cs="Corbel"/>
          <w:sz w:val="24"/>
          <w:szCs w:val="24"/>
        </w:rPr>
        <w:t xml:space="preserve">Comisión también ha determinado </w:t>
      </w:r>
      <w:r w:rsidRPr="00C72F1F">
        <w:rPr>
          <w:rFonts w:ascii="Bookman Old Style" w:hAnsi="Bookman Old Style" w:cs="Corbel"/>
          <w:sz w:val="24"/>
          <w:szCs w:val="24"/>
        </w:rPr>
        <w:t>que la Declaración Americana se a</w:t>
      </w:r>
      <w:r>
        <w:rPr>
          <w:rFonts w:ascii="Bookman Old Style" w:hAnsi="Bookman Old Style" w:cs="Corbel"/>
          <w:sz w:val="24"/>
          <w:szCs w:val="24"/>
        </w:rPr>
        <w:t xml:space="preserve">plica a hechos </w:t>
      </w:r>
      <w:r w:rsidRPr="00C72F1F">
        <w:rPr>
          <w:rFonts w:ascii="Bookman Old Style" w:hAnsi="Bookman Old Style" w:cs="Corbel"/>
          <w:sz w:val="24"/>
          <w:szCs w:val="24"/>
        </w:rPr>
        <w:t>que anteceden la ratificación</w:t>
      </w:r>
      <w:r>
        <w:rPr>
          <w:rFonts w:ascii="Bookman Old Style" w:hAnsi="Bookman Old Style" w:cs="Corbel"/>
          <w:sz w:val="24"/>
          <w:szCs w:val="24"/>
        </w:rPr>
        <w:t xml:space="preserve"> de la Convención Americana por </w:t>
      </w:r>
      <w:r w:rsidRPr="00C72F1F">
        <w:rPr>
          <w:rFonts w:ascii="Bookman Old Style" w:hAnsi="Bookman Old Style" w:cs="Corbel"/>
          <w:sz w:val="24"/>
          <w:szCs w:val="24"/>
        </w:rPr>
        <w:t>parte del Estado involucrado.29</w:t>
      </w:r>
    </w:p>
    <w:p w:rsidR="00C72F1F" w:rsidRPr="00C72F1F" w:rsidRDefault="00C72F1F" w:rsidP="00C72F1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rbel"/>
          <w:sz w:val="24"/>
          <w:szCs w:val="24"/>
        </w:rPr>
      </w:pPr>
    </w:p>
    <w:p w:rsidR="00C72F1F" w:rsidRPr="00C72F1F" w:rsidRDefault="00C72F1F" w:rsidP="00C72F1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rbel"/>
          <w:sz w:val="24"/>
          <w:szCs w:val="24"/>
        </w:rPr>
      </w:pPr>
      <w:r w:rsidRPr="00C72F1F">
        <w:rPr>
          <w:rFonts w:ascii="Bookman Old Style" w:hAnsi="Bookman Old Style" w:cs="Corbel"/>
          <w:sz w:val="24"/>
          <w:szCs w:val="24"/>
        </w:rPr>
        <w:t xml:space="preserve">Sin embargo, en cuanto a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ratione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temporis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, </w:t>
      </w:r>
      <w:r>
        <w:rPr>
          <w:rFonts w:ascii="Bookman Old Style" w:hAnsi="Bookman Old Style" w:cs="Corbel"/>
          <w:sz w:val="24"/>
          <w:szCs w:val="24"/>
        </w:rPr>
        <w:t xml:space="preserve">el gran tema </w:t>
      </w:r>
      <w:r w:rsidRPr="00C72F1F">
        <w:rPr>
          <w:rFonts w:ascii="Bookman Old Style" w:hAnsi="Bookman Old Style" w:cs="Corbel"/>
          <w:sz w:val="24"/>
          <w:szCs w:val="24"/>
        </w:rPr>
        <w:t>desarrollado en el Sistema Int</w:t>
      </w:r>
      <w:r>
        <w:rPr>
          <w:rFonts w:ascii="Bookman Old Style" w:hAnsi="Bookman Old Style" w:cs="Corbel"/>
          <w:sz w:val="24"/>
          <w:szCs w:val="24"/>
        </w:rPr>
        <w:t xml:space="preserve">eramericano de Derechos Humanos </w:t>
      </w:r>
      <w:r w:rsidRPr="00C72F1F">
        <w:rPr>
          <w:rFonts w:ascii="Bookman Old Style" w:hAnsi="Bookman Old Style" w:cs="Corbel"/>
          <w:sz w:val="24"/>
          <w:szCs w:val="24"/>
        </w:rPr>
        <w:t>tiene relación con las v</w:t>
      </w:r>
      <w:r>
        <w:rPr>
          <w:rFonts w:ascii="Bookman Old Style" w:hAnsi="Bookman Old Style" w:cs="Corbel"/>
          <w:sz w:val="24"/>
          <w:szCs w:val="24"/>
        </w:rPr>
        <w:t xml:space="preserve">iolaciones continuadas, como lo </w:t>
      </w:r>
      <w:r w:rsidRPr="00C72F1F">
        <w:rPr>
          <w:rFonts w:ascii="Bookman Old Style" w:hAnsi="Bookman Old Style" w:cs="Corbel"/>
          <w:sz w:val="24"/>
          <w:szCs w:val="24"/>
        </w:rPr>
        <w:t xml:space="preserve">serían los casos de desaparición </w:t>
      </w:r>
      <w:r>
        <w:rPr>
          <w:rFonts w:ascii="Bookman Old Style" w:hAnsi="Bookman Old Style" w:cs="Corbel"/>
          <w:sz w:val="24"/>
          <w:szCs w:val="24"/>
        </w:rPr>
        <w:t xml:space="preserve">forzada y los casos relativos a </w:t>
      </w:r>
      <w:r w:rsidRPr="00C72F1F">
        <w:rPr>
          <w:rFonts w:ascii="Bookman Old Style" w:hAnsi="Bookman Old Style" w:cs="Corbel"/>
          <w:sz w:val="24"/>
          <w:szCs w:val="24"/>
        </w:rPr>
        <w:t xml:space="preserve">la falta de acceso a la justicia. Así, </w:t>
      </w:r>
      <w:r>
        <w:rPr>
          <w:rFonts w:ascii="Bookman Old Style" w:hAnsi="Bookman Old Style" w:cs="Corbel"/>
          <w:sz w:val="24"/>
          <w:szCs w:val="24"/>
        </w:rPr>
        <w:t xml:space="preserve">en varias ocasiones la Comisión </w:t>
      </w:r>
      <w:r w:rsidRPr="00C72F1F">
        <w:rPr>
          <w:rFonts w:ascii="Bookman Old Style" w:hAnsi="Bookman Old Style" w:cs="Corbel"/>
          <w:sz w:val="24"/>
          <w:szCs w:val="24"/>
        </w:rPr>
        <w:t>y la Corte Interamer</w:t>
      </w:r>
      <w:r>
        <w:rPr>
          <w:rFonts w:ascii="Bookman Old Style" w:hAnsi="Bookman Old Style" w:cs="Corbel"/>
          <w:sz w:val="24"/>
          <w:szCs w:val="24"/>
        </w:rPr>
        <w:t xml:space="preserve">icana han tenido la oportunidad </w:t>
      </w:r>
      <w:r w:rsidRPr="00C72F1F">
        <w:rPr>
          <w:rFonts w:ascii="Bookman Old Style" w:hAnsi="Bookman Old Style" w:cs="Corbel"/>
          <w:sz w:val="24"/>
          <w:szCs w:val="24"/>
        </w:rPr>
        <w:t>de entender las múltiples y v</w:t>
      </w:r>
      <w:r>
        <w:rPr>
          <w:rFonts w:ascii="Bookman Old Style" w:hAnsi="Bookman Old Style" w:cs="Corbel"/>
          <w:sz w:val="24"/>
          <w:szCs w:val="24"/>
        </w:rPr>
        <w:t xml:space="preserve">ariadas consecuencias de graves </w:t>
      </w:r>
      <w:r w:rsidRPr="00C72F1F">
        <w:rPr>
          <w:rFonts w:ascii="Bookman Old Style" w:hAnsi="Bookman Old Style" w:cs="Corbel"/>
          <w:sz w:val="24"/>
          <w:szCs w:val="24"/>
        </w:rPr>
        <w:t xml:space="preserve">violaciones </w:t>
      </w:r>
      <w:proofErr w:type="spellStart"/>
      <w:r w:rsidRPr="00C72F1F">
        <w:rPr>
          <w:rFonts w:ascii="Bookman Old Style" w:hAnsi="Bookman Old Style" w:cs="Corbel"/>
          <w:sz w:val="24"/>
          <w:szCs w:val="24"/>
        </w:rPr>
        <w:t>pluriofensivas</w:t>
      </w:r>
      <w:proofErr w:type="spellEnd"/>
      <w:r w:rsidRPr="00C72F1F">
        <w:rPr>
          <w:rFonts w:ascii="Bookman Old Style" w:hAnsi="Bookman Old Style" w:cs="Corbel"/>
          <w:sz w:val="24"/>
          <w:szCs w:val="24"/>
        </w:rPr>
        <w:t xml:space="preserve"> a trav</w:t>
      </w:r>
      <w:r>
        <w:rPr>
          <w:rFonts w:ascii="Bookman Old Style" w:hAnsi="Bookman Old Style" w:cs="Corbel"/>
          <w:sz w:val="24"/>
          <w:szCs w:val="24"/>
        </w:rPr>
        <w:t xml:space="preserve">és del tiempo. En este sentido, </w:t>
      </w:r>
      <w:r w:rsidRPr="00C72F1F">
        <w:rPr>
          <w:rFonts w:ascii="Bookman Old Style" w:hAnsi="Bookman Old Style" w:cs="Corbel"/>
          <w:sz w:val="24"/>
          <w:szCs w:val="24"/>
        </w:rPr>
        <w:t xml:space="preserve">siguiendo el precedente del </w:t>
      </w:r>
      <w:r w:rsidRPr="00C72F1F">
        <w:rPr>
          <w:rFonts w:ascii="Bookman Old Style" w:hAnsi="Bookman Old Style" w:cs="Corbel-Italic"/>
          <w:i/>
          <w:iCs/>
          <w:sz w:val="24"/>
          <w:szCs w:val="24"/>
        </w:rPr>
        <w:t>Caso Velásquez Rodríguez</w:t>
      </w:r>
      <w:r>
        <w:rPr>
          <w:rFonts w:ascii="Bookman Old Style" w:hAnsi="Bookman Old Style" w:cs="Corbel"/>
          <w:sz w:val="24"/>
          <w:szCs w:val="24"/>
        </w:rPr>
        <w:t xml:space="preserve">, </w:t>
      </w:r>
      <w:r w:rsidRPr="00C72F1F">
        <w:rPr>
          <w:rFonts w:ascii="Bookman Old Style" w:hAnsi="Bookman Old Style" w:cs="Corbel"/>
          <w:sz w:val="24"/>
          <w:szCs w:val="24"/>
        </w:rPr>
        <w:t>la jurisprudencia en el Sis</w:t>
      </w:r>
      <w:r>
        <w:rPr>
          <w:rFonts w:ascii="Bookman Old Style" w:hAnsi="Bookman Old Style" w:cs="Corbel"/>
          <w:sz w:val="24"/>
          <w:szCs w:val="24"/>
        </w:rPr>
        <w:t xml:space="preserve">tema Interamericano últimamente </w:t>
      </w:r>
      <w:r w:rsidRPr="00C72F1F">
        <w:rPr>
          <w:rFonts w:ascii="Bookman Old Style" w:hAnsi="Bookman Old Style" w:cs="Corbel"/>
          <w:sz w:val="24"/>
          <w:szCs w:val="24"/>
        </w:rPr>
        <w:t>ha ampliado, con base en el derech</w:t>
      </w:r>
      <w:r>
        <w:rPr>
          <w:rFonts w:ascii="Bookman Old Style" w:hAnsi="Bookman Old Style" w:cs="Corbel"/>
          <w:sz w:val="24"/>
          <w:szCs w:val="24"/>
        </w:rPr>
        <w:t xml:space="preserve">o internacional de los derechos </w:t>
      </w:r>
      <w:r w:rsidRPr="00C72F1F">
        <w:rPr>
          <w:rFonts w:ascii="Bookman Old Style" w:hAnsi="Bookman Old Style" w:cs="Corbel"/>
          <w:sz w:val="24"/>
          <w:szCs w:val="24"/>
        </w:rPr>
        <w:t>humanos, la base de</w:t>
      </w:r>
      <w:r>
        <w:rPr>
          <w:rFonts w:ascii="Bookman Old Style" w:hAnsi="Bookman Old Style" w:cs="Corbel"/>
          <w:sz w:val="24"/>
          <w:szCs w:val="24"/>
        </w:rPr>
        <w:t xml:space="preserve"> violaciones a derechos humanos </w:t>
      </w:r>
      <w:r w:rsidRPr="00C72F1F">
        <w:rPr>
          <w:rFonts w:ascii="Bookman Old Style" w:hAnsi="Bookman Old Style" w:cs="Corbel"/>
          <w:sz w:val="24"/>
          <w:szCs w:val="24"/>
        </w:rPr>
        <w:t>que pueden ser reconocidas como continuas.30</w:t>
      </w:r>
    </w:p>
    <w:p w:rsidR="00C72F1F" w:rsidRPr="00C72F1F" w:rsidRDefault="00C72F1F" w:rsidP="00C72F1F">
      <w:pPr>
        <w:jc w:val="both"/>
        <w:rPr>
          <w:rFonts w:ascii="Bookman Old Style" w:hAnsi="Bookman Old Style" w:cs="Corbel"/>
          <w:sz w:val="24"/>
          <w:szCs w:val="24"/>
        </w:rPr>
      </w:pPr>
    </w:p>
    <w:p w:rsidR="00C72F1F" w:rsidRPr="00C72F1F" w:rsidRDefault="00C72F1F" w:rsidP="00C72F1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rbel"/>
          <w:sz w:val="24"/>
          <w:szCs w:val="24"/>
        </w:rPr>
      </w:pPr>
      <w:r w:rsidRPr="00C72F1F">
        <w:rPr>
          <w:rFonts w:ascii="Bookman Old Style" w:hAnsi="Bookman Old Style" w:cs="Corbel"/>
          <w:sz w:val="24"/>
          <w:szCs w:val="24"/>
        </w:rPr>
        <w:lastRenderedPageBreak/>
        <w:t xml:space="preserve">Finalmente, en lo que respecta a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ratione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 </w:t>
      </w:r>
      <w:proofErr w:type="spellStart"/>
      <w:r w:rsidRPr="00C72F1F">
        <w:rPr>
          <w:rFonts w:ascii="Bookman Old Style" w:hAnsi="Bookman Old Style" w:cs="Corbel-Italic"/>
          <w:i/>
          <w:iCs/>
          <w:sz w:val="24"/>
          <w:szCs w:val="24"/>
        </w:rPr>
        <w:t>materiae</w:t>
      </w:r>
      <w:proofErr w:type="spellEnd"/>
      <w:r w:rsidRPr="00C72F1F">
        <w:rPr>
          <w:rFonts w:ascii="Bookman Old Style" w:hAnsi="Bookman Old Style" w:cs="Corbel-Italic"/>
          <w:i/>
          <w:iCs/>
          <w:sz w:val="24"/>
          <w:szCs w:val="24"/>
        </w:rPr>
        <w:t xml:space="preserve"> </w:t>
      </w:r>
      <w:r>
        <w:rPr>
          <w:rFonts w:ascii="Bookman Old Style" w:hAnsi="Bookman Old Style" w:cs="Corbel"/>
          <w:sz w:val="24"/>
          <w:szCs w:val="24"/>
        </w:rPr>
        <w:t xml:space="preserve">la Comisión </w:t>
      </w:r>
      <w:r w:rsidRPr="00C72F1F">
        <w:rPr>
          <w:rFonts w:ascii="Bookman Old Style" w:hAnsi="Bookman Old Style" w:cs="Corbel"/>
          <w:sz w:val="24"/>
          <w:szCs w:val="24"/>
        </w:rPr>
        <w:t>sólo puede conocer de vio</w:t>
      </w:r>
      <w:r>
        <w:rPr>
          <w:rFonts w:ascii="Bookman Old Style" w:hAnsi="Bookman Old Style" w:cs="Corbel"/>
          <w:sz w:val="24"/>
          <w:szCs w:val="24"/>
        </w:rPr>
        <w:t xml:space="preserve">laciones a los derechos humanos </w:t>
      </w:r>
      <w:r w:rsidRPr="00C72F1F">
        <w:rPr>
          <w:rFonts w:ascii="Bookman Old Style" w:hAnsi="Bookman Old Style" w:cs="Corbel"/>
          <w:sz w:val="24"/>
          <w:szCs w:val="24"/>
        </w:rPr>
        <w:t>consagrados en la Conven</w:t>
      </w:r>
      <w:r>
        <w:rPr>
          <w:rFonts w:ascii="Bookman Old Style" w:hAnsi="Bookman Old Style" w:cs="Corbel"/>
          <w:sz w:val="24"/>
          <w:szCs w:val="24"/>
        </w:rPr>
        <w:t xml:space="preserve">ción Americana o la Declaración </w:t>
      </w:r>
      <w:r w:rsidRPr="00C72F1F">
        <w:rPr>
          <w:rFonts w:ascii="Bookman Old Style" w:hAnsi="Bookman Old Style" w:cs="Corbel"/>
          <w:sz w:val="24"/>
          <w:szCs w:val="24"/>
        </w:rPr>
        <w:t>Americana, según sea el cas</w:t>
      </w:r>
      <w:r>
        <w:rPr>
          <w:rFonts w:ascii="Bookman Old Style" w:hAnsi="Bookman Old Style" w:cs="Corbel"/>
          <w:sz w:val="24"/>
          <w:szCs w:val="24"/>
        </w:rPr>
        <w:t xml:space="preserve">o, o algún otro instrumento del </w:t>
      </w:r>
      <w:r w:rsidRPr="00C72F1F">
        <w:rPr>
          <w:rFonts w:ascii="Bookman Old Style" w:hAnsi="Bookman Old Style" w:cs="Corbel"/>
          <w:sz w:val="24"/>
          <w:szCs w:val="24"/>
        </w:rPr>
        <w:t>Sistema Interamericano que le dote de esta competencia,</w:t>
      </w:r>
      <w:r>
        <w:rPr>
          <w:rFonts w:ascii="Bookman Old Style" w:hAnsi="Bookman Old Style" w:cs="Corbel"/>
          <w:sz w:val="24"/>
          <w:szCs w:val="24"/>
        </w:rPr>
        <w:t>31</w:t>
      </w:r>
      <w:r w:rsidRPr="00C72F1F">
        <w:rPr>
          <w:rFonts w:ascii="Bookman Old Style" w:hAnsi="Bookman Old Style" w:cs="Corbel"/>
          <w:sz w:val="24"/>
          <w:szCs w:val="24"/>
        </w:rPr>
        <w:t xml:space="preserve">por lo que la Comisión no </w:t>
      </w:r>
      <w:r>
        <w:rPr>
          <w:rFonts w:ascii="Bookman Old Style" w:hAnsi="Bookman Old Style" w:cs="Corbel"/>
          <w:sz w:val="24"/>
          <w:szCs w:val="24"/>
        </w:rPr>
        <w:t xml:space="preserve">puede actuar como una instancia </w:t>
      </w:r>
      <w:r w:rsidRPr="00C72F1F">
        <w:rPr>
          <w:rFonts w:ascii="Bookman Old Style" w:hAnsi="Bookman Old Style" w:cs="Corbel"/>
          <w:sz w:val="24"/>
          <w:szCs w:val="24"/>
        </w:rPr>
        <w:t>civil, penal, laboral, mercanti</w:t>
      </w:r>
      <w:r>
        <w:rPr>
          <w:rFonts w:ascii="Bookman Old Style" w:hAnsi="Bookman Old Style" w:cs="Corbel"/>
          <w:sz w:val="24"/>
          <w:szCs w:val="24"/>
        </w:rPr>
        <w:t xml:space="preserve">l ni de ningún otro tipo que no </w:t>
      </w:r>
      <w:r w:rsidRPr="00C72F1F">
        <w:rPr>
          <w:rFonts w:ascii="Bookman Old Style" w:hAnsi="Bookman Old Style" w:cs="Corbel"/>
          <w:sz w:val="24"/>
          <w:szCs w:val="24"/>
        </w:rPr>
        <w:t xml:space="preserve">tenga que ver con los derechos humanos.32 </w:t>
      </w:r>
      <w:r>
        <w:rPr>
          <w:rFonts w:ascii="Bookman Old Style" w:hAnsi="Bookman Old Style" w:cs="Corbel"/>
          <w:sz w:val="24"/>
          <w:szCs w:val="24"/>
        </w:rPr>
        <w:t xml:space="preserve">Aunque claro, hay </w:t>
      </w:r>
      <w:r w:rsidRPr="00C72F1F">
        <w:rPr>
          <w:rFonts w:ascii="Bookman Old Style" w:hAnsi="Bookman Old Style" w:cs="Corbel"/>
          <w:sz w:val="24"/>
          <w:szCs w:val="24"/>
        </w:rPr>
        <w:t>que tomar en cuenta que algunos lit</w:t>
      </w:r>
      <w:r>
        <w:rPr>
          <w:rFonts w:ascii="Bookman Old Style" w:hAnsi="Bookman Old Style" w:cs="Corbel"/>
          <w:sz w:val="24"/>
          <w:szCs w:val="24"/>
        </w:rPr>
        <w:t xml:space="preserve">igios de otras materias podrían devenir </w:t>
      </w:r>
      <w:r w:rsidRPr="00C72F1F">
        <w:rPr>
          <w:rFonts w:ascii="Bookman Old Style" w:hAnsi="Bookman Old Style" w:cs="Corbel"/>
          <w:sz w:val="24"/>
          <w:szCs w:val="24"/>
        </w:rPr>
        <w:t>eventualmente en un tema de derechos humanos.</w:t>
      </w:r>
    </w:p>
    <w:sectPr w:rsidR="00C72F1F" w:rsidRPr="00C72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05"/>
    <w:rsid w:val="003615CF"/>
    <w:rsid w:val="00914C21"/>
    <w:rsid w:val="009C1005"/>
    <w:rsid w:val="00AF58A1"/>
    <w:rsid w:val="00C72F1F"/>
    <w:rsid w:val="00EC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temporal usuario1</dc:creator>
  <cp:keywords/>
  <dc:description/>
  <cp:lastModifiedBy>temporal usuario1</cp:lastModifiedBy>
  <cp:revision>5</cp:revision>
  <dcterms:created xsi:type="dcterms:W3CDTF">2016-07-19T20:28:00Z</dcterms:created>
  <dcterms:modified xsi:type="dcterms:W3CDTF">2016-07-19T21:03:00Z</dcterms:modified>
</cp:coreProperties>
</file>