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E1" w:rsidRPr="006B7455" w:rsidRDefault="004411E1" w:rsidP="004411E1">
      <w:pPr>
        <w:pStyle w:val="Ttulo1"/>
        <w:spacing w:before="0" w:line="360" w:lineRule="auto"/>
        <w:jc w:val="both"/>
        <w:rPr>
          <w:rFonts w:eastAsia="BatangChe"/>
          <w:szCs w:val="24"/>
          <w:lang w:eastAsia="es-ES"/>
        </w:rPr>
      </w:pPr>
      <w:bookmarkStart w:id="0" w:name="_GoBack"/>
      <w:bookmarkEnd w:id="0"/>
      <w:r w:rsidRPr="006B7455">
        <w:rPr>
          <w:rFonts w:eastAsia="BatangChe"/>
          <w:szCs w:val="24"/>
          <w:lang w:eastAsia="es-ES"/>
        </w:rPr>
        <w:t>Proceso de creación del SIDH. Evolución histórica</w:t>
      </w:r>
    </w:p>
    <w:p w:rsidR="004411E1" w:rsidRPr="006B7455" w:rsidRDefault="004411E1" w:rsidP="004411E1">
      <w:pPr>
        <w:spacing w:after="0" w:line="360" w:lineRule="auto"/>
        <w:jc w:val="both"/>
        <w:rPr>
          <w:rFonts w:ascii="Bookman Old Style" w:eastAsia="BatangChe" w:hAnsi="Bookman Old Style" w:cs="Times New Roman"/>
          <w:sz w:val="24"/>
          <w:szCs w:val="24"/>
          <w:lang w:eastAsia="es-ES"/>
        </w:rPr>
      </w:pPr>
    </w:p>
    <w:p w:rsidR="004411E1" w:rsidRPr="006B7455" w:rsidRDefault="004411E1" w:rsidP="004411E1">
      <w:pPr>
        <w:autoSpaceDE w:val="0"/>
        <w:autoSpaceDN w:val="0"/>
        <w:adjustRightInd w:val="0"/>
        <w:spacing w:after="0" w:line="360" w:lineRule="auto"/>
        <w:jc w:val="both"/>
        <w:rPr>
          <w:rFonts w:ascii="Bookman Old Style" w:eastAsia="BatangChe" w:hAnsi="Bookman Old Style" w:cs="AGaramondPro-Regular"/>
          <w:sz w:val="24"/>
          <w:szCs w:val="24"/>
        </w:rPr>
      </w:pPr>
      <w:r w:rsidRPr="006B7455">
        <w:rPr>
          <w:rFonts w:ascii="Bookman Old Style" w:eastAsia="BatangChe" w:hAnsi="Bookman Old Style" w:cs="Times New Roman"/>
          <w:sz w:val="24"/>
          <w:szCs w:val="24"/>
        </w:rPr>
        <w:t xml:space="preserve">El punto de partida histórico de la formación del Sistema Interamericano de Protección a Derechos Humanos, que depende de la Organización de Estados Americanos (OEA), se ubica en </w:t>
      </w:r>
      <w:r w:rsidRPr="006B7455">
        <w:rPr>
          <w:rFonts w:ascii="Bookman Old Style" w:eastAsia="BatangChe" w:hAnsi="Bookman Old Style" w:cs="Times New Roman"/>
          <w:sz w:val="24"/>
          <w:szCs w:val="24"/>
          <w:lang w:eastAsia="es-ES"/>
        </w:rPr>
        <w:t xml:space="preserve">1948, durante la celebración de la </w:t>
      </w:r>
      <w:r w:rsidRPr="006B7455">
        <w:rPr>
          <w:rFonts w:ascii="Bookman Old Style" w:eastAsia="BatangChe" w:hAnsi="Bookman Old Style" w:cs="AGaramondPro-Regular"/>
          <w:sz w:val="24"/>
          <w:szCs w:val="24"/>
        </w:rPr>
        <w:t xml:space="preserve">IX Conferencia Internacional Americana, desarrollada </w:t>
      </w:r>
      <w:r w:rsidRPr="006B7455">
        <w:rPr>
          <w:rFonts w:ascii="Bookman Old Style" w:eastAsia="BatangChe" w:hAnsi="Bookman Old Style" w:cs="Times New Roman"/>
          <w:sz w:val="24"/>
          <w:szCs w:val="24"/>
          <w:lang w:eastAsia="es-ES"/>
        </w:rPr>
        <w:t xml:space="preserve">en Bogotá, donde </w:t>
      </w:r>
      <w:r w:rsidRPr="006B7455">
        <w:rPr>
          <w:rFonts w:ascii="Bookman Old Style" w:eastAsia="BatangChe" w:hAnsi="Bookman Old Style" w:cs="AGaramondPro-Regular"/>
          <w:sz w:val="24"/>
          <w:szCs w:val="24"/>
        </w:rPr>
        <w:t xml:space="preserve">veintiún Estados del continente suscribieron la </w:t>
      </w:r>
      <w:r w:rsidRPr="006B7455">
        <w:rPr>
          <w:rFonts w:ascii="Bookman Old Style" w:eastAsia="BatangChe" w:hAnsi="Bookman Old Style" w:cs="AGaramondPro-Semibold"/>
          <w:sz w:val="24"/>
          <w:szCs w:val="24"/>
        </w:rPr>
        <w:t>Carta de la Organización de los Estados Americanos,</w:t>
      </w:r>
      <w:r w:rsidRPr="006B7455">
        <w:rPr>
          <w:rStyle w:val="Refdenotaalpie"/>
          <w:rFonts w:ascii="Bookman Old Style" w:eastAsia="BatangChe" w:hAnsi="Bookman Old Style" w:cs="AGaramondPro-Semibold"/>
          <w:sz w:val="24"/>
          <w:szCs w:val="24"/>
        </w:rPr>
        <w:footnoteReference w:id="1"/>
      </w:r>
      <w:r w:rsidRPr="006B7455">
        <w:rPr>
          <w:rFonts w:ascii="Bookman Old Style" w:eastAsia="BatangChe" w:hAnsi="Bookman Old Style" w:cs="AGaramondPro-Regular"/>
          <w:sz w:val="24"/>
          <w:szCs w:val="24"/>
        </w:rPr>
        <w:t xml:space="preserve"> </w:t>
      </w:r>
      <w:r w:rsidRPr="006B7455">
        <w:rPr>
          <w:rFonts w:ascii="Bookman Old Style" w:eastAsia="BatangChe" w:hAnsi="Bookman Old Style" w:cs="Times-Roman"/>
          <w:sz w:val="24"/>
          <w:szCs w:val="24"/>
        </w:rPr>
        <w:t>primera fuente jurídica del sistema, con el propósito de “</w:t>
      </w:r>
      <w:r w:rsidRPr="006B7455">
        <w:rPr>
          <w:rFonts w:ascii="Bookman Old Style" w:eastAsia="BatangChe" w:hAnsi="Bookman Old Style" w:cs="AGaramondPro-Regular"/>
          <w:sz w:val="24"/>
          <w:szCs w:val="24"/>
        </w:rPr>
        <w:t>consolidar, dentro del marco de las instituciones democráticas, un régimen de libertad individual y de justicia social, fundado en el respeto de los derechos esenciales del hombre”.</w:t>
      </w:r>
      <w:r w:rsidRPr="006B7455">
        <w:rPr>
          <w:rFonts w:ascii="Bookman Old Style" w:eastAsia="BatangChe" w:hAnsi="Bookman Old Style" w:cs="AGaramondPro-Regular"/>
          <w:sz w:val="24"/>
          <w:szCs w:val="24"/>
          <w:vertAlign w:val="superscript"/>
        </w:rPr>
        <w:footnoteReference w:id="2"/>
      </w:r>
      <w:r w:rsidRPr="006B7455">
        <w:rPr>
          <w:rFonts w:ascii="Bookman Old Style" w:eastAsia="BatangChe" w:hAnsi="Bookman Old Style" w:cs="AGaramondPro-Regular"/>
          <w:sz w:val="24"/>
          <w:szCs w:val="24"/>
          <w:vertAlign w:val="superscript"/>
        </w:rPr>
        <w:t xml:space="preserve"> </w:t>
      </w:r>
    </w:p>
    <w:p w:rsidR="004411E1" w:rsidRPr="006B7455" w:rsidRDefault="004411E1" w:rsidP="004411E1">
      <w:pPr>
        <w:autoSpaceDE w:val="0"/>
        <w:autoSpaceDN w:val="0"/>
        <w:adjustRightInd w:val="0"/>
        <w:spacing w:after="0" w:line="360" w:lineRule="auto"/>
        <w:jc w:val="both"/>
        <w:rPr>
          <w:rFonts w:ascii="Bookman Old Style" w:eastAsia="BatangChe" w:hAnsi="Bookman Old Style" w:cs="AGaramondPro-Regular"/>
          <w:sz w:val="24"/>
          <w:szCs w:val="24"/>
        </w:rPr>
      </w:pPr>
    </w:p>
    <w:p w:rsidR="004411E1" w:rsidRPr="006B7455" w:rsidRDefault="004411E1" w:rsidP="004411E1">
      <w:pPr>
        <w:autoSpaceDE w:val="0"/>
        <w:autoSpaceDN w:val="0"/>
        <w:adjustRightInd w:val="0"/>
        <w:spacing w:after="0" w:line="360" w:lineRule="auto"/>
        <w:jc w:val="both"/>
        <w:rPr>
          <w:rFonts w:ascii="Bookman Old Style" w:eastAsia="BatangChe" w:hAnsi="Bookman Old Style" w:cs="Times New Roman"/>
          <w:sz w:val="24"/>
          <w:szCs w:val="24"/>
          <w:lang w:eastAsia="es-ES"/>
        </w:rPr>
      </w:pPr>
      <w:r w:rsidRPr="006B7455">
        <w:rPr>
          <w:rFonts w:ascii="Bookman Old Style" w:eastAsia="BatangChe" w:hAnsi="Bookman Old Style" w:cs="AGaramondPro-Regular"/>
          <w:sz w:val="24"/>
          <w:szCs w:val="24"/>
        </w:rPr>
        <w:t xml:space="preserve">En el marco de la IX Conferencia Internacional Americana, el 2 de mayo de 1948, las mismas naciones firmaron la </w:t>
      </w:r>
      <w:r w:rsidRPr="006B7455">
        <w:rPr>
          <w:rFonts w:ascii="Bookman Old Style" w:eastAsia="BatangChe" w:hAnsi="Bookman Old Style" w:cs="AGaramondPro-Semibold"/>
          <w:sz w:val="24"/>
          <w:szCs w:val="24"/>
        </w:rPr>
        <w:t>Declaración Americana de los Derechos y Deberes del Hombre</w:t>
      </w:r>
      <w:r w:rsidRPr="006B7455">
        <w:rPr>
          <w:rFonts w:ascii="Bookman Old Style" w:eastAsia="BatangChe" w:hAnsi="Bookman Old Style" w:cs="AGaramondPro-Regular"/>
          <w:sz w:val="24"/>
          <w:szCs w:val="24"/>
        </w:rPr>
        <w:t>,</w:t>
      </w:r>
      <w:r w:rsidRPr="006B7455">
        <w:rPr>
          <w:rStyle w:val="Refdenotaalpie"/>
          <w:rFonts w:ascii="Bookman Old Style" w:eastAsia="BatangChe" w:hAnsi="Bookman Old Style" w:cs="AGaramondPro-Regular"/>
          <w:sz w:val="24"/>
          <w:szCs w:val="24"/>
        </w:rPr>
        <w:footnoteReference w:id="3"/>
      </w:r>
      <w:r w:rsidRPr="006B7455">
        <w:rPr>
          <w:rFonts w:ascii="Bookman Old Style" w:eastAsia="BatangChe" w:hAnsi="Bookman Old Style" w:cs="AGaramondPro-Regular"/>
          <w:sz w:val="24"/>
          <w:szCs w:val="24"/>
        </w:rPr>
        <w:t xml:space="preserve"> que antecedió en siete meses a la Declaración Universal </w:t>
      </w:r>
      <w:r w:rsidRPr="006B7455">
        <w:rPr>
          <w:rFonts w:ascii="Bookman Old Style" w:eastAsia="BatangChe" w:hAnsi="Bookman Old Style" w:cs="TimesNewRoman"/>
          <w:sz w:val="24"/>
          <w:szCs w:val="24"/>
        </w:rPr>
        <w:t>de los Derechos Humanos, adoptada por la Asamblea General de las Naciones Unidas el 10 de diciembre de 1948.</w:t>
      </w:r>
      <w:r w:rsidRPr="006B7455">
        <w:rPr>
          <w:rStyle w:val="Refdenotaalpie"/>
          <w:rFonts w:ascii="Bookman Old Style" w:eastAsia="BatangChe" w:hAnsi="Bookman Old Style" w:cs="TimesNewRoman"/>
          <w:sz w:val="24"/>
          <w:szCs w:val="24"/>
        </w:rPr>
        <w:footnoteReference w:id="4"/>
      </w:r>
      <w:r w:rsidRPr="006B7455">
        <w:rPr>
          <w:rFonts w:ascii="Bookman Old Style" w:eastAsia="BatangChe" w:hAnsi="Bookman Old Style" w:cs="AGaramondPro-Regular"/>
          <w:sz w:val="24"/>
          <w:szCs w:val="24"/>
        </w:rPr>
        <w:t xml:space="preserve"> </w:t>
      </w:r>
      <w:r w:rsidRPr="006B7455">
        <w:rPr>
          <w:rFonts w:ascii="Bookman Old Style" w:eastAsia="BatangChe" w:hAnsi="Bookman Old Style" w:cs="Times New Roman"/>
          <w:sz w:val="24"/>
          <w:szCs w:val="24"/>
          <w:lang w:eastAsia="es-ES"/>
        </w:rPr>
        <w:t xml:space="preserve">La adopción de esta Declaración se constituyó en el primer instrumento internacional de carácter general, que contenía una visión integral de los derechos humanos tanto </w:t>
      </w:r>
      <w:r w:rsidRPr="006B7455">
        <w:rPr>
          <w:rFonts w:ascii="Bookman Old Style" w:eastAsia="BatangChe" w:hAnsi="Bookman Old Style" w:cs="Times New Roman"/>
          <w:sz w:val="24"/>
          <w:szCs w:val="24"/>
        </w:rPr>
        <w:t>civiles, políticos, económicos, sociales y culturales.</w:t>
      </w:r>
      <w:r w:rsidRPr="006B7455">
        <w:rPr>
          <w:rStyle w:val="Refdenotaalpie"/>
          <w:rFonts w:ascii="Bookman Old Style" w:eastAsia="BatangChe" w:hAnsi="Bookman Old Style" w:cs="Times New Roman"/>
          <w:sz w:val="24"/>
          <w:szCs w:val="24"/>
        </w:rPr>
        <w:footnoteReference w:id="5"/>
      </w:r>
      <w:r w:rsidRPr="006B7455">
        <w:rPr>
          <w:rFonts w:ascii="Bookman Old Style" w:eastAsia="BatangChe" w:hAnsi="Bookman Old Style" w:cs="Times New Roman"/>
          <w:sz w:val="24"/>
          <w:szCs w:val="24"/>
          <w:lang w:eastAsia="es-ES"/>
        </w:rPr>
        <w:t xml:space="preserve">   </w:t>
      </w:r>
    </w:p>
    <w:p w:rsidR="004411E1" w:rsidRPr="006B7455" w:rsidRDefault="004411E1" w:rsidP="004411E1">
      <w:pPr>
        <w:spacing w:after="0" w:line="360" w:lineRule="auto"/>
        <w:jc w:val="both"/>
        <w:rPr>
          <w:rFonts w:ascii="Bookman Old Style" w:eastAsia="BatangChe" w:hAnsi="Bookman Old Style" w:cs="Times New Roman"/>
          <w:sz w:val="24"/>
          <w:szCs w:val="24"/>
          <w:lang w:eastAsia="es-ES"/>
        </w:rPr>
      </w:pPr>
    </w:p>
    <w:p w:rsidR="004411E1" w:rsidRPr="006B7455" w:rsidRDefault="004411E1" w:rsidP="004411E1">
      <w:pPr>
        <w:autoSpaceDE w:val="0"/>
        <w:autoSpaceDN w:val="0"/>
        <w:adjustRightInd w:val="0"/>
        <w:spacing w:after="0" w:line="360" w:lineRule="auto"/>
        <w:jc w:val="both"/>
        <w:rPr>
          <w:rFonts w:ascii="Bookman Old Style" w:eastAsia="BatangChe" w:hAnsi="Bookman Old Style" w:cs="Times New Roman"/>
          <w:sz w:val="24"/>
          <w:szCs w:val="24"/>
          <w:lang w:eastAsia="es-ES"/>
        </w:rPr>
      </w:pPr>
      <w:r w:rsidRPr="006B7455">
        <w:rPr>
          <w:rFonts w:ascii="Bookman Old Style" w:eastAsia="BatangChe" w:hAnsi="Bookman Old Style" w:cs="Times New Roman"/>
          <w:sz w:val="24"/>
          <w:szCs w:val="24"/>
          <w:lang w:eastAsia="es-ES"/>
        </w:rPr>
        <w:t>Transcurriría más de una década</w:t>
      </w:r>
      <w:r>
        <w:rPr>
          <w:rFonts w:ascii="Bookman Old Style" w:eastAsia="BatangChe" w:hAnsi="Bookman Old Style" w:cs="Times New Roman"/>
          <w:sz w:val="24"/>
          <w:szCs w:val="24"/>
          <w:lang w:eastAsia="es-ES"/>
        </w:rPr>
        <w:t>,</w:t>
      </w:r>
      <w:r w:rsidRPr="006B7455">
        <w:rPr>
          <w:rFonts w:ascii="Bookman Old Style" w:eastAsia="BatangChe" w:hAnsi="Bookman Old Style" w:cs="Times New Roman"/>
          <w:sz w:val="24"/>
          <w:szCs w:val="24"/>
          <w:lang w:eastAsia="es-ES"/>
        </w:rPr>
        <w:t xml:space="preserve"> sin que exista órgano alguno encargado de velar por la observancia de los derechos consagrados en la Declaración, hasta que en 1959, en el marco de la Quinta Reunión de Ministros de Relaciones Exteriores realizada en Santiago de Chile, mediante la Resolución VIII titulada “Derechos Humanos”, se creó la Comisión Interamericana de Derechos Humanos (CIDH), con el objetivo de “promover el respeto de tales derechos”</w:t>
      </w:r>
      <w:r w:rsidRPr="006B7455">
        <w:rPr>
          <w:rStyle w:val="Refdenotaalpie"/>
          <w:rFonts w:ascii="Bookman Old Style" w:eastAsia="BatangChe" w:hAnsi="Bookman Old Style" w:cs="Times New Roman"/>
          <w:sz w:val="24"/>
          <w:szCs w:val="24"/>
          <w:lang w:eastAsia="es-ES"/>
        </w:rPr>
        <w:footnoteReference w:id="6"/>
      </w:r>
      <w:r w:rsidRPr="006B7455">
        <w:rPr>
          <w:rFonts w:ascii="Bookman Old Style" w:eastAsia="BatangChe" w:hAnsi="Bookman Old Style" w:cs="Times New Roman"/>
          <w:sz w:val="24"/>
          <w:szCs w:val="24"/>
          <w:lang w:eastAsia="es-ES"/>
        </w:rPr>
        <w:t>.</w:t>
      </w:r>
    </w:p>
    <w:p w:rsidR="004411E1" w:rsidRPr="006B7455" w:rsidRDefault="004411E1" w:rsidP="004411E1">
      <w:pPr>
        <w:spacing w:after="0" w:line="360" w:lineRule="auto"/>
        <w:jc w:val="both"/>
        <w:rPr>
          <w:rFonts w:ascii="Bookman Old Style" w:eastAsia="BatangChe" w:hAnsi="Bookman Old Style" w:cs="Times New Roman"/>
          <w:sz w:val="24"/>
          <w:szCs w:val="24"/>
          <w:lang w:eastAsia="es-ES"/>
        </w:rPr>
      </w:pPr>
    </w:p>
    <w:p w:rsidR="004411E1" w:rsidRPr="006B7455" w:rsidRDefault="004411E1" w:rsidP="004411E1">
      <w:pPr>
        <w:spacing w:after="0" w:line="360" w:lineRule="auto"/>
        <w:jc w:val="both"/>
        <w:rPr>
          <w:rFonts w:ascii="Bookman Old Style" w:eastAsia="BatangChe" w:hAnsi="Bookman Old Style" w:cs="Times New Roman"/>
          <w:sz w:val="24"/>
          <w:szCs w:val="24"/>
          <w:lang w:eastAsia="es-ES"/>
        </w:rPr>
      </w:pPr>
      <w:r w:rsidRPr="006B7455">
        <w:rPr>
          <w:rFonts w:ascii="Bookman Old Style" w:eastAsia="BatangChe" w:hAnsi="Bookman Old Style" w:cs="Times New Roman"/>
          <w:sz w:val="24"/>
          <w:szCs w:val="24"/>
          <w:lang w:eastAsia="es-ES"/>
        </w:rPr>
        <w:t>A través de la misma Resolución que creó la Comisión, la Quinta Reunión de Consulta de Ministros de Relaciones Exteriores, le encomendó al Consejo Interamericano de Jurisconsultos, la elaboración de “un proyecto de Convención sobre Derechos Humanos […]”</w:t>
      </w:r>
      <w:r w:rsidRPr="006B7455">
        <w:rPr>
          <w:rStyle w:val="Refdenotaalpie"/>
          <w:rFonts w:ascii="Bookman Old Style" w:eastAsia="BatangChe" w:hAnsi="Bookman Old Style" w:cs="Times New Roman"/>
          <w:sz w:val="24"/>
          <w:szCs w:val="24"/>
          <w:lang w:eastAsia="es-ES"/>
        </w:rPr>
        <w:footnoteReference w:id="7"/>
      </w:r>
      <w:r w:rsidRPr="006B7455">
        <w:rPr>
          <w:rFonts w:ascii="Bookman Old Style" w:eastAsia="BatangChe" w:hAnsi="Bookman Old Style" w:cs="Times New Roman"/>
          <w:sz w:val="24"/>
          <w:szCs w:val="24"/>
          <w:lang w:eastAsia="es-ES"/>
        </w:rPr>
        <w:t>. Luego de posponerse por algunos años, en 1969, el Consejo de la Organización de los Estados Americanos resolvió convocar a una Conferencia Especializada Interamericana para que considere el proyecto de Convención que había sido elaborado, así como las observaciones y enmiendas que formularon los gobiernos y decida sobre la aprobación y firma de la aludida Convención.</w:t>
      </w:r>
      <w:r w:rsidRPr="006B7455">
        <w:rPr>
          <w:rStyle w:val="Refdenotaalpie"/>
          <w:rFonts w:ascii="Bookman Old Style" w:eastAsia="BatangChe" w:hAnsi="Bookman Old Style" w:cs="Times New Roman"/>
          <w:sz w:val="24"/>
          <w:szCs w:val="24"/>
          <w:lang w:eastAsia="es-ES"/>
        </w:rPr>
        <w:footnoteReference w:id="8"/>
      </w:r>
      <w:r w:rsidRPr="006B7455">
        <w:rPr>
          <w:rFonts w:ascii="Bookman Old Style" w:eastAsia="BatangChe" w:hAnsi="Bookman Old Style" w:cs="Times New Roman"/>
          <w:sz w:val="24"/>
          <w:szCs w:val="24"/>
          <w:lang w:eastAsia="es-ES"/>
        </w:rPr>
        <w:t xml:space="preserve"> </w:t>
      </w:r>
    </w:p>
    <w:p w:rsidR="004411E1" w:rsidRPr="006B7455" w:rsidRDefault="004411E1" w:rsidP="004411E1">
      <w:pPr>
        <w:spacing w:after="0" w:line="360" w:lineRule="auto"/>
        <w:jc w:val="both"/>
        <w:rPr>
          <w:rFonts w:ascii="Bookman Old Style" w:eastAsia="BatangChe" w:hAnsi="Bookman Old Style" w:cs="Times New Roman"/>
          <w:sz w:val="24"/>
          <w:szCs w:val="24"/>
          <w:lang w:eastAsia="es-ES"/>
        </w:rPr>
      </w:pPr>
    </w:p>
    <w:p w:rsidR="004411E1" w:rsidRPr="006B7455" w:rsidRDefault="004411E1" w:rsidP="004411E1">
      <w:pPr>
        <w:autoSpaceDE w:val="0"/>
        <w:autoSpaceDN w:val="0"/>
        <w:adjustRightInd w:val="0"/>
        <w:spacing w:after="0" w:line="360" w:lineRule="auto"/>
        <w:jc w:val="both"/>
        <w:rPr>
          <w:rFonts w:ascii="Bookman Old Style" w:eastAsia="BatangChe" w:hAnsi="Bookman Old Style" w:cs="Times New Roman"/>
          <w:sz w:val="24"/>
          <w:szCs w:val="24"/>
          <w:lang w:eastAsia="es-ES"/>
        </w:rPr>
      </w:pPr>
      <w:r w:rsidRPr="006B7455">
        <w:rPr>
          <w:rFonts w:ascii="Bookman Old Style" w:eastAsia="BatangChe" w:hAnsi="Bookman Old Style" w:cs="Times New Roman"/>
          <w:sz w:val="24"/>
          <w:szCs w:val="24"/>
          <w:lang w:eastAsia="es-ES"/>
        </w:rPr>
        <w:t xml:space="preserve">La Conferencia Especializada Interamericana sobre Derechos Humanos, se celebró en San José de Costa Rica, del 7 al 22 de noviembre de 1969, la cual finalmente aprobó la Convención Americana sobre Derechos Humanos (CADH), </w:t>
      </w:r>
      <w:r w:rsidRPr="006B7455">
        <w:rPr>
          <w:rFonts w:ascii="Bookman Old Style" w:eastAsia="BatangChe" w:hAnsi="Bookman Old Style" w:cs="Times New Roman"/>
          <w:sz w:val="24"/>
          <w:szCs w:val="24"/>
          <w:lang w:eastAsia="es-ES"/>
        </w:rPr>
        <w:lastRenderedPageBreak/>
        <w:t>también llamada el Pacto de San José, instrumento internacional que incrementó en gran medida el alcance y contenido de la Declaración Americana. Así, el tratadista Robert Goldman considera que la CADH es quizá el instrumento de su tipo más ambicioso y de mayor alcance diseñado por un organismo internacional.</w:t>
      </w:r>
      <w:r w:rsidRPr="006B7455">
        <w:rPr>
          <w:rStyle w:val="Refdenotaalpie"/>
          <w:rFonts w:ascii="Bookman Old Style" w:eastAsia="BatangChe" w:hAnsi="Bookman Old Style" w:cs="Times New Roman"/>
          <w:sz w:val="24"/>
          <w:szCs w:val="24"/>
          <w:lang w:eastAsia="es-ES"/>
        </w:rPr>
        <w:footnoteReference w:id="9"/>
      </w:r>
      <w:r w:rsidRPr="006B7455">
        <w:rPr>
          <w:rFonts w:ascii="Bookman Old Style" w:eastAsia="BatangChe" w:hAnsi="Bookman Old Style" w:cs="Times New Roman"/>
          <w:sz w:val="24"/>
          <w:szCs w:val="24"/>
          <w:lang w:eastAsia="es-ES"/>
        </w:rPr>
        <w:t xml:space="preserve">  La Convención Americana entró en vigor el 18 de julio de 1978,</w:t>
      </w:r>
      <w:r w:rsidRPr="006B7455">
        <w:rPr>
          <w:rStyle w:val="Refdenotaalpie"/>
          <w:rFonts w:ascii="Bookman Old Style" w:eastAsia="BatangChe" w:hAnsi="Bookman Old Style" w:cs="Times New Roman"/>
          <w:sz w:val="24"/>
          <w:szCs w:val="24"/>
          <w:lang w:eastAsia="es-ES"/>
        </w:rPr>
        <w:footnoteReference w:id="10"/>
      </w:r>
      <w:r w:rsidRPr="006B7455">
        <w:rPr>
          <w:rFonts w:ascii="Bookman Old Style" w:eastAsia="BatangChe" w:hAnsi="Bookman Old Style" w:cs="Times New Roman"/>
          <w:sz w:val="24"/>
          <w:szCs w:val="24"/>
          <w:lang w:eastAsia="es-ES"/>
        </w:rPr>
        <w:t xml:space="preserve"> al haber sido depositado el undécimo instrumento de ratificación.</w:t>
      </w:r>
      <w:r w:rsidRPr="006B7455">
        <w:rPr>
          <w:rStyle w:val="Refdenotaalpie"/>
          <w:rFonts w:ascii="Bookman Old Style" w:eastAsia="BatangChe" w:hAnsi="Bookman Old Style" w:cs="Times New Roman"/>
          <w:sz w:val="24"/>
          <w:szCs w:val="24"/>
          <w:lang w:eastAsia="es-ES"/>
        </w:rPr>
        <w:footnoteReference w:id="11"/>
      </w:r>
    </w:p>
    <w:p w:rsidR="004411E1" w:rsidRPr="006B7455" w:rsidRDefault="004411E1" w:rsidP="004411E1">
      <w:pPr>
        <w:autoSpaceDE w:val="0"/>
        <w:autoSpaceDN w:val="0"/>
        <w:adjustRightInd w:val="0"/>
        <w:spacing w:after="0" w:line="360" w:lineRule="auto"/>
        <w:jc w:val="both"/>
        <w:rPr>
          <w:rFonts w:ascii="Bookman Old Style" w:eastAsia="BatangChe" w:hAnsi="Bookman Old Style" w:cs="Times New Roman"/>
          <w:sz w:val="24"/>
          <w:szCs w:val="24"/>
          <w:lang w:eastAsia="es-ES"/>
        </w:rPr>
      </w:pPr>
    </w:p>
    <w:p w:rsidR="004411E1" w:rsidRPr="006B7455" w:rsidRDefault="004411E1" w:rsidP="004411E1">
      <w:pPr>
        <w:spacing w:after="0" w:line="360" w:lineRule="auto"/>
        <w:jc w:val="both"/>
        <w:rPr>
          <w:rFonts w:ascii="Bookman Old Style" w:eastAsia="BatangChe" w:hAnsi="Bookman Old Style" w:cs="Times New Roman"/>
          <w:sz w:val="24"/>
          <w:szCs w:val="24"/>
          <w:lang w:eastAsia="es-ES"/>
        </w:rPr>
      </w:pPr>
      <w:r w:rsidRPr="006B7455">
        <w:rPr>
          <w:rFonts w:ascii="Bookman Old Style" w:eastAsia="BatangChe" w:hAnsi="Bookman Old Style" w:cs="Times New Roman"/>
          <w:sz w:val="24"/>
          <w:szCs w:val="24"/>
          <w:lang w:eastAsia="es-ES"/>
        </w:rPr>
        <w:t>La Convención, con el fin de salvaguardar los derechos fundamentales de las personas, estableció dos órganos competentes para conocer de violaciones a los derechos humanos: La Comisión Interamericana de Derechos Humanos, que ya había sido instituida con anterioridad</w:t>
      </w:r>
      <w:r w:rsidRPr="006B7455">
        <w:rPr>
          <w:rStyle w:val="Refdenotaalpie"/>
          <w:rFonts w:ascii="Bookman Old Style" w:eastAsia="BatangChe" w:hAnsi="Bookman Old Style" w:cs="Times New Roman"/>
          <w:sz w:val="24"/>
          <w:szCs w:val="24"/>
          <w:lang w:eastAsia="es-ES"/>
        </w:rPr>
        <w:footnoteReference w:id="12"/>
      </w:r>
      <w:r w:rsidRPr="006B7455">
        <w:rPr>
          <w:rFonts w:ascii="Bookman Old Style" w:eastAsia="BatangChe" w:hAnsi="Bookman Old Style" w:cs="Times New Roman"/>
          <w:sz w:val="24"/>
          <w:szCs w:val="24"/>
          <w:lang w:eastAsia="es-ES"/>
        </w:rPr>
        <w:t xml:space="preserve"> con carácter cuasi judicial, y la Corte Interamericana de Derechos Humanos, como organismo jurisdiccional. Al respecto, la Convención reconoce que la protección generada con la suscripción de este instrumento internacional tiene un carácter coadyuvante o complementario de la que ofrece el derecho interno de los Estados </w:t>
      </w:r>
      <w:r w:rsidRPr="006B7455">
        <w:rPr>
          <w:rFonts w:ascii="Bookman Old Style" w:eastAsia="BatangChe" w:hAnsi="Bookman Old Style" w:cs="Times New Roman"/>
          <w:sz w:val="24"/>
          <w:szCs w:val="24"/>
          <w:lang w:eastAsia="es-ES"/>
        </w:rPr>
        <w:lastRenderedPageBreak/>
        <w:t>americanos,</w:t>
      </w:r>
      <w:r w:rsidRPr="006B7455">
        <w:rPr>
          <w:rStyle w:val="Refdenotaalpie"/>
          <w:rFonts w:ascii="Bookman Old Style" w:eastAsia="BatangChe" w:hAnsi="Bookman Old Style" w:cs="Times New Roman"/>
          <w:sz w:val="24"/>
          <w:szCs w:val="24"/>
          <w:lang w:eastAsia="es-ES"/>
        </w:rPr>
        <w:footnoteReference w:id="13"/>
      </w:r>
      <w:r w:rsidRPr="006B7455">
        <w:rPr>
          <w:rFonts w:ascii="Bookman Old Style" w:eastAsia="BatangChe" w:hAnsi="Bookman Old Style" w:cs="Times New Roman"/>
          <w:sz w:val="24"/>
          <w:szCs w:val="24"/>
          <w:lang w:eastAsia="es-ES"/>
        </w:rPr>
        <w:t xml:space="preserve"> razón por la cual, los dos órganos referidos no tienen primacía sobre los recursos de la jurisdicción interna, al contrario, los complementan</w:t>
      </w:r>
      <w:r w:rsidRPr="006B7455">
        <w:rPr>
          <w:rStyle w:val="Refdenotaalpie"/>
          <w:rFonts w:ascii="Bookman Old Style" w:eastAsia="BatangChe" w:hAnsi="Bookman Old Style" w:cs="Times New Roman"/>
          <w:sz w:val="24"/>
          <w:szCs w:val="24"/>
          <w:lang w:eastAsia="es-ES"/>
        </w:rPr>
        <w:footnoteReference w:id="14"/>
      </w:r>
      <w:r w:rsidRPr="006B7455">
        <w:rPr>
          <w:rFonts w:ascii="Bookman Old Style" w:eastAsia="BatangChe" w:hAnsi="Bookman Old Style" w:cs="Times New Roman"/>
          <w:sz w:val="24"/>
          <w:szCs w:val="24"/>
          <w:lang w:eastAsia="es-ES"/>
        </w:rPr>
        <w:t xml:space="preserve">. </w:t>
      </w:r>
    </w:p>
    <w:p w:rsidR="00F5538C" w:rsidRDefault="00F5538C"/>
    <w:sectPr w:rsidR="00F553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7F" w:rsidRDefault="00DE7D7F" w:rsidP="004411E1">
      <w:pPr>
        <w:spacing w:after="0" w:line="240" w:lineRule="auto"/>
      </w:pPr>
      <w:r>
        <w:separator/>
      </w:r>
    </w:p>
  </w:endnote>
  <w:endnote w:type="continuationSeparator" w:id="0">
    <w:p w:rsidR="00DE7D7F" w:rsidRDefault="00DE7D7F" w:rsidP="0044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Che">
    <w:altName w:val="Arial Unicode MS"/>
    <w:panose1 w:val="02030609000101010101"/>
    <w:charset w:val="81"/>
    <w:family w:val="modern"/>
    <w:pitch w:val="fixed"/>
    <w:sig w:usb0="B00002AF" w:usb1="69D77CFB" w:usb2="00000030" w:usb3="00000000" w:csb0="0008009F" w:csb1="00000000"/>
  </w:font>
  <w:font w:name="AGaramondPro-Regular">
    <w:panose1 w:val="00000000000000000000"/>
    <w:charset w:val="00"/>
    <w:family w:val="roman"/>
    <w:notTrueType/>
    <w:pitch w:val="default"/>
    <w:sig w:usb0="00000003" w:usb1="00000000" w:usb2="00000000" w:usb3="00000000" w:csb0="00000001" w:csb1="00000000"/>
  </w:font>
  <w:font w:name="AGaramondPro-Semibold">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3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7F" w:rsidRDefault="00DE7D7F" w:rsidP="004411E1">
      <w:pPr>
        <w:spacing w:after="0" w:line="240" w:lineRule="auto"/>
      </w:pPr>
      <w:r>
        <w:separator/>
      </w:r>
    </w:p>
  </w:footnote>
  <w:footnote w:type="continuationSeparator" w:id="0">
    <w:p w:rsidR="00DE7D7F" w:rsidRDefault="00DE7D7F" w:rsidP="004411E1">
      <w:pPr>
        <w:spacing w:after="0" w:line="240" w:lineRule="auto"/>
      </w:pPr>
      <w:r>
        <w:continuationSeparator/>
      </w:r>
    </w:p>
  </w:footnote>
  <w:footnote w:id="1">
    <w:p w:rsidR="004411E1" w:rsidRPr="003F2969" w:rsidRDefault="004411E1" w:rsidP="004411E1">
      <w:pPr>
        <w:autoSpaceDE w:val="0"/>
        <w:autoSpaceDN w:val="0"/>
        <w:adjustRightInd w:val="0"/>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eastAsia="Bookman Old Style" w:hAnsi="Bookman Old Style" w:cs="Bookman Old Style"/>
          <w:sz w:val="20"/>
          <w:szCs w:val="20"/>
        </w:rPr>
        <w:t>La Carta de la Organización de Estados Americanos fue adoptada el 30 de abril de 1948 por la IX Conferencia Internacional Americana, entrando en vigor el 13 de diciembre de 1951. La Carta ha sido reformada en cuatro ocasiones: por el “Protocolo de Buenos Aires”, suscrito el 27 de febrero de 1967, en la Tercera Conferencia Interamericana Extraordinaria; por el “Protocolo de Cartagena de Indias”, aprobado el 5 de diciembre de 1985, en el Decimocuarto Período Extraordinario de Sesiones de la Asamblea General de la OEA; por el “Protocolo de Washington”, aprobado el 14 de diciembre de 1992, en el Decimosexto Período Extraordinario de Sesiones de la Asamblea General; y por el “Protocolo de Managua”, adoptado el 10 de junio de 1993, en el Decimonoveno Período Extraordinario de Sesiones de la Asamblea General. . Los países firmantes fueron Argentina, Bolivia, Brasil, Chile, Colombia, Costa Rica, Cuba, Ecuador, El Salvador, Estados Unidos, Guatemala, Haití, Honduras, México, Nicaragua, Panamá, Paraguay, Perú, República Dominicana, Uruguay y Venezuela.</w:t>
      </w:r>
    </w:p>
  </w:footnote>
  <w:footnote w:id="2">
    <w:p w:rsidR="004411E1" w:rsidRPr="003F2969" w:rsidRDefault="004411E1" w:rsidP="004411E1">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eastAsia="Calibri" w:hAnsi="Bookman Old Style" w:cs="Calibri"/>
        </w:rPr>
        <w:t>CARTA DE LA ORGANIZACIÓN DE LOS ESTADOS AMERICANOS (1967). Preámbulo.</w:t>
      </w:r>
    </w:p>
  </w:footnote>
  <w:footnote w:id="3">
    <w:p w:rsidR="004411E1" w:rsidRPr="003F2969" w:rsidRDefault="004411E1" w:rsidP="004411E1">
      <w:pPr>
        <w:autoSpaceDE w:val="0"/>
        <w:autoSpaceDN w:val="0"/>
        <w:adjustRightInd w:val="0"/>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eastAsia="Calibri" w:hAnsi="Bookman Old Style" w:cs="Calibri"/>
          <w:sz w:val="20"/>
          <w:szCs w:val="20"/>
        </w:rPr>
        <w:t>DECLARACIÓN AMERICANA DE LOS DERECHOS Y DEBERES DEL HOMBRE (1948).</w:t>
      </w:r>
      <w:r w:rsidRPr="003F2969">
        <w:rPr>
          <w:rFonts w:ascii="Bookman Old Style" w:eastAsia="Times New Roman" w:hAnsi="Bookman Old Style" w:cs="Times New Roman"/>
          <w:sz w:val="20"/>
          <w:szCs w:val="20"/>
          <w:lang w:eastAsia="es-ES"/>
        </w:rPr>
        <w:t xml:space="preserve"> </w:t>
      </w:r>
    </w:p>
  </w:footnote>
  <w:footnote w:id="4">
    <w:p w:rsidR="004411E1" w:rsidRPr="003F2969" w:rsidRDefault="004411E1" w:rsidP="004411E1">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eastAsia="Calibri" w:hAnsi="Bookman Old Style" w:cs="Calibri"/>
        </w:rPr>
        <w:t xml:space="preserve">DECLARACIÓN UNIVERSAL DE DERECHOS HUMANOS (1948). </w:t>
      </w:r>
    </w:p>
  </w:footnote>
  <w:footnote w:id="5">
    <w:p w:rsidR="004411E1" w:rsidRPr="003F2969" w:rsidRDefault="004411E1" w:rsidP="004411E1">
      <w:pPr>
        <w:autoSpaceDE w:val="0"/>
        <w:autoSpaceDN w:val="0"/>
        <w:adjustRightInd w:val="0"/>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eastAsia="Times New Roman" w:hAnsi="Bookman Old Style" w:cs="Times New Roman"/>
          <w:sz w:val="20"/>
          <w:szCs w:val="20"/>
          <w:lang w:eastAsia="es-ES"/>
        </w:rPr>
        <w:t>El texto de la Declaración, e</w:t>
      </w:r>
      <w:r w:rsidRPr="003F2969">
        <w:rPr>
          <w:rFonts w:ascii="Bookman Old Style" w:hAnsi="Bookman Old Style"/>
          <w:sz w:val="20"/>
          <w:szCs w:val="20"/>
        </w:rPr>
        <w:t>ntre otros, consagra, el derecho a la vida, a la igualdad ante la ley, a la libertad religiosa y de culto, libertad de investigación, opinión, expresión y difusión, derecho a un proceso regular, derecho a la propiedad, al asilo, a la asociación, a la seguridad social, etc., derechos que, de acuerdo a</w:t>
      </w:r>
      <w:r w:rsidRPr="003F2969">
        <w:rPr>
          <w:rFonts w:ascii="Bookman Old Style" w:hAnsi="Bookman Old Style" w:cs="TimesNewRoman"/>
          <w:sz w:val="20"/>
          <w:szCs w:val="20"/>
        </w:rPr>
        <w:t xml:space="preserve">l criterio sustentado en su artículo XXVIII, </w:t>
      </w:r>
      <w:r w:rsidRPr="003F2969">
        <w:rPr>
          <w:rFonts w:ascii="Bookman Old Style" w:hAnsi="Bookman Old Style"/>
          <w:sz w:val="20"/>
          <w:szCs w:val="20"/>
        </w:rPr>
        <w:t xml:space="preserve">están limitados por los derechos de los demás, por la seguridad de todos y por las justas exigencias del bienestar general y del desarrollo democrático.   </w:t>
      </w:r>
    </w:p>
  </w:footnote>
  <w:footnote w:id="6">
    <w:p w:rsidR="004411E1" w:rsidRPr="003F2969" w:rsidRDefault="004411E1" w:rsidP="004411E1">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eastAsia="Calibri" w:hAnsi="Bookman Old Style" w:cs="Calibri"/>
        </w:rPr>
        <w:t xml:space="preserve"> DECLARACIÓN DE SANTIAGO DE CHILE, </w:t>
      </w:r>
      <w:r w:rsidRPr="003F2969">
        <w:rPr>
          <w:rFonts w:ascii="Bookman Old Style" w:eastAsia="Bookman Old Style" w:hAnsi="Bookman Old Style" w:cs="Bookman Old Style"/>
        </w:rPr>
        <w:t>Quinta Reunión de Consulta de Ministros de Relaciones Exteriores, Acta Final, Resolución VIII, Santiago de Chile (12-18 de agosto de 1959). Disponible en: www.oas.org/es/cidh/mandato/Basicos/Acta-final-Quinta-reunion-Chile-1959.pdf. Fecha de consulta: 4 de diciembre de 2017.</w:t>
      </w:r>
      <w:r w:rsidRPr="003F2969">
        <w:rPr>
          <w:rFonts w:ascii="Bookman Old Style" w:eastAsia="Calibri" w:hAnsi="Bookman Old Style" w:cs="Calibri"/>
        </w:rPr>
        <w:t xml:space="preserve"> </w:t>
      </w:r>
    </w:p>
  </w:footnote>
  <w:footnote w:id="7">
    <w:p w:rsidR="004411E1" w:rsidRPr="003F2969" w:rsidRDefault="004411E1" w:rsidP="004411E1">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eastAsia="Calibri" w:hAnsi="Bookman Old Style" w:cs="Calibri"/>
        </w:rPr>
        <w:t>DECLARACIÓN DE SANTIAGO DE CHILE</w:t>
      </w:r>
      <w:r w:rsidRPr="003F2969">
        <w:rPr>
          <w:rFonts w:ascii="Bookman Old Style" w:eastAsia="Bookman Old Style" w:hAnsi="Bookman Old Style" w:cs="Bookman Old Style"/>
        </w:rPr>
        <w:t>, Quinta Reunión de Consulta de Ministros de Relaciones Exteriores, Acta Final, Resolución VIII, Santiago de Chile (12-18 de agosto de 1959). Disponible en: www.oas.org/es/cidh/mandato/Basicos/Acta-final-Quinta-reunion-Chile-1959.pdf. Fecha de consulta: 4 de diciembre de 2017.</w:t>
      </w:r>
      <w:r w:rsidRPr="003F2969">
        <w:rPr>
          <w:rFonts w:ascii="Bookman Old Style" w:eastAsia="Calibri" w:hAnsi="Bookman Old Style" w:cs="Calibri"/>
        </w:rPr>
        <w:t xml:space="preserve">  </w:t>
      </w:r>
    </w:p>
  </w:footnote>
  <w:footnote w:id="8">
    <w:p w:rsidR="004411E1" w:rsidRPr="003F2969" w:rsidRDefault="004411E1" w:rsidP="004411E1">
      <w:pPr>
        <w:spacing w:after="0" w:line="240" w:lineRule="auto"/>
        <w:jc w:val="both"/>
        <w:rPr>
          <w:rStyle w:val="Refdenotaalpie"/>
          <w:rFonts w:ascii="Bookman Old Style" w:hAnsi="Bookman Old Style"/>
          <w:sz w:val="20"/>
          <w:szCs w:val="20"/>
        </w:rPr>
      </w:pPr>
      <w:r w:rsidRPr="003F2969">
        <w:rPr>
          <w:rStyle w:val="Refdenotaalpie"/>
          <w:rFonts w:ascii="Bookman Old Style" w:hAnsi="Bookman Old Style"/>
          <w:sz w:val="20"/>
          <w:szCs w:val="20"/>
        </w:rPr>
        <w:footnoteRef/>
      </w:r>
      <w:r w:rsidRPr="003F2969">
        <w:rPr>
          <w:rStyle w:val="Refdenotaalpie"/>
          <w:rFonts w:ascii="Bookman Old Style" w:hAnsi="Bookman Old Style"/>
          <w:sz w:val="20"/>
          <w:szCs w:val="20"/>
        </w:rPr>
        <w:t xml:space="preserve"> </w:t>
      </w:r>
      <w:r w:rsidRPr="003F2969">
        <w:rPr>
          <w:rFonts w:ascii="Bookman Old Style" w:hAnsi="Bookman Old Style"/>
          <w:sz w:val="20"/>
          <w:szCs w:val="20"/>
        </w:rPr>
        <w:t>ORGANIZACIÓN DE LOS ESTADOS AMERICANOS, SECRETARÍA GENERAL, Conferencia Especializada Interamericana sobre Derechos Humanos, celebrada del 7 al 22 de noviembre de 1969, actas y documentos, OEA/</w:t>
      </w:r>
      <w:proofErr w:type="spellStart"/>
      <w:r w:rsidRPr="003F2969">
        <w:rPr>
          <w:rFonts w:ascii="Bookman Old Style" w:hAnsi="Bookman Old Style"/>
          <w:sz w:val="20"/>
          <w:szCs w:val="20"/>
        </w:rPr>
        <w:t>Ser.K</w:t>
      </w:r>
      <w:proofErr w:type="spellEnd"/>
      <w:r w:rsidRPr="003F2969">
        <w:rPr>
          <w:rFonts w:ascii="Bookman Old Style" w:hAnsi="Bookman Old Style"/>
          <w:sz w:val="20"/>
          <w:szCs w:val="20"/>
        </w:rPr>
        <w:t xml:space="preserve">/XVI/1.2, p. 507. Disponible en: </w:t>
      </w:r>
      <w:hyperlink r:id="rId1" w:history="1">
        <w:r w:rsidRPr="003F2969">
          <w:rPr>
            <w:rStyle w:val="Hipervnculo"/>
            <w:rFonts w:ascii="Bookman Old Style" w:hAnsi="Bookman Old Style"/>
            <w:sz w:val="20"/>
            <w:szCs w:val="20"/>
          </w:rPr>
          <w:t>http://www.oas.org/es/cidh/docs/enlaces/conferencia%20interamericana.pdf</w:t>
        </w:r>
      </w:hyperlink>
      <w:r w:rsidRPr="003F2969">
        <w:rPr>
          <w:rFonts w:ascii="Bookman Old Style" w:hAnsi="Bookman Old Style"/>
          <w:sz w:val="20"/>
          <w:szCs w:val="20"/>
        </w:rPr>
        <w:t>. Fecha de consulta: 4 de diciembre de 2017.</w:t>
      </w:r>
    </w:p>
  </w:footnote>
  <w:footnote w:id="9">
    <w:p w:rsidR="004411E1" w:rsidRPr="003F2969" w:rsidRDefault="004411E1" w:rsidP="004411E1">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GOLDMAN, Robert (2007):</w:t>
      </w:r>
      <w:r w:rsidRPr="003F2969">
        <w:rPr>
          <w:rFonts w:ascii="Bookman Old Style" w:hAnsi="Bookman Old Style"/>
          <w:i/>
          <w:sz w:val="20"/>
          <w:szCs w:val="20"/>
        </w:rPr>
        <w:t xml:space="preserve"> </w:t>
      </w:r>
      <w:r w:rsidRPr="003F2969">
        <w:rPr>
          <w:rFonts w:ascii="Bookman Old Style" w:hAnsi="Bookman Old Style"/>
          <w:sz w:val="20"/>
          <w:szCs w:val="20"/>
        </w:rPr>
        <w:t xml:space="preserve">“Historia y Acción: El Sistema Interamericano de Derechos Humanos y el Papel de la Comisión Interamericana de Derechos Humanos”, en Covarrubias Velasco, Ana y Ortega Nieto, Daniel (coord.), </w:t>
      </w:r>
      <w:r w:rsidRPr="003F2969">
        <w:rPr>
          <w:rFonts w:ascii="Bookman Old Style" w:hAnsi="Bookman Old Style"/>
          <w:i/>
          <w:sz w:val="20"/>
          <w:szCs w:val="20"/>
        </w:rPr>
        <w:t>La Protección Internacional de los Derechos Humanos un reto en el Siglo XXI</w:t>
      </w:r>
      <w:r w:rsidRPr="003F2969">
        <w:rPr>
          <w:rFonts w:ascii="Bookman Old Style" w:hAnsi="Bookman Old Style"/>
          <w:sz w:val="20"/>
          <w:szCs w:val="20"/>
        </w:rPr>
        <w:t>, (Editorial del Colegio de México, Centro de Estudios Internacionales, Ciudad de México, primera edición) p. 121.</w:t>
      </w:r>
    </w:p>
  </w:footnote>
  <w:footnote w:id="10">
    <w:p w:rsidR="004411E1" w:rsidRPr="003F2969" w:rsidRDefault="004411E1" w:rsidP="004411E1">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CONVENCIÓN AMERICANA SOBRE DERECHOS HUMANOS, San José, Costa Rica (1969) Art. 74.2: “La ratificación de esta Convención o la adhesión a la misma se efectuará mediante el depósito de un instrumento de ratificación o de adhesión en la Secretaría General de la Organización de los Estados Americanos. Tan pronto como once Estados hayan depositado sus respectivos instrumentos de ratificación o de adhesión, la Convención entrará en vigor. Respecto a todo otro Estado que la ratifique o adhiera a ella ulteriormente, la Convención entrará en vigor en la fecha del depósito de su instrumento de ratificación o de adhesión”.</w:t>
      </w:r>
    </w:p>
  </w:footnote>
  <w:footnote w:id="11">
    <w:p w:rsidR="004411E1" w:rsidRPr="003F2969" w:rsidRDefault="004411E1" w:rsidP="004411E1">
      <w:pPr>
        <w:autoSpaceDE w:val="0"/>
        <w:autoSpaceDN w:val="0"/>
        <w:adjustRightInd w:val="0"/>
        <w:spacing w:after="0" w:line="240" w:lineRule="auto"/>
        <w:jc w:val="both"/>
        <w:rPr>
          <w:rFonts w:ascii="Bookman Old Style" w:hAnsi="Bookman Old Style"/>
          <w:sz w:val="20"/>
          <w:szCs w:val="20"/>
        </w:rPr>
      </w:pPr>
      <w:r w:rsidRPr="003F2969">
        <w:rPr>
          <w:rFonts w:ascii="Bookman Old Style" w:hAnsi="Bookman Old Style"/>
          <w:sz w:val="20"/>
          <w:szCs w:val="20"/>
          <w:vertAlign w:val="superscript"/>
        </w:rPr>
        <w:footnoteRef/>
      </w:r>
      <w:r w:rsidRPr="003F2969">
        <w:rPr>
          <w:rFonts w:ascii="Bookman Old Style" w:hAnsi="Bookman Old Style"/>
          <w:sz w:val="20"/>
          <w:szCs w:val="20"/>
        </w:rPr>
        <w:t xml:space="preserve"> A la fecha, veintitrés naciones americanas han ratificado o se han adherido a la Convención Americana sobre Derechos Humanos: Argentina, Barbados, Bolivia, Brasil, Chile, Colombia, Costa Rica, Dominica, Ecuador, El Salvador, Granada, Guatemala, Haití, Honduras, Jamaica, México, Nicaragua, Panamá, Paraguay, Perú, República Dominicana, Surinam, y Uruguay. El estado de firmas y ratificaciones de la Convención puede ser consultado en la página de la Organización de los Estados Americanos, disponible en: </w:t>
      </w:r>
      <w:hyperlink r:id="rId2" w:history="1">
        <w:r w:rsidRPr="003F2969">
          <w:rPr>
            <w:rStyle w:val="Hipervnculo"/>
            <w:rFonts w:ascii="Bookman Old Style" w:hAnsi="Bookman Old Style"/>
            <w:sz w:val="20"/>
            <w:szCs w:val="20"/>
          </w:rPr>
          <w:t>https://www.oas.org/dil/esp/tratados_B-32_Convención_Americana_sobre_Derechos_Humanos_firmas.htm</w:t>
        </w:r>
      </w:hyperlink>
      <w:r w:rsidRPr="003F2969">
        <w:rPr>
          <w:rFonts w:ascii="Bookman Old Style" w:hAnsi="Bookman Old Style"/>
          <w:sz w:val="20"/>
          <w:szCs w:val="20"/>
        </w:rPr>
        <w:t>. Fecha de consulta: 4 de diciembre de 2017.</w:t>
      </w:r>
    </w:p>
  </w:footnote>
  <w:footnote w:id="12">
    <w:p w:rsidR="004411E1" w:rsidRPr="003F2969" w:rsidRDefault="004411E1" w:rsidP="004411E1">
      <w:pPr>
        <w:spacing w:after="0" w:line="240" w:lineRule="auto"/>
        <w:jc w:val="both"/>
        <w:rPr>
          <w:rFonts w:ascii="Bookman Old Style" w:hAnsi="Bookman Old Style"/>
          <w:sz w:val="20"/>
          <w:szCs w:val="20"/>
        </w:rPr>
      </w:pPr>
      <w:r w:rsidRPr="003F2969">
        <w:rPr>
          <w:rStyle w:val="Refdenotaalpie"/>
          <w:rFonts w:ascii="Bookman Old Style" w:hAnsi="Bookman Old Style"/>
          <w:sz w:val="20"/>
          <w:szCs w:val="20"/>
        </w:rPr>
        <w:footnoteRef/>
      </w:r>
      <w:r w:rsidRPr="003F2969">
        <w:rPr>
          <w:rFonts w:ascii="Bookman Old Style" w:hAnsi="Bookman Old Style"/>
          <w:sz w:val="20"/>
          <w:szCs w:val="20"/>
        </w:rPr>
        <w:t xml:space="preserve"> </w:t>
      </w:r>
      <w:r w:rsidRPr="003F2969">
        <w:rPr>
          <w:rFonts w:ascii="Bookman Old Style" w:eastAsia="Bookman Old Style" w:hAnsi="Bookman Old Style" w:cs="Bookman Old Style"/>
          <w:sz w:val="20"/>
          <w:szCs w:val="20"/>
        </w:rPr>
        <w:t>DECLARACIÓN DE SANTIAGO DE CHILE, Quinta Reunión de Consulta de Ministros de Relaciones Exteriores, Acta Final, Resolución VIII, Santiago de Chile (12-18 de agosto de 1959). Disponible en: www.oas.org/es/cidh/mandato/Basicos/Acta-final-Quinta-reunion-Chile-1959.pdf. Fecha de consulta: 4 de diciembre de 2017.</w:t>
      </w:r>
    </w:p>
  </w:footnote>
  <w:footnote w:id="13">
    <w:p w:rsidR="004411E1" w:rsidRPr="003F2969" w:rsidRDefault="004411E1" w:rsidP="004411E1">
      <w:pPr>
        <w:pStyle w:val="Textonotapie"/>
        <w:jc w:val="both"/>
        <w:rPr>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w:t>
      </w:r>
      <w:r w:rsidRPr="003F2969">
        <w:rPr>
          <w:rFonts w:ascii="Bookman Old Style" w:eastAsia="Bookman Old Style" w:hAnsi="Bookman Old Style" w:cs="Bookman Old Style"/>
        </w:rPr>
        <w:t xml:space="preserve">CONVENCIÓN AMERICANA SOBRE DERECHOS HUMANOS, San José, Costa Rica (1969), Preámbulo. </w:t>
      </w:r>
    </w:p>
  </w:footnote>
  <w:footnote w:id="14">
    <w:p w:rsidR="004411E1" w:rsidRPr="003F2969" w:rsidRDefault="004411E1" w:rsidP="004411E1">
      <w:pPr>
        <w:pStyle w:val="Textonotapie"/>
        <w:jc w:val="both"/>
        <w:rPr>
          <w:rStyle w:val="Hipervnculo"/>
          <w:rFonts w:ascii="Bookman Old Style" w:hAnsi="Bookman Old Style"/>
        </w:rPr>
      </w:pPr>
      <w:r w:rsidRPr="003F2969">
        <w:rPr>
          <w:rStyle w:val="Refdenotaalpie"/>
          <w:rFonts w:ascii="Bookman Old Style" w:hAnsi="Bookman Old Style"/>
        </w:rPr>
        <w:footnoteRef/>
      </w:r>
      <w:r w:rsidRPr="003F2969">
        <w:rPr>
          <w:rFonts w:ascii="Bookman Old Style" w:hAnsi="Bookman Old Style"/>
        </w:rPr>
        <w:t xml:space="preserve"> FAÚNDEZ LEDESMA, Héctor. </w:t>
      </w:r>
      <w:r w:rsidRPr="003F2969">
        <w:rPr>
          <w:rFonts w:ascii="Bookman Old Style" w:hAnsi="Bookman Old Style"/>
          <w:i/>
        </w:rPr>
        <w:t xml:space="preserve">El agotamiento de los recursos internos en el sistema interamericano de protección a derechos humanos. </w:t>
      </w:r>
      <w:r w:rsidRPr="003F2969">
        <w:rPr>
          <w:rFonts w:ascii="Bookman Old Style" w:hAnsi="Bookman Old Style"/>
        </w:rPr>
        <w:t xml:space="preserve">Ponencia. Disponible en: </w:t>
      </w:r>
      <w:hyperlink r:id="rId3" w:history="1">
        <w:r w:rsidRPr="003F2969">
          <w:rPr>
            <w:rStyle w:val="Hipervnculo"/>
            <w:rFonts w:ascii="Bookman Old Style" w:hAnsi="Bookman Old Style"/>
          </w:rPr>
          <w:t>http://www.iidh.ed.cr/multic/UserFiles/Biblioteca/IIDH/2_2010/XXVCurso_Inter_en_Derechos_Humanos_Discursos_ponencias/17.%20HFaundez_doc.pdf</w:t>
        </w:r>
      </w:hyperlink>
      <w:r w:rsidRPr="003F2969">
        <w:rPr>
          <w:rStyle w:val="Hipervnculo"/>
          <w:rFonts w:ascii="Bookman Old Style" w:hAnsi="Bookman Old Style"/>
        </w:rPr>
        <w:t>.</w:t>
      </w:r>
    </w:p>
    <w:p w:rsidR="004411E1" w:rsidRPr="003F2969" w:rsidRDefault="004411E1" w:rsidP="004411E1">
      <w:pPr>
        <w:spacing w:after="0" w:line="240" w:lineRule="auto"/>
        <w:jc w:val="both"/>
        <w:rPr>
          <w:rFonts w:ascii="Bookman Old Style" w:hAnsi="Bookman Old Style"/>
          <w:sz w:val="20"/>
          <w:szCs w:val="20"/>
        </w:rPr>
      </w:pPr>
      <w:r w:rsidRPr="003F2969">
        <w:rPr>
          <w:rFonts w:ascii="Bookman Old Style" w:hAnsi="Bookman Old Style"/>
          <w:sz w:val="20"/>
          <w:szCs w:val="20"/>
        </w:rPr>
        <w:t xml:space="preserve">Fecha de consulta: 4 de diciembre de 2017. Ver también: GÓMEZ FERNÁNDEZ Itziar y MONTESINOS PADILLA Carmen (2013): “Agotamiento de los Recursos Internos y otras exigencias de admisibilidad”, en BANDEIRA GALINDO, George Rodrigo, URUEÑA, René, TORRES PÉREZ, Aida (coord.), </w:t>
      </w:r>
      <w:r w:rsidRPr="003F2969">
        <w:rPr>
          <w:rFonts w:ascii="Bookman Old Style" w:hAnsi="Bookman Old Style"/>
          <w:i/>
          <w:sz w:val="20"/>
          <w:szCs w:val="20"/>
        </w:rPr>
        <w:t>Protección Multinivel de Derechos Humanos, Guía de prácticas</w:t>
      </w:r>
      <w:r w:rsidRPr="003F2969">
        <w:rPr>
          <w:rFonts w:ascii="Bookman Old Style" w:hAnsi="Bookman Old Style"/>
          <w:sz w:val="20"/>
          <w:szCs w:val="20"/>
        </w:rPr>
        <w:t xml:space="preserve"> (Red de Derechos Humanos y Educación Superior): pp. 213-240. Disponible en: </w:t>
      </w:r>
      <w:hyperlink r:id="rId4" w:history="1">
        <w:r w:rsidRPr="003F2969">
          <w:rPr>
            <w:rStyle w:val="Hipervnculo"/>
            <w:rFonts w:ascii="Bookman Old Style" w:hAnsi="Bookman Old Style"/>
            <w:sz w:val="20"/>
            <w:szCs w:val="20"/>
          </w:rPr>
          <w:t>https://www.upf.edu/dhes-alfa/materiales/res/pmdh_pdf/PMDH_Manual.213-240.pdf</w:t>
        </w:r>
      </w:hyperlink>
      <w:r w:rsidRPr="003F2969">
        <w:rPr>
          <w:rFonts w:ascii="Bookman Old Style" w:hAnsi="Bookman Old Style"/>
          <w:sz w:val="20"/>
          <w:szCs w:val="20"/>
        </w:rPr>
        <w:t>. Fecha de consulta: 4 de diciembre de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E1"/>
    <w:rsid w:val="000259CE"/>
    <w:rsid w:val="004411E1"/>
    <w:rsid w:val="007927D6"/>
    <w:rsid w:val="00DE7D7F"/>
    <w:rsid w:val="00F5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1E1"/>
    <w:rPr>
      <w:lang w:val="es-EC"/>
    </w:rPr>
  </w:style>
  <w:style w:type="paragraph" w:styleId="Ttulo1">
    <w:name w:val="heading 1"/>
    <w:basedOn w:val="Normal"/>
    <w:next w:val="Normal"/>
    <w:link w:val="Ttulo1Car"/>
    <w:uiPriority w:val="9"/>
    <w:qFormat/>
    <w:rsid w:val="004411E1"/>
    <w:pPr>
      <w:keepNext/>
      <w:keepLines/>
      <w:spacing w:before="240" w:after="0"/>
      <w:outlineLvl w:val="0"/>
    </w:pPr>
    <w:rPr>
      <w:rFonts w:ascii="Bookman Old Style" w:eastAsiaTheme="majorEastAsia" w:hAnsi="Bookman Old Styl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11E1"/>
    <w:rPr>
      <w:rFonts w:ascii="Bookman Old Style" w:eastAsiaTheme="majorEastAsia" w:hAnsi="Bookman Old Style" w:cstheme="majorBidi"/>
      <w:b/>
      <w:sz w:val="24"/>
      <w:szCs w:val="32"/>
      <w:lang w:val="es-EC"/>
    </w:rPr>
  </w:style>
  <w:style w:type="paragraph" w:styleId="Textocomentario">
    <w:name w:val="annotation text"/>
    <w:basedOn w:val="Normal"/>
    <w:link w:val="TextocomentarioCar"/>
    <w:uiPriority w:val="99"/>
    <w:unhideWhenUsed/>
    <w:rsid w:val="004411E1"/>
    <w:pPr>
      <w:spacing w:line="240" w:lineRule="auto"/>
    </w:pPr>
    <w:rPr>
      <w:sz w:val="20"/>
      <w:szCs w:val="20"/>
    </w:rPr>
  </w:style>
  <w:style w:type="character" w:customStyle="1" w:styleId="TextocomentarioCar">
    <w:name w:val="Texto comentario Car"/>
    <w:basedOn w:val="Fuentedeprrafopredeter"/>
    <w:link w:val="Textocomentario"/>
    <w:uiPriority w:val="99"/>
    <w:rsid w:val="004411E1"/>
    <w:rPr>
      <w:sz w:val="20"/>
      <w:szCs w:val="20"/>
      <w:lang w:val="es-EC"/>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FA Fu?notente"/>
    <w:basedOn w:val="Normal"/>
    <w:link w:val="TextonotapieCar"/>
    <w:uiPriority w:val="99"/>
    <w:unhideWhenUsed/>
    <w:qFormat/>
    <w:rsid w:val="004411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411E1"/>
    <w:rPr>
      <w:sz w:val="20"/>
      <w:szCs w:val="20"/>
      <w:lang w:val="es-EC"/>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
    <w:basedOn w:val="Fuentedeprrafopredeter"/>
    <w:uiPriority w:val="99"/>
    <w:unhideWhenUsed/>
    <w:qFormat/>
    <w:rsid w:val="004411E1"/>
    <w:rPr>
      <w:vertAlign w:val="superscript"/>
    </w:rPr>
  </w:style>
  <w:style w:type="character" w:styleId="Refdecomentario">
    <w:name w:val="annotation reference"/>
    <w:basedOn w:val="Fuentedeprrafopredeter"/>
    <w:uiPriority w:val="99"/>
    <w:semiHidden/>
    <w:unhideWhenUsed/>
    <w:rsid w:val="004411E1"/>
    <w:rPr>
      <w:sz w:val="16"/>
      <w:szCs w:val="16"/>
    </w:rPr>
  </w:style>
  <w:style w:type="character" w:styleId="Hipervnculo">
    <w:name w:val="Hyperlink"/>
    <w:basedOn w:val="Fuentedeprrafopredeter"/>
    <w:uiPriority w:val="99"/>
    <w:unhideWhenUsed/>
    <w:rsid w:val="004411E1"/>
    <w:rPr>
      <w:color w:val="0000FF"/>
      <w:u w:val="single"/>
    </w:rPr>
  </w:style>
  <w:style w:type="paragraph" w:styleId="Textodeglobo">
    <w:name w:val="Balloon Text"/>
    <w:basedOn w:val="Normal"/>
    <w:link w:val="TextodegloboCar"/>
    <w:uiPriority w:val="99"/>
    <w:semiHidden/>
    <w:unhideWhenUsed/>
    <w:rsid w:val="004411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1E1"/>
    <w:rPr>
      <w:rFonts w:ascii="Segoe UI" w:hAnsi="Segoe UI" w:cs="Segoe UI"/>
      <w:sz w:val="18"/>
      <w:szCs w:val="18"/>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1E1"/>
    <w:rPr>
      <w:lang w:val="es-EC"/>
    </w:rPr>
  </w:style>
  <w:style w:type="paragraph" w:styleId="Ttulo1">
    <w:name w:val="heading 1"/>
    <w:basedOn w:val="Normal"/>
    <w:next w:val="Normal"/>
    <w:link w:val="Ttulo1Car"/>
    <w:uiPriority w:val="9"/>
    <w:qFormat/>
    <w:rsid w:val="004411E1"/>
    <w:pPr>
      <w:keepNext/>
      <w:keepLines/>
      <w:spacing w:before="240" w:after="0"/>
      <w:outlineLvl w:val="0"/>
    </w:pPr>
    <w:rPr>
      <w:rFonts w:ascii="Bookman Old Style" w:eastAsiaTheme="majorEastAsia" w:hAnsi="Bookman Old Styl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11E1"/>
    <w:rPr>
      <w:rFonts w:ascii="Bookman Old Style" w:eastAsiaTheme="majorEastAsia" w:hAnsi="Bookman Old Style" w:cstheme="majorBidi"/>
      <w:b/>
      <w:sz w:val="24"/>
      <w:szCs w:val="32"/>
      <w:lang w:val="es-EC"/>
    </w:rPr>
  </w:style>
  <w:style w:type="paragraph" w:styleId="Textocomentario">
    <w:name w:val="annotation text"/>
    <w:basedOn w:val="Normal"/>
    <w:link w:val="TextocomentarioCar"/>
    <w:uiPriority w:val="99"/>
    <w:unhideWhenUsed/>
    <w:rsid w:val="004411E1"/>
    <w:pPr>
      <w:spacing w:line="240" w:lineRule="auto"/>
    </w:pPr>
    <w:rPr>
      <w:sz w:val="20"/>
      <w:szCs w:val="20"/>
    </w:rPr>
  </w:style>
  <w:style w:type="character" w:customStyle="1" w:styleId="TextocomentarioCar">
    <w:name w:val="Texto comentario Car"/>
    <w:basedOn w:val="Fuentedeprrafopredeter"/>
    <w:link w:val="Textocomentario"/>
    <w:uiPriority w:val="99"/>
    <w:rsid w:val="004411E1"/>
    <w:rPr>
      <w:sz w:val="20"/>
      <w:szCs w:val="20"/>
      <w:lang w:val="es-EC"/>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FA Fu?notente"/>
    <w:basedOn w:val="Normal"/>
    <w:link w:val="TextonotapieCar"/>
    <w:uiPriority w:val="99"/>
    <w:unhideWhenUsed/>
    <w:qFormat/>
    <w:rsid w:val="004411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411E1"/>
    <w:rPr>
      <w:sz w:val="20"/>
      <w:szCs w:val="20"/>
      <w:lang w:val="es-EC"/>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
    <w:basedOn w:val="Fuentedeprrafopredeter"/>
    <w:uiPriority w:val="99"/>
    <w:unhideWhenUsed/>
    <w:qFormat/>
    <w:rsid w:val="004411E1"/>
    <w:rPr>
      <w:vertAlign w:val="superscript"/>
    </w:rPr>
  </w:style>
  <w:style w:type="character" w:styleId="Refdecomentario">
    <w:name w:val="annotation reference"/>
    <w:basedOn w:val="Fuentedeprrafopredeter"/>
    <w:uiPriority w:val="99"/>
    <w:semiHidden/>
    <w:unhideWhenUsed/>
    <w:rsid w:val="004411E1"/>
    <w:rPr>
      <w:sz w:val="16"/>
      <w:szCs w:val="16"/>
    </w:rPr>
  </w:style>
  <w:style w:type="character" w:styleId="Hipervnculo">
    <w:name w:val="Hyperlink"/>
    <w:basedOn w:val="Fuentedeprrafopredeter"/>
    <w:uiPriority w:val="99"/>
    <w:unhideWhenUsed/>
    <w:rsid w:val="004411E1"/>
    <w:rPr>
      <w:color w:val="0000FF"/>
      <w:u w:val="single"/>
    </w:rPr>
  </w:style>
  <w:style w:type="paragraph" w:styleId="Textodeglobo">
    <w:name w:val="Balloon Text"/>
    <w:basedOn w:val="Normal"/>
    <w:link w:val="TextodegloboCar"/>
    <w:uiPriority w:val="99"/>
    <w:semiHidden/>
    <w:unhideWhenUsed/>
    <w:rsid w:val="004411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1E1"/>
    <w:rPr>
      <w:rFonts w:ascii="Segoe UI" w:hAnsi="Segoe UI" w:cs="Segoe UI"/>
      <w:sz w:val="18"/>
      <w:szCs w:val="18"/>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iidh.ed.cr/multic/UserFiles/Biblioteca/IIDH/2_2010/XXVCurso_Inter_en_Derechos_Humanos_Discursos_ponencias/17.%20HFaundez_doc.pdf" TargetMode="External"/><Relationship Id="rId2" Type="http://schemas.openxmlformats.org/officeDocument/2006/relationships/hyperlink" Target="https://www.oas.org/dil/esp/tratados_B-32_Convencion_Americana_sobre_Derechos_Humanos_firmas.htm" TargetMode="External"/><Relationship Id="rId1" Type="http://schemas.openxmlformats.org/officeDocument/2006/relationships/hyperlink" Target="http://www.oas.org/es/cidh/docs/enlaces/conferencia%20interamericana.pdf" TargetMode="External"/><Relationship Id="rId4" Type="http://schemas.openxmlformats.org/officeDocument/2006/relationships/hyperlink" Target="https://www.upf.edu/dhes-alfa/materiales/res/pmdh_pdf/PMDH_Manual.213-24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3166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Vivanco Carla</cp:lastModifiedBy>
  <cp:revision>2</cp:revision>
  <dcterms:created xsi:type="dcterms:W3CDTF">2018-07-13T14:16:00Z</dcterms:created>
  <dcterms:modified xsi:type="dcterms:W3CDTF">2018-07-13T14:16:00Z</dcterms:modified>
</cp:coreProperties>
</file>