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D" w:rsidRPr="006B7455" w:rsidRDefault="00086B4D" w:rsidP="00086B4D">
      <w:pPr>
        <w:pStyle w:val="Ttulo1"/>
        <w:spacing w:before="0" w:line="360" w:lineRule="auto"/>
        <w:jc w:val="both"/>
        <w:rPr>
          <w:rFonts w:eastAsia="BatangChe"/>
          <w:szCs w:val="24"/>
        </w:rPr>
      </w:pPr>
      <w:bookmarkStart w:id="0" w:name="_GoBack"/>
      <w:bookmarkEnd w:id="0"/>
      <w:r w:rsidRPr="006B7455">
        <w:rPr>
          <w:rFonts w:eastAsia="BatangChe"/>
          <w:szCs w:val="24"/>
        </w:rPr>
        <w:t>BREVE DESCRIPCIÓN DEL PROCEDIMIENTO INTERAMERICANO</w:t>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 xml:space="preserve">El Sistema Interamericano de Protección a Derechos Humanos está compuesto por dos organismos, uno de carácter cuasi judicial desarrollado ante la Comisión Interamericana de Derechos Humanos (CIDH) y otro judicial, que es la Corte Interamericana de Derechos Humanos (Corte IDH). Los casos conocidos por cada uno de los organismos se desarrollan al amparo de lo previsto en la Convención Americana sobre Derechos Humanos (CADH), así como de los Reglamentos y Estatutos, fuentes primarias del SIDH. </w:t>
      </w:r>
    </w:p>
    <w:p w:rsidR="00086B4D" w:rsidRDefault="00086B4D" w:rsidP="00086B4D">
      <w:pPr>
        <w:pStyle w:val="Ttulo2"/>
        <w:spacing w:before="0" w:line="360" w:lineRule="auto"/>
        <w:jc w:val="both"/>
        <w:rPr>
          <w:rFonts w:eastAsia="BatangChe"/>
          <w:szCs w:val="24"/>
        </w:rPr>
      </w:pPr>
      <w:bookmarkStart w:id="1" w:name="_Toc500843635"/>
    </w:p>
    <w:p w:rsidR="00086B4D" w:rsidRPr="006B7455" w:rsidRDefault="00086B4D" w:rsidP="00086B4D">
      <w:pPr>
        <w:pStyle w:val="Ttulo2"/>
        <w:spacing w:before="0" w:line="360" w:lineRule="auto"/>
        <w:jc w:val="both"/>
        <w:rPr>
          <w:rFonts w:eastAsia="BatangChe"/>
          <w:szCs w:val="24"/>
        </w:rPr>
      </w:pPr>
      <w:r w:rsidRPr="006B7455">
        <w:rPr>
          <w:rFonts w:eastAsia="BatangChe"/>
          <w:szCs w:val="24"/>
        </w:rPr>
        <w:t xml:space="preserve"> Proceso ante la Comisión Interamericana de Derechos Humanos</w:t>
      </w:r>
      <w:bookmarkEnd w:id="1"/>
    </w:p>
    <w:p w:rsidR="00086B4D" w:rsidRPr="00086B4D" w:rsidRDefault="00086B4D" w:rsidP="00086B4D">
      <w:pPr>
        <w:spacing w:after="0" w:line="360" w:lineRule="auto"/>
        <w:jc w:val="both"/>
        <w:rPr>
          <w:rFonts w:ascii="Bookman Old Style" w:eastAsia="BatangChe" w:hAnsi="Bookman Old Style" w:cs="Bookman Old Style"/>
          <w:sz w:val="24"/>
          <w:szCs w:val="24"/>
          <w:lang w:val="es-ES_tradnl"/>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La Convención Americana sobre Derechos Humanos en su artículo 41 literal f</w:t>
      </w:r>
      <w:r>
        <w:rPr>
          <w:rFonts w:ascii="Bookman Old Style" w:eastAsia="BatangChe" w:hAnsi="Bookman Old Style" w:cs="Bookman Old Style"/>
          <w:sz w:val="24"/>
          <w:szCs w:val="24"/>
        </w:rPr>
        <w:t>)</w:t>
      </w:r>
      <w:r w:rsidRPr="006B7455">
        <w:rPr>
          <w:rFonts w:ascii="Bookman Old Style" w:eastAsia="BatangChe" w:hAnsi="Bookman Old Style" w:cs="Bookman Old Style"/>
          <w:sz w:val="24"/>
          <w:szCs w:val="24"/>
        </w:rPr>
        <w:t xml:space="preserve"> determina que una de las funciones de la Comisión es actuar respecto de las peticiones y otras comunicaciones en ejercicio de su autoridad de conformidad con los preceptos determinados en los artículos 44 al 51 del mismo instrumento. Lo cual tiene relación con el artículo 23</w:t>
      </w:r>
      <w:r w:rsidRPr="006B7455">
        <w:rPr>
          <w:rStyle w:val="Refdenotaalpie"/>
          <w:rFonts w:ascii="Bookman Old Style" w:eastAsia="BatangChe" w:hAnsi="Bookman Old Style" w:cs="Bookman Old Style"/>
          <w:sz w:val="24"/>
          <w:szCs w:val="24"/>
        </w:rPr>
        <w:footnoteReference w:id="1"/>
      </w:r>
      <w:r w:rsidRPr="006B7455">
        <w:rPr>
          <w:rFonts w:ascii="Bookman Old Style" w:eastAsia="BatangChe" w:hAnsi="Bookman Old Style" w:cs="Bookman Old Style"/>
          <w:sz w:val="24"/>
          <w:szCs w:val="24"/>
        </w:rPr>
        <w:t xml:space="preserve"> del Reglamento vigente del organismo. </w:t>
      </w:r>
    </w:p>
    <w:p w:rsidR="00086B4D" w:rsidRDefault="00086B4D" w:rsidP="00086B4D">
      <w:pPr>
        <w:widowControl w:val="0"/>
        <w:spacing w:after="0" w:line="360" w:lineRule="auto"/>
        <w:contextualSpacing/>
        <w:jc w:val="both"/>
        <w:rPr>
          <w:rFonts w:ascii="Bookman Old Style" w:eastAsia="BatangChe" w:hAnsi="Bookman Old Style" w:cs="Bookman Old Style"/>
          <w:b/>
          <w:bCs/>
          <w:sz w:val="24"/>
          <w:szCs w:val="24"/>
        </w:rPr>
      </w:pPr>
    </w:p>
    <w:p w:rsidR="00086B4D" w:rsidRPr="006B7455" w:rsidRDefault="00086B4D" w:rsidP="00086B4D">
      <w:pPr>
        <w:widowControl w:val="0"/>
        <w:spacing w:after="0" w:line="360" w:lineRule="auto"/>
        <w:contextualSpacing/>
        <w:jc w:val="both"/>
        <w:rPr>
          <w:rFonts w:ascii="Bookman Old Style" w:eastAsia="BatangChe" w:hAnsi="Bookman Old Style"/>
          <w:b/>
          <w:bCs/>
          <w:sz w:val="24"/>
          <w:szCs w:val="24"/>
        </w:rPr>
      </w:pPr>
      <w:r w:rsidRPr="006B7455">
        <w:rPr>
          <w:rFonts w:ascii="Bookman Old Style" w:eastAsia="BatangChe" w:hAnsi="Bookman Old Style" w:cs="Bookman Old Style"/>
          <w:b/>
          <w:bCs/>
          <w:sz w:val="24"/>
          <w:szCs w:val="24"/>
        </w:rPr>
        <w:t xml:space="preserve">Revisión inicial y admisibilidad </w:t>
      </w:r>
    </w:p>
    <w:p w:rsidR="00086B4D" w:rsidRPr="006B7455" w:rsidRDefault="00086B4D" w:rsidP="00086B4D">
      <w:pPr>
        <w:spacing w:after="0" w:line="360" w:lineRule="auto"/>
        <w:ind w:left="720"/>
        <w:contextualSpacing/>
        <w:jc w:val="both"/>
        <w:rPr>
          <w:rFonts w:ascii="Bookman Old Style" w:eastAsia="BatangChe" w:hAnsi="Bookman Old Style"/>
          <w:b/>
          <w:sz w:val="24"/>
          <w:szCs w:val="24"/>
        </w:rPr>
      </w:pPr>
    </w:p>
    <w:p w:rsidR="00086B4D"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El artículo 26</w:t>
      </w:r>
      <w:r w:rsidRPr="006B7455">
        <w:rPr>
          <w:rStyle w:val="Refdenotaalpie"/>
          <w:rFonts w:ascii="Bookman Old Style" w:eastAsia="BatangChe" w:hAnsi="Bookman Old Style" w:cs="Bookman Old Style"/>
          <w:sz w:val="24"/>
          <w:szCs w:val="24"/>
        </w:rPr>
        <w:footnoteReference w:id="2"/>
      </w:r>
      <w:r w:rsidRPr="006B7455">
        <w:rPr>
          <w:rFonts w:ascii="Bookman Old Style" w:eastAsia="BatangChe" w:hAnsi="Bookman Old Style" w:cs="Bookman Old Style"/>
          <w:sz w:val="24"/>
          <w:szCs w:val="24"/>
        </w:rPr>
        <w:t xml:space="preserve"> del Reglamento de la CIDH determina que la Secretaria Ejecutiva tiene la responsabilidad del estudio y tramitación inicial de las peticiones presentadas, las cuales deben cumplir con los requisitos establecidos en el artículo 28</w:t>
      </w:r>
      <w:r w:rsidRPr="006B7455">
        <w:rPr>
          <w:rStyle w:val="Refdenotaalpie"/>
          <w:rFonts w:ascii="Bookman Old Style" w:eastAsia="BatangChe" w:hAnsi="Bookman Old Style" w:cs="Bookman Old Style"/>
          <w:sz w:val="24"/>
          <w:szCs w:val="24"/>
        </w:rPr>
        <w:footnoteReference w:id="3"/>
      </w:r>
      <w:r w:rsidRPr="006B7455">
        <w:rPr>
          <w:rFonts w:ascii="Bookman Old Style" w:eastAsia="BatangChe" w:hAnsi="Bookman Old Style" w:cs="Bookman Old Style"/>
          <w:sz w:val="24"/>
          <w:szCs w:val="24"/>
        </w:rPr>
        <w:t xml:space="preserve"> del mismo instrumento; si la petición no cumpliere con lo establecido en el mencionado ar</w:t>
      </w:r>
      <w:r>
        <w:rPr>
          <w:rFonts w:ascii="Bookman Old Style" w:eastAsia="BatangChe" w:hAnsi="Bookman Old Style" w:cs="Bookman Old Style"/>
          <w:sz w:val="24"/>
          <w:szCs w:val="24"/>
        </w:rPr>
        <w:t>tículo, la Secretaria solicitará</w:t>
      </w:r>
      <w:r w:rsidRPr="006B7455">
        <w:rPr>
          <w:rFonts w:ascii="Bookman Old Style" w:eastAsia="BatangChe" w:hAnsi="Bookman Old Style" w:cs="Bookman Old Style"/>
          <w:sz w:val="24"/>
          <w:szCs w:val="24"/>
        </w:rPr>
        <w:t xml:space="preserve"> al peticionario que los complete. Dentro de la Tramitación Inicial el artículo 29</w:t>
      </w:r>
      <w:r w:rsidRPr="006B7455">
        <w:rPr>
          <w:rStyle w:val="Refdenotaalpie"/>
          <w:rFonts w:ascii="Bookman Old Style" w:eastAsia="BatangChe" w:hAnsi="Bookman Old Style" w:cs="Bookman Old Style"/>
          <w:sz w:val="24"/>
          <w:szCs w:val="24"/>
        </w:rPr>
        <w:footnoteReference w:id="4"/>
      </w:r>
      <w:r w:rsidRPr="006B7455">
        <w:rPr>
          <w:rFonts w:ascii="Bookman Old Style" w:eastAsia="BatangChe" w:hAnsi="Bookman Old Style" w:cs="Bookman Old Style"/>
          <w:sz w:val="24"/>
          <w:szCs w:val="24"/>
        </w:rPr>
        <w:t xml:space="preserve"> </w:t>
      </w:r>
      <w:r w:rsidRPr="006B7455">
        <w:rPr>
          <w:rFonts w:ascii="Bookman Old Style" w:eastAsia="BatangChe" w:hAnsi="Bookman Old Style" w:cs="Bookman Old Style"/>
          <w:sz w:val="24"/>
          <w:szCs w:val="24"/>
        </w:rPr>
        <w:lastRenderedPageBreak/>
        <w:t>determina que las peticiones serán estudiadas en orden de entrada, pero podrán ser observadas con antelación si cumplen con los requisitos determinados en dicho artículo</w:t>
      </w:r>
      <w:r w:rsidRPr="006B7455">
        <w:rPr>
          <w:rStyle w:val="Refdenotaalpie"/>
          <w:rFonts w:ascii="Bookman Old Style" w:eastAsia="BatangChe" w:hAnsi="Bookman Old Style" w:cs="Bookman Old Style"/>
          <w:sz w:val="24"/>
          <w:szCs w:val="24"/>
        </w:rPr>
        <w:footnoteReference w:id="5"/>
      </w:r>
      <w:r w:rsidRPr="006B7455">
        <w:rPr>
          <w:rFonts w:ascii="Bookman Old Style" w:eastAsia="BatangChe" w:hAnsi="Bookman Old Style" w:cs="Bookman Old Style"/>
          <w:sz w:val="24"/>
          <w:szCs w:val="24"/>
        </w:rPr>
        <w:t xml:space="preserve">. Además establece que si dos o más peticiones versan sobre hechos similares o involucren a las mismas personas la Comisión podrá acumularlas y tramitarlas en el mismo expediente. </w:t>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Una vez realizada la revisión inicial, la CIDH transmitirá la petición al Estado y el mismo deberá presentar, en un plazo máximo de tres meses, sus observaciones, pudiendo requerir una prórroga al organismo, que no exceda de cuatro meses contados a partir de la fecha del env</w:t>
      </w:r>
      <w:r>
        <w:rPr>
          <w:rFonts w:ascii="Bookman Old Style" w:eastAsia="BatangChe" w:hAnsi="Bookman Old Style" w:cs="Bookman Old Style"/>
          <w:sz w:val="24"/>
          <w:szCs w:val="24"/>
        </w:rPr>
        <w:t>ío</w:t>
      </w:r>
      <w:r w:rsidRPr="006B7455">
        <w:rPr>
          <w:rFonts w:ascii="Bookman Old Style" w:eastAsia="BatangChe" w:hAnsi="Bookman Old Style" w:cs="Bookman Old Style"/>
          <w:sz w:val="24"/>
          <w:szCs w:val="24"/>
        </w:rPr>
        <w:t xml:space="preserve"> de la primera solicitud de información</w:t>
      </w:r>
      <w:r w:rsidRPr="006B7455">
        <w:rPr>
          <w:rStyle w:val="Refdenotaalpie"/>
          <w:rFonts w:ascii="Bookman Old Style" w:eastAsia="BatangChe" w:hAnsi="Bookman Old Style" w:cs="Bookman Old Style"/>
          <w:sz w:val="24"/>
          <w:szCs w:val="24"/>
        </w:rPr>
        <w:footnoteReference w:id="6"/>
      </w:r>
      <w:r w:rsidRPr="006B7455">
        <w:rPr>
          <w:rFonts w:ascii="Bookman Old Style" w:eastAsia="BatangChe" w:hAnsi="Bookman Old Style" w:cs="Bookman Old Style"/>
          <w:sz w:val="24"/>
          <w:szCs w:val="24"/>
        </w:rPr>
        <w:t xml:space="preserve">. </w:t>
      </w:r>
    </w:p>
    <w:p w:rsidR="00086B4D"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 xml:space="preserve">Además, el artículo 30 establece que antes de que la CIDH se pronuncie sobre la admisibilidad de la petición podrá </w:t>
      </w:r>
      <w:r>
        <w:rPr>
          <w:rFonts w:ascii="Bookman Old Style" w:eastAsia="BatangChe" w:hAnsi="Bookman Old Style" w:cs="Bookman Old Style"/>
          <w:sz w:val="24"/>
          <w:szCs w:val="24"/>
        </w:rPr>
        <w:t>instar</w:t>
      </w:r>
      <w:r w:rsidRPr="006B7455">
        <w:rPr>
          <w:rFonts w:ascii="Bookman Old Style" w:eastAsia="BatangChe" w:hAnsi="Bookman Old Style" w:cs="Bookman Old Style"/>
          <w:sz w:val="24"/>
          <w:szCs w:val="24"/>
        </w:rPr>
        <w:t xml:space="preserve"> a las partes a presentar observaciones adicionales, mismas que deberán ser presentadas antes que la Comisión tome una decisión sobre la admisibilidad</w:t>
      </w:r>
      <w:r w:rsidRPr="006B7455">
        <w:rPr>
          <w:rStyle w:val="Refdenotaalpie"/>
          <w:rFonts w:ascii="Bookman Old Style" w:eastAsia="BatangChe" w:hAnsi="Bookman Old Style" w:cs="Bookman Old Style"/>
          <w:sz w:val="24"/>
          <w:szCs w:val="24"/>
        </w:rPr>
        <w:footnoteReference w:id="7"/>
      </w:r>
      <w:r w:rsidRPr="006B7455">
        <w:rPr>
          <w:rFonts w:ascii="Bookman Old Style" w:eastAsia="BatangChe" w:hAnsi="Bookman Old Style" w:cs="Bookman Old Style"/>
          <w:sz w:val="24"/>
          <w:szCs w:val="24"/>
        </w:rPr>
        <w:t xml:space="preserve">. </w:t>
      </w:r>
    </w:p>
    <w:p w:rsidR="00086B4D"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 xml:space="preserve">Para tomar una decisión sobre la admisibilidad, la CIDH verificará que se hayan agotado todos los recursos de la jurisdicción interna, conforme a los principios del derecho internacional reconocidos, así como que la petición haya sido presentada dentro del plazo de seis meses contados a partir de la fecha en que la presunta víctima haya sido notificada de la decisión que agota los </w:t>
      </w:r>
      <w:r w:rsidRPr="006B7455">
        <w:rPr>
          <w:rFonts w:ascii="Bookman Old Style" w:eastAsia="BatangChe" w:hAnsi="Bookman Old Style" w:cs="Bookman Old Style"/>
          <w:sz w:val="24"/>
          <w:szCs w:val="24"/>
        </w:rPr>
        <w:lastRenderedPageBreak/>
        <w:t>recursos internos</w:t>
      </w:r>
      <w:r w:rsidRPr="006B7455">
        <w:rPr>
          <w:rStyle w:val="Refdenotaalpie"/>
          <w:rFonts w:ascii="Bookman Old Style" w:eastAsia="BatangChe" w:hAnsi="Bookman Old Style" w:cs="Bookman Old Style"/>
          <w:sz w:val="24"/>
          <w:szCs w:val="24"/>
        </w:rPr>
        <w:footnoteReference w:id="8"/>
      </w:r>
      <w:r w:rsidRPr="006B7455">
        <w:rPr>
          <w:rFonts w:ascii="Bookman Old Style" w:eastAsia="BatangChe" w:hAnsi="Bookman Old Style" w:cs="Bookman Old Style"/>
          <w:sz w:val="24"/>
          <w:szCs w:val="24"/>
        </w:rPr>
        <w:t xml:space="preserve">, también observará que la petición no se encuentre en conocimiento de otro organismo internacional. </w:t>
      </w:r>
    </w:p>
    <w:p w:rsidR="00086B4D"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La CIDH dentro de su reglamento establece que puede: declarar la inadmisibilidad</w:t>
      </w:r>
      <w:r w:rsidRPr="006B7455">
        <w:rPr>
          <w:rStyle w:val="Refdenotaalpie"/>
          <w:rFonts w:ascii="Bookman Old Style" w:eastAsia="BatangChe" w:hAnsi="Bookman Old Style" w:cs="Bookman Old Style"/>
          <w:sz w:val="24"/>
          <w:szCs w:val="24"/>
        </w:rPr>
        <w:footnoteReference w:id="9"/>
      </w:r>
      <w:r w:rsidRPr="006B7455">
        <w:rPr>
          <w:rFonts w:ascii="Bookman Old Style" w:eastAsia="BatangChe" w:hAnsi="Bookman Old Style" w:cs="Bookman Old Style"/>
          <w:sz w:val="24"/>
          <w:szCs w:val="24"/>
        </w:rPr>
        <w:t>, declarar la admisibilidad, diferir el tratamiento de la admisibilidad hasta el debate y decisión sobre el fondo</w:t>
      </w:r>
      <w:r w:rsidRPr="006B7455">
        <w:rPr>
          <w:rStyle w:val="Refdenotaalpie"/>
          <w:rFonts w:ascii="Bookman Old Style" w:eastAsia="BatangChe" w:hAnsi="Bookman Old Style" w:cs="Bookman Old Style"/>
          <w:sz w:val="24"/>
          <w:szCs w:val="24"/>
        </w:rPr>
        <w:footnoteReference w:id="10"/>
      </w:r>
      <w:r w:rsidRPr="006B7455">
        <w:rPr>
          <w:rFonts w:ascii="Bookman Old Style" w:eastAsia="BatangChe" w:hAnsi="Bookman Old Style" w:cs="Bookman Old Style"/>
          <w:sz w:val="24"/>
          <w:szCs w:val="24"/>
        </w:rPr>
        <w:t>, o archivar el expediente en cualquier momento del procedimiento</w:t>
      </w:r>
      <w:r w:rsidRPr="006B7455">
        <w:rPr>
          <w:rStyle w:val="Refdenotaalpie"/>
          <w:rFonts w:ascii="Bookman Old Style" w:eastAsia="BatangChe" w:hAnsi="Bookman Old Style" w:cs="Bookman Old Style"/>
          <w:sz w:val="24"/>
          <w:szCs w:val="24"/>
        </w:rPr>
        <w:footnoteReference w:id="11"/>
      </w:r>
      <w:r w:rsidRPr="006B7455">
        <w:rPr>
          <w:rFonts w:ascii="Bookman Old Style" w:eastAsia="BatangChe" w:hAnsi="Bookman Old Style" w:cs="Bookman Old Style"/>
          <w:sz w:val="24"/>
          <w:szCs w:val="24"/>
        </w:rPr>
        <w:t>.</w:t>
      </w:r>
    </w:p>
    <w:p w:rsidR="00086B4D" w:rsidRDefault="00086B4D" w:rsidP="00086B4D">
      <w:pPr>
        <w:widowControl w:val="0"/>
        <w:spacing w:after="0" w:line="360" w:lineRule="auto"/>
        <w:contextualSpacing/>
        <w:jc w:val="both"/>
        <w:rPr>
          <w:rFonts w:ascii="Bookman Old Style" w:eastAsia="BatangChe" w:hAnsi="Bookman Old Style" w:cs="Bookman Old Style"/>
          <w:b/>
          <w:bCs/>
          <w:sz w:val="24"/>
          <w:szCs w:val="24"/>
        </w:rPr>
      </w:pPr>
    </w:p>
    <w:p w:rsidR="00086B4D" w:rsidRPr="006B7455" w:rsidRDefault="00086B4D" w:rsidP="00086B4D">
      <w:pPr>
        <w:widowControl w:val="0"/>
        <w:spacing w:after="0" w:line="360" w:lineRule="auto"/>
        <w:contextualSpacing/>
        <w:jc w:val="both"/>
        <w:rPr>
          <w:rFonts w:ascii="Bookman Old Style" w:eastAsia="BatangChe" w:hAnsi="Bookman Old Style"/>
          <w:b/>
          <w:bCs/>
          <w:sz w:val="24"/>
          <w:szCs w:val="24"/>
        </w:rPr>
      </w:pPr>
      <w:r w:rsidRPr="006B7455">
        <w:rPr>
          <w:rFonts w:ascii="Bookman Old Style" w:eastAsia="BatangChe" w:hAnsi="Bookman Old Style" w:cs="Bookman Old Style"/>
          <w:b/>
          <w:bCs/>
          <w:sz w:val="24"/>
          <w:szCs w:val="24"/>
        </w:rPr>
        <w:t xml:space="preserve">Procedimiento de Fondo: </w:t>
      </w:r>
    </w:p>
    <w:p w:rsidR="00086B4D" w:rsidRPr="006B7455" w:rsidRDefault="00086B4D" w:rsidP="00086B4D">
      <w:pPr>
        <w:spacing w:after="0" w:line="360" w:lineRule="auto"/>
        <w:ind w:left="720"/>
        <w:contextualSpacing/>
        <w:jc w:val="both"/>
        <w:rPr>
          <w:rFonts w:ascii="Bookman Old Style" w:eastAsia="BatangChe" w:hAnsi="Bookman Old Style"/>
          <w:b/>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Declarada la admisibilidad de la petición, se inicia el procedimiento sobre el fondo, la CIDH en razón del artículo 37</w:t>
      </w:r>
      <w:r w:rsidRPr="006B7455">
        <w:rPr>
          <w:rFonts w:ascii="Bookman Old Style" w:eastAsia="BatangChe" w:hAnsi="Bookman Old Style" w:cs="Bookman Old Style"/>
          <w:sz w:val="24"/>
          <w:szCs w:val="24"/>
          <w:vertAlign w:val="superscript"/>
        </w:rPr>
        <w:footnoteReference w:id="12"/>
      </w:r>
      <w:r w:rsidRPr="006B7455">
        <w:rPr>
          <w:rFonts w:ascii="Bookman Old Style" w:eastAsia="BatangChe" w:hAnsi="Bookman Old Style" w:cs="Bookman Old Style"/>
          <w:sz w:val="24"/>
          <w:szCs w:val="24"/>
        </w:rPr>
        <w:t xml:space="preserve"> de su Reglamento establece un plazo de cuatro meses para que los peticionarios presenten sus observaciones adicionales, las cuales deberán ser remitidas al Estado para que presente su posición jurídica.</w:t>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Previo a pronunciarse sobre el fondo, la Comisión fijara un plazo para que las partes manifiesten su interés en iniciar el procedimiento de solución amistosa en base a lo determinado por el artículo 40</w:t>
      </w:r>
      <w:r w:rsidRPr="006B7455">
        <w:rPr>
          <w:rFonts w:ascii="Bookman Old Style" w:eastAsia="BatangChe" w:hAnsi="Bookman Old Style" w:cs="Bookman Old Style"/>
          <w:sz w:val="24"/>
          <w:szCs w:val="24"/>
          <w:vertAlign w:val="superscript"/>
        </w:rPr>
        <w:footnoteReference w:id="13"/>
      </w:r>
      <w:r w:rsidRPr="006B7455">
        <w:rPr>
          <w:rFonts w:ascii="Bookman Old Style" w:eastAsia="BatangChe" w:hAnsi="Bookman Old Style" w:cs="Bookman Old Style"/>
          <w:sz w:val="24"/>
          <w:szCs w:val="24"/>
        </w:rPr>
        <w:t xml:space="preserve"> del Reglamento, en esta fase se invitará a las partes a buscar un acuerdo para encontrar una solución que establezca medidas de reparación beneficiosas para las presuntas víctimas</w:t>
      </w:r>
      <w:r w:rsidRPr="006B7455">
        <w:rPr>
          <w:rFonts w:ascii="Bookman Old Style" w:eastAsia="BatangChe" w:hAnsi="Bookman Old Style" w:cs="Bookman Old Style"/>
          <w:sz w:val="24"/>
          <w:szCs w:val="24"/>
          <w:vertAlign w:val="superscript"/>
        </w:rPr>
        <w:footnoteReference w:id="14"/>
      </w:r>
      <w:r w:rsidRPr="006B7455">
        <w:rPr>
          <w:rFonts w:ascii="Bookman Old Style" w:eastAsia="BatangChe" w:hAnsi="Bookman Old Style" w:cs="Bookman Old Style"/>
          <w:sz w:val="24"/>
          <w:szCs w:val="24"/>
        </w:rPr>
        <w:t>.</w:t>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El artículo 43 establece que la Comisión deliberar</w:t>
      </w:r>
      <w:r>
        <w:rPr>
          <w:rFonts w:ascii="Bookman Old Style" w:eastAsia="BatangChe" w:hAnsi="Bookman Old Style" w:cs="Bookman Old Style"/>
          <w:sz w:val="24"/>
          <w:szCs w:val="24"/>
        </w:rPr>
        <w:t>á</w:t>
      </w:r>
      <w:r w:rsidRPr="006B7455">
        <w:rPr>
          <w:rFonts w:ascii="Bookman Old Style" w:eastAsia="BatangChe" w:hAnsi="Bookman Old Style" w:cs="Bookman Old Style"/>
          <w:sz w:val="24"/>
          <w:szCs w:val="24"/>
        </w:rPr>
        <w:t xml:space="preserve"> sobre el fondo del caso en base a la información proporcionada, esta decisión se la realizar</w:t>
      </w:r>
      <w:r>
        <w:rPr>
          <w:rFonts w:ascii="Bookman Old Style" w:eastAsia="BatangChe" w:hAnsi="Bookman Old Style" w:cs="Bookman Old Style"/>
          <w:sz w:val="24"/>
          <w:szCs w:val="24"/>
        </w:rPr>
        <w:t>á</w:t>
      </w:r>
      <w:r w:rsidRPr="006B7455">
        <w:rPr>
          <w:rFonts w:ascii="Bookman Old Style" w:eastAsia="BatangChe" w:hAnsi="Bookman Old Style" w:cs="Bookman Old Style"/>
          <w:sz w:val="24"/>
          <w:szCs w:val="24"/>
        </w:rPr>
        <w:t xml:space="preserve"> en privado y </w:t>
      </w:r>
      <w:r w:rsidRPr="006B7455">
        <w:rPr>
          <w:rFonts w:ascii="Bookman Old Style" w:eastAsia="BatangChe" w:hAnsi="Bookman Old Style" w:cs="Bookman Old Style"/>
          <w:sz w:val="24"/>
          <w:szCs w:val="24"/>
        </w:rPr>
        <w:lastRenderedPageBreak/>
        <w:t>toda cuestión será puesta a votación</w:t>
      </w:r>
      <w:r w:rsidRPr="006B7455">
        <w:rPr>
          <w:rStyle w:val="Refdenotaalpie"/>
          <w:rFonts w:ascii="Bookman Old Style" w:eastAsia="BatangChe" w:hAnsi="Bookman Old Style" w:cs="Bookman Old Style"/>
          <w:sz w:val="24"/>
          <w:szCs w:val="24"/>
        </w:rPr>
        <w:footnoteReference w:id="15"/>
      </w:r>
      <w:r w:rsidRPr="006B7455">
        <w:rPr>
          <w:rFonts w:ascii="Bookman Old Style" w:eastAsia="BatangChe" w:hAnsi="Bookman Old Style" w:cs="Bookman Old Style"/>
          <w:sz w:val="24"/>
          <w:szCs w:val="24"/>
        </w:rPr>
        <w:t>, luego de la deliberación se realizara el Informe de Fondo el cual establecerá si existe o no una violación de Derechos Humanos en base a lo determinado en el artículo 44 del Reglamento.</w:t>
      </w:r>
      <w:r w:rsidRPr="006B7455">
        <w:rPr>
          <w:rFonts w:ascii="Bookman Old Style" w:eastAsia="BatangChe" w:hAnsi="Bookman Old Style" w:cs="Bookman Old Style"/>
          <w:sz w:val="24"/>
          <w:szCs w:val="24"/>
          <w:vertAlign w:val="superscript"/>
        </w:rPr>
        <w:footnoteReference w:id="16"/>
      </w:r>
      <w:r w:rsidRPr="006B7455">
        <w:rPr>
          <w:rFonts w:ascii="Bookman Old Style" w:eastAsia="BatangChe" w:hAnsi="Bookman Old Style" w:cs="Bookman Old Style"/>
          <w:sz w:val="24"/>
          <w:szCs w:val="24"/>
        </w:rPr>
        <w:t xml:space="preserve"> Si a criterio de la CIDH, el Estado no ha cumplido con las recomendaciones del informe, de conformidad con lo establecido en el artículo 45 del Reglamento, la Comisión podrá someter el caso a la Corte Interamericana de Derechos Humanos</w:t>
      </w:r>
      <w:r w:rsidRPr="006B7455">
        <w:rPr>
          <w:rStyle w:val="Refdenotaalpie"/>
          <w:rFonts w:ascii="Bookman Old Style" w:eastAsia="BatangChe" w:hAnsi="Bookman Old Style" w:cs="Bookman Old Style"/>
          <w:sz w:val="24"/>
          <w:szCs w:val="24"/>
        </w:rPr>
        <w:footnoteReference w:id="17"/>
      </w:r>
      <w:r w:rsidRPr="006B7455">
        <w:rPr>
          <w:rFonts w:ascii="Bookman Old Style" w:eastAsia="BatangChe" w:hAnsi="Bookman Old Style" w:cs="Bookman Old Style"/>
          <w:sz w:val="24"/>
          <w:szCs w:val="24"/>
        </w:rPr>
        <w:t xml:space="preserve">. </w:t>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pStyle w:val="Ttulo2"/>
        <w:spacing w:before="0" w:line="360" w:lineRule="auto"/>
        <w:jc w:val="both"/>
        <w:rPr>
          <w:rFonts w:eastAsia="BatangChe"/>
          <w:szCs w:val="24"/>
        </w:rPr>
      </w:pPr>
      <w:bookmarkStart w:id="2" w:name="_Toc500843636"/>
      <w:r w:rsidRPr="006B7455">
        <w:rPr>
          <w:rFonts w:eastAsia="BatangChe"/>
          <w:szCs w:val="24"/>
        </w:rPr>
        <w:t>Proceso ante la Corte Interamericana de Derechos Humanos</w:t>
      </w:r>
      <w:bookmarkEnd w:id="2"/>
      <w:r w:rsidRPr="006B7455">
        <w:rPr>
          <w:rFonts w:eastAsia="BatangChe"/>
          <w:szCs w:val="24"/>
        </w:rPr>
        <w:t xml:space="preserve"> </w:t>
      </w:r>
    </w:p>
    <w:p w:rsidR="00086B4D" w:rsidRPr="006B7455" w:rsidRDefault="00086B4D" w:rsidP="00086B4D">
      <w:pPr>
        <w:spacing w:after="0" w:line="360" w:lineRule="auto"/>
        <w:jc w:val="both"/>
        <w:rPr>
          <w:rFonts w:ascii="Bookman Old Style" w:eastAsia="BatangChe" w:hAnsi="Bookman Old Style"/>
          <w:sz w:val="24"/>
          <w:szCs w:val="24"/>
          <w:lang w:val="es-ES_tradnl"/>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El procedimiento ante el órgano jurisdiccional del Sistema Interamericano de Protección a Derechos Humanos se encuentra contemplado en el Reglamento del organismo. Así, el artículo 34 indica que la introducción de una causa por parte de la Comisión o de un Estado, se hará ante la Secretaría.</w:t>
      </w:r>
      <w:r w:rsidRPr="006B7455">
        <w:rPr>
          <w:rFonts w:ascii="Bookman Old Style" w:eastAsia="BatangChe" w:hAnsi="Bookman Old Style" w:cs="Bookman Old Style"/>
          <w:sz w:val="24"/>
          <w:szCs w:val="24"/>
          <w:vertAlign w:val="superscript"/>
        </w:rPr>
        <w:footnoteReference w:id="18"/>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El sometimiento del caso por parte de la Comisión debe ajustarse a lo determinado en el artículo 35</w:t>
      </w:r>
      <w:r w:rsidRPr="006B7455">
        <w:rPr>
          <w:rStyle w:val="Refdenotaalpie"/>
          <w:rFonts w:ascii="Bookman Old Style" w:eastAsia="BatangChe" w:hAnsi="Bookman Old Style" w:cs="Bookman Old Style"/>
          <w:sz w:val="24"/>
          <w:szCs w:val="24"/>
        </w:rPr>
        <w:footnoteReference w:id="19"/>
      </w:r>
      <w:r w:rsidRPr="006B7455">
        <w:rPr>
          <w:rFonts w:ascii="Bookman Old Style" w:eastAsia="BatangChe" w:hAnsi="Bookman Old Style" w:cs="Bookman Old Style"/>
          <w:sz w:val="24"/>
          <w:szCs w:val="24"/>
        </w:rPr>
        <w:t xml:space="preserve"> del Reglamento, el caso será sometido a la Corte mediante la presentación del informe al que se refiere el artículo 50 de la Convención, que   contenga   todos   los   hechos   supuestamente violatorios, inclusive la identificación de las presuntas víctimas. </w:t>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Una vez receptado el caso, la Corte realiza un examen preliminar del sometimiento, con la finalidad de verificar que los requisitos fundamentales se encuentren acatados</w:t>
      </w:r>
      <w:r w:rsidRPr="006B7455">
        <w:rPr>
          <w:rFonts w:ascii="Bookman Old Style" w:eastAsia="BatangChe" w:hAnsi="Bookman Old Style" w:cs="Bookman Old Style"/>
          <w:sz w:val="24"/>
          <w:szCs w:val="24"/>
          <w:vertAlign w:val="superscript"/>
        </w:rPr>
        <w:footnoteReference w:id="20"/>
      </w:r>
      <w:r w:rsidRPr="006B7455">
        <w:rPr>
          <w:rFonts w:ascii="Bookman Old Style" w:eastAsia="BatangChe" w:hAnsi="Bookman Old Style" w:cs="Bookman Old Style"/>
          <w:sz w:val="24"/>
          <w:szCs w:val="24"/>
        </w:rPr>
        <w:t xml:space="preserve">. Posteriormente, la Secretaría de la Corte notificará este asunto a la Presidencia, al Estado demandado, a la Comisión y a la presunta víctima, sus representantes, o el defensor Interamericano si fuere el caso. </w:t>
      </w:r>
      <w:r w:rsidRPr="006B7455">
        <w:rPr>
          <w:rFonts w:ascii="Bookman Old Style" w:eastAsia="BatangChe" w:hAnsi="Bookman Old Style" w:cs="Bookman Old Style"/>
          <w:sz w:val="24"/>
          <w:szCs w:val="24"/>
        </w:rPr>
        <w:lastRenderedPageBreak/>
        <w:t>Conjuntamente con la notificación, el Secretario solicitará al Estado que en un plazo de treinta días designe al o los agentes que participarán en el proceso así como la dirección donde deberán ser notificados</w:t>
      </w:r>
      <w:r w:rsidRPr="006B7455">
        <w:rPr>
          <w:rFonts w:ascii="Bookman Old Style" w:eastAsia="BatangChe" w:hAnsi="Bookman Old Style" w:cs="Bookman Old Style"/>
          <w:sz w:val="24"/>
          <w:szCs w:val="24"/>
          <w:vertAlign w:val="superscript"/>
        </w:rPr>
        <w:footnoteReference w:id="21"/>
      </w:r>
      <w:r w:rsidRPr="006B7455">
        <w:rPr>
          <w:rFonts w:ascii="Bookman Old Style" w:eastAsia="BatangChe" w:hAnsi="Bookman Old Style" w:cs="Bookman Old Style"/>
          <w:sz w:val="24"/>
          <w:szCs w:val="24"/>
        </w:rPr>
        <w:t>.</w:t>
      </w:r>
    </w:p>
    <w:p w:rsidR="00086B4D"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Cuando se encuentren notificados, la presunta víctima o su representante, tendrán el plazo improrrogable de dos meses para la presentación del escrito de solicitudes, argumentos y pruebas (ESAP), el cual debe contener los requisitos establecidos dentro del artículo 40 del Reglamento de la Corte</w:t>
      </w:r>
      <w:r w:rsidRPr="006B7455">
        <w:rPr>
          <w:rStyle w:val="Refdenotaalpie"/>
          <w:rFonts w:ascii="Bookman Old Style" w:eastAsia="BatangChe" w:hAnsi="Bookman Old Style" w:cs="Bookman Old Style"/>
          <w:sz w:val="24"/>
          <w:szCs w:val="24"/>
        </w:rPr>
        <w:footnoteReference w:id="22"/>
      </w:r>
      <w:r w:rsidRPr="006B7455">
        <w:rPr>
          <w:rFonts w:ascii="Bookman Old Style" w:eastAsia="BatangChe" w:hAnsi="Bookman Old Style" w:cs="Bookman Old Style"/>
          <w:sz w:val="24"/>
          <w:szCs w:val="24"/>
        </w:rPr>
        <w:t>. El artículo 41 establece que el Estado deberá presentar por escrito su posición sobre el caso, y cuando corresponda responderá al ESAP en los términos del artículo 41, en un plazo improrrogable de dos meses</w:t>
      </w:r>
      <w:r w:rsidRPr="006B7455">
        <w:rPr>
          <w:rFonts w:ascii="Bookman Old Style" w:eastAsia="BatangChe" w:hAnsi="Bookman Old Style" w:cs="Bookman Old Style"/>
          <w:sz w:val="24"/>
          <w:szCs w:val="24"/>
          <w:vertAlign w:val="superscript"/>
        </w:rPr>
        <w:footnoteReference w:id="23"/>
      </w:r>
      <w:r w:rsidRPr="006B7455">
        <w:rPr>
          <w:rFonts w:ascii="Bookman Old Style" w:eastAsia="BatangChe" w:hAnsi="Bookman Old Style" w:cs="Bookman Old Style"/>
          <w:sz w:val="24"/>
          <w:szCs w:val="24"/>
        </w:rPr>
        <w:t xml:space="preserve">. </w:t>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De igual manera, en razón al artículo 42 del Reglamento de la Corte, el Estado deberá proponer en su contestación las excepciones preliminares que considere pertinentes, sin que esto suspenda el procedimiento en cuanto al análisis de fondo del asunto. Una vez notificada la contestación al ESAP presentado por el Estado, la CIDH y las presuntas víctimas pueden presentar sus observaciones respecto a las excepciones planteadas por el Estado</w:t>
      </w:r>
      <w:r w:rsidRPr="006B7455">
        <w:rPr>
          <w:rFonts w:ascii="Bookman Old Style" w:eastAsia="BatangChe" w:hAnsi="Bookman Old Style" w:cs="Bookman Old Style"/>
          <w:sz w:val="24"/>
          <w:szCs w:val="24"/>
          <w:vertAlign w:val="superscript"/>
        </w:rPr>
        <w:footnoteReference w:id="24"/>
      </w:r>
      <w:r w:rsidRPr="006B7455">
        <w:rPr>
          <w:rFonts w:ascii="Bookman Old Style" w:eastAsia="BatangChe" w:hAnsi="Bookman Old Style" w:cs="Bookman Old Style"/>
          <w:sz w:val="24"/>
          <w:szCs w:val="24"/>
        </w:rPr>
        <w:t xml:space="preserve">. </w:t>
      </w:r>
    </w:p>
    <w:p w:rsidR="00086B4D" w:rsidRDefault="00086B4D" w:rsidP="00086B4D">
      <w:pPr>
        <w:spacing w:after="0" w:line="360" w:lineRule="auto"/>
        <w:jc w:val="both"/>
        <w:rPr>
          <w:rFonts w:ascii="Bookman Old Style" w:eastAsia="BatangChe" w:hAnsi="Bookman Old Style" w:cs="Bookman Old Style"/>
          <w:sz w:val="24"/>
          <w:szCs w:val="24"/>
        </w:rPr>
      </w:pPr>
    </w:p>
    <w:p w:rsidR="00086B4D"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El Tribunal puede convocar a una audiencia para tratar las excepciones, después de la cual, decidirá sobre la procedencia de las mismas, o puede en sentencia resolver sobre las excepciones preliminares, el fondo, las reparaciones y las costas del caso.</w:t>
      </w:r>
      <w:r w:rsidRPr="006B7455">
        <w:rPr>
          <w:rFonts w:ascii="Bookman Old Style" w:eastAsia="BatangChe" w:hAnsi="Bookman Old Style" w:cs="Bookman Old Style"/>
          <w:sz w:val="24"/>
          <w:szCs w:val="24"/>
          <w:vertAlign w:val="superscript"/>
        </w:rPr>
        <w:t xml:space="preserve"> </w:t>
      </w:r>
      <w:r w:rsidRPr="006B7455">
        <w:rPr>
          <w:rFonts w:ascii="Bookman Old Style" w:eastAsia="BatangChe" w:hAnsi="Bookman Old Style" w:cs="Bookman Old Style"/>
          <w:sz w:val="24"/>
          <w:szCs w:val="24"/>
          <w:vertAlign w:val="superscript"/>
        </w:rPr>
        <w:footnoteReference w:id="25"/>
      </w:r>
      <w:r>
        <w:rPr>
          <w:rFonts w:ascii="Bookman Old Style" w:eastAsia="BatangChe" w:hAnsi="Bookman Old Style" w:cs="Bookman Old Style"/>
          <w:sz w:val="24"/>
          <w:szCs w:val="24"/>
        </w:rPr>
        <w:t xml:space="preserve"> </w:t>
      </w:r>
      <w:r w:rsidRPr="006B7455">
        <w:rPr>
          <w:rFonts w:ascii="Bookman Old Style" w:eastAsia="BatangChe" w:hAnsi="Bookman Old Style" w:cs="Bookman Old Style"/>
          <w:sz w:val="24"/>
          <w:szCs w:val="24"/>
        </w:rPr>
        <w:t>Culminada la fase escrita, la Corte apertura el procedimiento oral, y determina la fecha en la que se realizará la audiencia respectiva</w:t>
      </w:r>
      <w:r w:rsidRPr="006B7455">
        <w:rPr>
          <w:rFonts w:ascii="Bookman Old Style" w:eastAsia="BatangChe" w:hAnsi="Bookman Old Style" w:cs="Bookman Old Style"/>
          <w:sz w:val="24"/>
          <w:szCs w:val="24"/>
          <w:vertAlign w:val="superscript"/>
        </w:rPr>
        <w:footnoteReference w:id="26"/>
      </w:r>
      <w:r w:rsidRPr="006B7455">
        <w:rPr>
          <w:rFonts w:ascii="Bookman Old Style" w:eastAsia="BatangChe" w:hAnsi="Bookman Old Style" w:cs="Bookman Old Style"/>
          <w:sz w:val="24"/>
          <w:szCs w:val="24"/>
        </w:rPr>
        <w:t xml:space="preserve">. </w:t>
      </w:r>
    </w:p>
    <w:p w:rsidR="00086B4D"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lastRenderedPageBreak/>
        <w:t xml:space="preserve">Asimismo, la Corte según lo dispuesto en el artículo 46 de su </w:t>
      </w:r>
      <w:r>
        <w:rPr>
          <w:rFonts w:ascii="Bookman Old Style" w:eastAsia="BatangChe" w:hAnsi="Bookman Old Style" w:cs="Bookman Old Style"/>
          <w:sz w:val="24"/>
          <w:szCs w:val="24"/>
        </w:rPr>
        <w:t>R</w:t>
      </w:r>
      <w:r w:rsidRPr="006B7455">
        <w:rPr>
          <w:rFonts w:ascii="Bookman Old Style" w:eastAsia="BatangChe" w:hAnsi="Bookman Old Style" w:cs="Bookman Old Style"/>
          <w:sz w:val="24"/>
          <w:szCs w:val="24"/>
        </w:rPr>
        <w:t>eglamento, solicita a las partes y de ser el caso a la CIDH indicar la lista definitiva de declarantes, tanto aquellos que consideran deberán ser escuchados en audiencia y quienes pueden rendir declaración ante fedatario público (affid</w:t>
      </w:r>
      <w:r>
        <w:rPr>
          <w:rFonts w:ascii="Bookman Old Style" w:eastAsia="BatangChe" w:hAnsi="Bookman Old Style" w:cs="Bookman Old Style"/>
          <w:sz w:val="24"/>
          <w:szCs w:val="24"/>
        </w:rPr>
        <w:t>a</w:t>
      </w:r>
      <w:r w:rsidRPr="006B7455">
        <w:rPr>
          <w:rFonts w:ascii="Bookman Old Style" w:eastAsia="BatangChe" w:hAnsi="Bookman Old Style" w:cs="Bookman Old Style"/>
          <w:sz w:val="24"/>
          <w:szCs w:val="24"/>
        </w:rPr>
        <w:t>vit).</w:t>
      </w:r>
      <w:r w:rsidRPr="006B7455">
        <w:rPr>
          <w:rFonts w:ascii="Bookman Old Style" w:eastAsia="BatangChe" w:hAnsi="Bookman Old Style" w:cs="Bookman Old Style"/>
          <w:sz w:val="24"/>
          <w:szCs w:val="24"/>
          <w:vertAlign w:val="superscript"/>
        </w:rPr>
        <w:footnoteReference w:id="27"/>
      </w:r>
      <w:r w:rsidRPr="006B7455">
        <w:rPr>
          <w:rFonts w:ascii="Bookman Old Style" w:eastAsia="BatangChe" w:hAnsi="Bookman Old Style" w:cs="Bookman Old Style"/>
          <w:sz w:val="24"/>
          <w:szCs w:val="24"/>
        </w:rPr>
        <w:t xml:space="preserve"> Es importante referir que las presuntas víctimas o sus representantes, el Estado demandado podrán formular preguntas por escrito a los declarantes ofrecidos por la contraparte y, excepcionalmente la Comisión, cuando hayan sido llamados a presentar declaración ante el fedatario público.</w:t>
      </w:r>
    </w:p>
    <w:p w:rsidR="00086B4D"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Posteriormente, el Tribunal transmite la lista definitiva de declarantes a la contraparte y concede un plazo para que, si lo estima conveniente, presente observaciones, objeciones o recusaciones según lo determinado en el artículo 46 del Reglamento</w:t>
      </w:r>
      <w:r w:rsidRPr="006B7455">
        <w:rPr>
          <w:rFonts w:ascii="Bookman Old Style" w:eastAsia="BatangChe" w:hAnsi="Bookman Old Style" w:cs="Bookman Old Style"/>
          <w:sz w:val="24"/>
          <w:szCs w:val="24"/>
          <w:vertAlign w:val="superscript"/>
        </w:rPr>
        <w:footnoteReference w:id="28"/>
      </w:r>
      <w:r w:rsidRPr="006B7455">
        <w:rPr>
          <w:rFonts w:ascii="Bookman Old Style" w:eastAsia="BatangChe" w:hAnsi="Bookman Old Style" w:cs="Bookman Old Style"/>
          <w:sz w:val="24"/>
          <w:szCs w:val="24"/>
        </w:rPr>
        <w:t>. Las recusaciones y objeciones deben ser presentadas en el plazo de diez días desde su notificación.</w:t>
      </w:r>
      <w:r w:rsidRPr="006B7455">
        <w:rPr>
          <w:rFonts w:ascii="Bookman Old Style" w:eastAsia="BatangChe" w:hAnsi="Bookman Old Style" w:cs="Bookman Old Style"/>
          <w:sz w:val="24"/>
          <w:szCs w:val="24"/>
          <w:vertAlign w:val="superscript"/>
        </w:rPr>
        <w:footnoteReference w:id="29"/>
      </w:r>
      <w:r w:rsidRPr="006B7455">
        <w:rPr>
          <w:rFonts w:ascii="Bookman Old Style" w:eastAsia="BatangChe" w:hAnsi="Bookman Old Style" w:cs="Bookman Old Style"/>
          <w:sz w:val="24"/>
          <w:szCs w:val="24"/>
        </w:rPr>
        <w:t xml:space="preserve"> Finalmente, si no se tuviera ninguna observación, se emite una resolución de convocatoria de audiencia.</w:t>
      </w:r>
      <w:r w:rsidRPr="006B7455">
        <w:rPr>
          <w:rFonts w:ascii="Bookman Old Style" w:eastAsia="BatangChe" w:hAnsi="Bookman Old Style" w:cs="Bookman Old Style"/>
          <w:sz w:val="24"/>
          <w:szCs w:val="24"/>
          <w:vertAlign w:val="superscript"/>
        </w:rPr>
        <w:footnoteReference w:id="30"/>
      </w:r>
      <w:r w:rsidRPr="006B7455">
        <w:rPr>
          <w:rFonts w:ascii="Bookman Old Style" w:eastAsia="BatangChe" w:hAnsi="Bookman Old Style" w:cs="Bookman Old Style"/>
          <w:sz w:val="24"/>
          <w:szCs w:val="24"/>
        </w:rPr>
        <w:t xml:space="preserve">  </w:t>
      </w:r>
    </w:p>
    <w:p w:rsidR="00086B4D" w:rsidRPr="006B7455"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En el día y hora señalados, se lleva a cabo la audiencia, cuyo orden está determinado por el Art. 51 del citado Reglamento</w:t>
      </w:r>
      <w:r w:rsidRPr="006B7455">
        <w:rPr>
          <w:rFonts w:ascii="Bookman Old Style" w:eastAsia="BatangChe" w:hAnsi="Bookman Old Style" w:cs="Bookman Old Style"/>
          <w:sz w:val="24"/>
          <w:szCs w:val="24"/>
          <w:vertAlign w:val="superscript"/>
        </w:rPr>
        <w:footnoteReference w:id="31"/>
      </w:r>
      <w:r w:rsidRPr="006B7455">
        <w:rPr>
          <w:rFonts w:ascii="Bookman Old Style" w:eastAsia="BatangChe" w:hAnsi="Bookman Old Style" w:cs="Bookman Old Style"/>
          <w:sz w:val="24"/>
          <w:szCs w:val="24"/>
        </w:rPr>
        <w:t>. Realizada esta diligencia, la presidencia de la Corte fija el plazo en el cual las partes remitirán sus alegatos finales</w:t>
      </w:r>
      <w:r w:rsidRPr="006B7455">
        <w:rPr>
          <w:rFonts w:ascii="Bookman Old Style" w:eastAsia="BatangChe" w:hAnsi="Bookman Old Style" w:cs="Bookman Old Style"/>
          <w:sz w:val="24"/>
          <w:szCs w:val="24"/>
          <w:vertAlign w:val="superscript"/>
        </w:rPr>
        <w:footnoteReference w:id="32"/>
      </w:r>
      <w:r w:rsidRPr="006B7455">
        <w:rPr>
          <w:rFonts w:ascii="Bookman Old Style" w:eastAsia="BatangChe" w:hAnsi="Bookman Old Style" w:cs="Bookman Old Style"/>
          <w:sz w:val="24"/>
          <w:szCs w:val="24"/>
        </w:rPr>
        <w:t xml:space="preserve"> y la CIDH sus observaciones finales</w:t>
      </w:r>
      <w:r w:rsidRPr="006B7455">
        <w:rPr>
          <w:rFonts w:ascii="Bookman Old Style" w:eastAsia="BatangChe" w:hAnsi="Bookman Old Style" w:cs="Bookman Old Style"/>
          <w:sz w:val="24"/>
          <w:szCs w:val="24"/>
          <w:vertAlign w:val="superscript"/>
        </w:rPr>
        <w:footnoteReference w:id="33"/>
      </w:r>
      <w:r w:rsidRPr="006B7455">
        <w:rPr>
          <w:rFonts w:ascii="Bookman Old Style" w:eastAsia="BatangChe" w:hAnsi="Bookman Old Style" w:cs="Bookman Old Style"/>
          <w:sz w:val="24"/>
          <w:szCs w:val="24"/>
        </w:rPr>
        <w:t>. Cabe indicar que la Corte, de considerarlo pertinente, puede solicitar prueba para mejor resolver</w:t>
      </w:r>
      <w:r w:rsidRPr="006B7455">
        <w:rPr>
          <w:rFonts w:ascii="Bookman Old Style" w:eastAsia="BatangChe" w:hAnsi="Bookman Old Style" w:cs="Bookman Old Style"/>
          <w:sz w:val="24"/>
          <w:szCs w:val="24"/>
          <w:vertAlign w:val="superscript"/>
        </w:rPr>
        <w:footnoteReference w:id="34"/>
      </w:r>
      <w:r w:rsidRPr="006B7455">
        <w:rPr>
          <w:rFonts w:ascii="Bookman Old Style" w:eastAsia="BatangChe" w:hAnsi="Bookman Old Style" w:cs="Bookman Old Style"/>
          <w:sz w:val="24"/>
          <w:szCs w:val="24"/>
        </w:rPr>
        <w:t xml:space="preserve">. Finalmente,  la  Corte  deliberará  en  privado  y  dictará  la  sentencia,  la  cual  </w:t>
      </w:r>
      <w:r w:rsidRPr="006B7455">
        <w:rPr>
          <w:rFonts w:ascii="Bookman Old Style" w:eastAsia="BatangChe" w:hAnsi="Bookman Old Style" w:cs="Bookman Old Style"/>
          <w:sz w:val="24"/>
          <w:szCs w:val="24"/>
        </w:rPr>
        <w:lastRenderedPageBreak/>
        <w:t>será  notificada  a las partes y a la CIDH.  El proceso culmina con un fallo que deberá contener lo determinado en el artículo 65</w:t>
      </w:r>
      <w:r w:rsidRPr="006B7455">
        <w:rPr>
          <w:rFonts w:ascii="Bookman Old Style" w:eastAsia="BatangChe" w:hAnsi="Bookman Old Style" w:cs="Bookman Old Style"/>
          <w:sz w:val="24"/>
          <w:szCs w:val="24"/>
          <w:vertAlign w:val="superscript"/>
        </w:rPr>
        <w:footnoteReference w:id="35"/>
      </w:r>
      <w:r w:rsidRPr="006B7455">
        <w:rPr>
          <w:rFonts w:ascii="Bookman Old Style" w:eastAsia="BatangChe" w:hAnsi="Bookman Old Style" w:cs="Bookman Old Style"/>
          <w:sz w:val="24"/>
          <w:szCs w:val="24"/>
        </w:rPr>
        <w:t>.</w:t>
      </w:r>
    </w:p>
    <w:p w:rsidR="00086B4D" w:rsidRDefault="00086B4D" w:rsidP="00086B4D">
      <w:pPr>
        <w:spacing w:after="0" w:line="360" w:lineRule="auto"/>
        <w:jc w:val="both"/>
        <w:rPr>
          <w:rFonts w:ascii="Bookman Old Style" w:eastAsia="BatangChe" w:hAnsi="Bookman Old Style" w:cs="Bookman Old Style"/>
          <w:sz w:val="24"/>
          <w:szCs w:val="24"/>
        </w:rPr>
      </w:pPr>
    </w:p>
    <w:p w:rsidR="00086B4D" w:rsidRPr="006B7455" w:rsidRDefault="00086B4D" w:rsidP="00086B4D">
      <w:pPr>
        <w:spacing w:after="0" w:line="360" w:lineRule="auto"/>
        <w:jc w:val="both"/>
        <w:rPr>
          <w:rFonts w:ascii="Bookman Old Style" w:eastAsia="BatangChe" w:hAnsi="Bookman Old Style" w:cs="Bookman Old Style"/>
          <w:sz w:val="24"/>
          <w:szCs w:val="24"/>
        </w:rPr>
      </w:pPr>
      <w:r w:rsidRPr="006B7455">
        <w:rPr>
          <w:rFonts w:ascii="Bookman Old Style" w:eastAsia="BatangChe" w:hAnsi="Bookman Old Style" w:cs="Bookman Old Style"/>
          <w:sz w:val="24"/>
          <w:szCs w:val="24"/>
        </w:rPr>
        <w:t>Se debe recordar que de la sentencia no caben recursos impugnatorios, sin embargo, en caso de desacuerdo sobre el sentido o alcance del fallo, los artículos 67 de la Convención</w:t>
      </w:r>
      <w:r w:rsidRPr="006B7455">
        <w:rPr>
          <w:rFonts w:ascii="Bookman Old Style" w:eastAsia="BatangChe" w:hAnsi="Bookman Old Style" w:cs="Bookman Old Style"/>
          <w:sz w:val="24"/>
          <w:szCs w:val="24"/>
          <w:vertAlign w:val="superscript"/>
        </w:rPr>
        <w:footnoteReference w:id="36"/>
      </w:r>
      <w:r w:rsidRPr="006B7455">
        <w:rPr>
          <w:rFonts w:ascii="Bookman Old Style" w:eastAsia="BatangChe" w:hAnsi="Bookman Old Style" w:cs="Bookman Old Style"/>
          <w:sz w:val="24"/>
          <w:szCs w:val="24"/>
        </w:rPr>
        <w:t xml:space="preserve"> y 68 del Reglamento de la Corte</w:t>
      </w:r>
      <w:r w:rsidRPr="006B7455">
        <w:rPr>
          <w:rFonts w:ascii="Bookman Old Style" w:eastAsia="BatangChe" w:hAnsi="Bookman Old Style" w:cs="Bookman Old Style"/>
          <w:sz w:val="24"/>
          <w:szCs w:val="24"/>
          <w:vertAlign w:val="superscript"/>
        </w:rPr>
        <w:footnoteReference w:id="37"/>
      </w:r>
      <w:r w:rsidRPr="006B7455">
        <w:rPr>
          <w:rFonts w:ascii="Bookman Old Style" w:eastAsia="BatangChe" w:hAnsi="Bookman Old Style" w:cs="Bookman Old Style"/>
          <w:sz w:val="24"/>
          <w:szCs w:val="24"/>
        </w:rPr>
        <w:t>, brindan a las partes la posibilidad de presentar una interpretación de la sentencia, la cual debe ser presentada dentro de los noventa días de notificada.</w:t>
      </w:r>
    </w:p>
    <w:p w:rsidR="00086B4D" w:rsidRPr="006B7455" w:rsidRDefault="00086B4D" w:rsidP="00086B4D">
      <w:pPr>
        <w:spacing w:after="0" w:line="360" w:lineRule="auto"/>
        <w:jc w:val="both"/>
        <w:rPr>
          <w:rFonts w:ascii="Bookman Old Style" w:eastAsia="BatangChe" w:hAnsi="Bookman Old Style"/>
          <w:sz w:val="24"/>
          <w:szCs w:val="24"/>
        </w:rPr>
      </w:pPr>
    </w:p>
    <w:p w:rsidR="00086B4D" w:rsidRPr="006B7455" w:rsidRDefault="00086B4D" w:rsidP="00086B4D">
      <w:pPr>
        <w:spacing w:after="0" w:line="360" w:lineRule="auto"/>
        <w:jc w:val="both"/>
        <w:rPr>
          <w:rFonts w:ascii="Bookman Old Style" w:hAnsi="Bookman Old Style"/>
          <w:sz w:val="24"/>
          <w:szCs w:val="24"/>
        </w:rPr>
      </w:pPr>
    </w:p>
    <w:p w:rsidR="000D0DD0" w:rsidRDefault="000D0DD0"/>
    <w:sectPr w:rsidR="000D0D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722" w:rsidRDefault="000F0722" w:rsidP="00086B4D">
      <w:pPr>
        <w:spacing w:after="0" w:line="240" w:lineRule="auto"/>
      </w:pPr>
      <w:r>
        <w:separator/>
      </w:r>
    </w:p>
  </w:endnote>
  <w:endnote w:type="continuationSeparator" w:id="0">
    <w:p w:rsidR="000F0722" w:rsidRDefault="000F0722" w:rsidP="0008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Che">
    <w:altName w:val="Arial Unicode MS"/>
    <w:panose1 w:val="02030609000101010101"/>
    <w:charset w:val="81"/>
    <w:family w:val="modern"/>
    <w:pitch w:val="fixed"/>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722" w:rsidRDefault="000F0722" w:rsidP="00086B4D">
      <w:pPr>
        <w:spacing w:after="0" w:line="240" w:lineRule="auto"/>
      </w:pPr>
      <w:r>
        <w:separator/>
      </w:r>
    </w:p>
  </w:footnote>
  <w:footnote w:type="continuationSeparator" w:id="0">
    <w:p w:rsidR="000F0722" w:rsidRDefault="000F0722" w:rsidP="00086B4D">
      <w:pPr>
        <w:spacing w:after="0" w:line="240" w:lineRule="auto"/>
      </w:pPr>
      <w:r>
        <w:continuationSeparator/>
      </w:r>
    </w:p>
  </w:footnote>
  <w:footnote w:id="1">
    <w:p w:rsidR="00086B4D" w:rsidRPr="003F2969" w:rsidRDefault="00086B4D" w:rsidP="00086B4D">
      <w:pPr>
        <w:pStyle w:val="Textonotapie"/>
        <w:jc w:val="both"/>
        <w:rPr>
          <w:rFonts w:ascii="Bookman Old Style" w:eastAsia="Bookman Old Style" w:hAnsi="Bookman Old Style" w:cs="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eastAsia="Bookman Old Style" w:hAnsi="Bookman Old Style" w:cs="Bookman Old Style"/>
        </w:rPr>
        <w:t>REGLAMENTO DE LA COMISIÓN INTERAMERICANA DE DERECHOS HUMANOS, (2009). Art. 23.</w:t>
      </w:r>
    </w:p>
  </w:footnote>
  <w:footnote w:id="2">
    <w:p w:rsidR="00086B4D" w:rsidRPr="00DD4D40"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DD4D40">
        <w:rPr>
          <w:rFonts w:ascii="Bookman Old Style" w:hAnsi="Bookman Old Style"/>
          <w:sz w:val="20"/>
          <w:szCs w:val="20"/>
        </w:rPr>
        <w:t xml:space="preserve"> </w:t>
      </w:r>
      <w:r w:rsidRPr="00DD4D40">
        <w:rPr>
          <w:rFonts w:ascii="Bookman Old Style" w:hAnsi="Bookman Old Style"/>
          <w:bCs/>
          <w:sz w:val="20"/>
          <w:szCs w:val="20"/>
        </w:rPr>
        <w:t>Ibídem. Art. 26.</w:t>
      </w:r>
    </w:p>
  </w:footnote>
  <w:footnote w:id="3">
    <w:p w:rsidR="00086B4D" w:rsidRPr="00DD4D40"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DD4D40">
        <w:rPr>
          <w:rFonts w:ascii="Bookman Old Style" w:hAnsi="Bookman Old Style"/>
          <w:sz w:val="20"/>
          <w:szCs w:val="20"/>
        </w:rPr>
        <w:t xml:space="preserve"> </w:t>
      </w:r>
      <w:r w:rsidRPr="00DD4D40">
        <w:rPr>
          <w:rFonts w:ascii="Bookman Old Style" w:hAnsi="Bookman Old Style"/>
          <w:bCs/>
          <w:sz w:val="20"/>
          <w:szCs w:val="20"/>
        </w:rPr>
        <w:t>Ibíd. Art. 28.</w:t>
      </w:r>
    </w:p>
  </w:footnote>
  <w:footnote w:id="4">
    <w:p w:rsidR="00086B4D" w:rsidRPr="00DD4D40"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DD4D40">
        <w:rPr>
          <w:rFonts w:ascii="Bookman Old Style" w:hAnsi="Bookman Old Style"/>
          <w:sz w:val="20"/>
          <w:szCs w:val="20"/>
        </w:rPr>
        <w:t xml:space="preserve"> Ibíd. </w:t>
      </w:r>
      <w:r w:rsidRPr="00DD4D40">
        <w:rPr>
          <w:rFonts w:ascii="Bookman Old Style" w:hAnsi="Bookman Old Style"/>
          <w:bCs/>
          <w:sz w:val="20"/>
          <w:szCs w:val="20"/>
        </w:rPr>
        <w:t>Art. 29</w:t>
      </w:r>
      <w:r w:rsidRPr="00DD4D40">
        <w:rPr>
          <w:rFonts w:ascii="Bookman Old Style" w:eastAsia="Bookman Old Style" w:hAnsi="Bookman Old Style" w:cs="Bookman Old Style"/>
          <w:sz w:val="20"/>
          <w:szCs w:val="20"/>
        </w:rPr>
        <w:t>.</w:t>
      </w:r>
    </w:p>
  </w:footnote>
  <w:footnote w:id="5">
    <w:p w:rsidR="00086B4D" w:rsidRPr="003F2969" w:rsidRDefault="00086B4D" w:rsidP="00086B4D">
      <w:pPr>
        <w:pStyle w:val="NormalWeb"/>
        <w:spacing w:after="0" w:line="240" w:lineRule="auto"/>
        <w:jc w:val="both"/>
        <w:rPr>
          <w:rFonts w:ascii="Bookman Old Style" w:eastAsia="Bookman Old Style" w:hAnsi="Bookman Old Style" w:cs="Bookman Old Style"/>
          <w:sz w:val="20"/>
          <w:szCs w:val="20"/>
          <w:u w:val="single"/>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Pr>
          <w:rFonts w:ascii="Bookman Old Style" w:eastAsia="Bookman Old Style" w:hAnsi="Bookman Old Style" w:cs="Bookman Old Style"/>
          <w:sz w:val="20"/>
          <w:szCs w:val="20"/>
        </w:rPr>
        <w:t>Ibíd</w:t>
      </w:r>
      <w:r w:rsidRPr="003F2969">
        <w:rPr>
          <w:rFonts w:ascii="Bookman Old Style" w:hAnsi="Bookman Old Style"/>
          <w:bCs/>
          <w:sz w:val="20"/>
          <w:szCs w:val="20"/>
        </w:rPr>
        <w:t xml:space="preserve">. </w:t>
      </w:r>
      <w:r w:rsidRPr="00EA23E6">
        <w:rPr>
          <w:rFonts w:ascii="Bookman Old Style" w:hAnsi="Bookman Old Style"/>
          <w:bCs/>
          <w:sz w:val="20"/>
          <w:szCs w:val="20"/>
        </w:rPr>
        <w:t>Art. 29</w:t>
      </w:r>
      <w:r w:rsidRPr="001514DA">
        <w:rPr>
          <w:rFonts w:ascii="Bookman Old Style" w:eastAsia="Bookman Old Style" w:hAnsi="Bookman Old Style" w:cs="Bookman Old Style"/>
          <w:sz w:val="20"/>
          <w:szCs w:val="20"/>
        </w:rPr>
        <w:t xml:space="preserve">: “2. </w:t>
      </w:r>
      <w:r w:rsidRPr="003F2969">
        <w:rPr>
          <w:rFonts w:ascii="Bookman Old Style" w:eastAsia="Bookman Old Style" w:hAnsi="Bookman Old Style" w:cs="Bookman Old Style"/>
          <w:sz w:val="20"/>
          <w:szCs w:val="20"/>
        </w:rPr>
        <w:t>La petición será estudiada en su orden de entrada; no obstante, la Comisión podrá adelantar la evaluación de una petición en supuestos como los siguientes:</w:t>
      </w:r>
    </w:p>
    <w:p w:rsidR="00086B4D" w:rsidRPr="003F2969" w:rsidRDefault="00086B4D" w:rsidP="00086B4D">
      <w:pPr>
        <w:pStyle w:val="Textonotapie"/>
        <w:jc w:val="both"/>
        <w:rPr>
          <w:rFonts w:ascii="Bookman Old Style" w:hAnsi="Bookman Old Style"/>
        </w:rPr>
      </w:pPr>
      <w:r w:rsidRPr="003F2969">
        <w:rPr>
          <w:rFonts w:ascii="Bookman Old Style" w:hAnsi="Bookman Old Style"/>
        </w:rPr>
        <w:t>a. cuando el transcurso del tiempo prive a la petición de su efecto útil, en particular:    i. cuando la presunta víctima sea un adulto mayor, niño o niña;   ii. cuando la presunta víctima padezca de una enfermedad terminal; iii. cuando se alegue que la presunta víctima puede ser objeto de aplicación de la pena de muerte; o iv. cuando el objeto de la petición guarde conexidad con una medida cautelar o provisional vigente;  b. cuando las presuntas víctimas sean personas privadas de libertad; c. cuando el Estado manifieste formalmente su intención de entrar en un proceso de solución amistosa del asunto; o d. cuando se dé alguna de las circunstancias siguientes: i. la decisión pueda tener el efecto de remediar situaciones estructurales graves que tengan un impacto en el goce de los derechos humanos; o</w:t>
      </w:r>
    </w:p>
    <w:p w:rsidR="00086B4D" w:rsidRPr="003F2969" w:rsidRDefault="00086B4D" w:rsidP="00086B4D">
      <w:pPr>
        <w:pStyle w:val="NormalWeb"/>
        <w:spacing w:after="0" w:line="240" w:lineRule="auto"/>
        <w:jc w:val="both"/>
        <w:rPr>
          <w:rFonts w:ascii="Bookman Old Style" w:hAnsi="Bookman Old Style"/>
          <w:sz w:val="20"/>
          <w:szCs w:val="20"/>
        </w:rPr>
      </w:pPr>
      <w:r w:rsidRPr="003F2969">
        <w:rPr>
          <w:rFonts w:ascii="Bookman Old Style" w:hAnsi="Bookman Old Style"/>
          <w:sz w:val="20"/>
          <w:szCs w:val="20"/>
        </w:rPr>
        <w:t>ii. la decisión pueda impulsar cambios legislativos o de práctica estatal y evitar la recepción de múltiples peticiones sobre el mismo asunto.”</w:t>
      </w:r>
    </w:p>
  </w:footnote>
  <w:footnote w:id="6">
    <w:p w:rsidR="00086B4D" w:rsidRPr="003F2969"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hAnsi="Bookman Old Style"/>
          <w:bCs/>
          <w:sz w:val="20"/>
          <w:szCs w:val="20"/>
        </w:rPr>
        <w:t>REGLAMENTO COMISIÓN INTERAMERICANA DE DERECHOS HUMANOS, (2009), Art. 30.</w:t>
      </w:r>
    </w:p>
  </w:footnote>
  <w:footnote w:id="7">
    <w:p w:rsidR="00086B4D" w:rsidRPr="00DD4D40" w:rsidRDefault="00086B4D" w:rsidP="00086B4D">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w:t>
      </w:r>
    </w:p>
  </w:footnote>
  <w:footnote w:id="8">
    <w:p w:rsidR="00086B4D" w:rsidRPr="00DD4D40"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DD4D40">
        <w:rPr>
          <w:rFonts w:ascii="Bookman Old Style" w:hAnsi="Bookman Old Style"/>
          <w:sz w:val="20"/>
          <w:szCs w:val="20"/>
        </w:rPr>
        <w:t xml:space="preserve"> Ibíd. Art. 32.</w:t>
      </w:r>
    </w:p>
  </w:footnote>
  <w:footnote w:id="9">
    <w:p w:rsidR="00086B4D" w:rsidRPr="00DD4D40"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eastAsia="Bookman Old Style" w:hAnsi="Bookman Old Style" w:cs="Bookman Old Style"/>
          <w:sz w:val="20"/>
          <w:szCs w:val="20"/>
        </w:rPr>
        <w:t>REGLAMENTO DE LA COMISIÓN INTERAMERICANA DE DERECHOS HUMANOS, (2009)</w:t>
      </w:r>
      <w:r w:rsidRPr="003F2969">
        <w:rPr>
          <w:rFonts w:ascii="Bookman Old Style" w:hAnsi="Bookman Old Style"/>
          <w:sz w:val="20"/>
          <w:szCs w:val="20"/>
        </w:rPr>
        <w:t xml:space="preserve">. </w:t>
      </w:r>
      <w:r w:rsidRPr="00DD4D40">
        <w:rPr>
          <w:rFonts w:ascii="Bookman Old Style" w:hAnsi="Bookman Old Style"/>
          <w:sz w:val="20"/>
          <w:szCs w:val="20"/>
        </w:rPr>
        <w:t>Art. 34.</w:t>
      </w:r>
    </w:p>
  </w:footnote>
  <w:footnote w:id="10">
    <w:p w:rsidR="00086B4D" w:rsidRPr="00DD4D40"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DD4D40">
        <w:rPr>
          <w:rFonts w:ascii="Bookman Old Style" w:hAnsi="Bookman Old Style"/>
          <w:sz w:val="20"/>
          <w:szCs w:val="20"/>
        </w:rPr>
        <w:t xml:space="preserve"> Ibídem. Art. 36.</w:t>
      </w:r>
    </w:p>
  </w:footnote>
  <w:footnote w:id="11">
    <w:p w:rsidR="00086B4D" w:rsidRPr="00DD4D40"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DD4D40">
        <w:rPr>
          <w:rFonts w:ascii="Bookman Old Style" w:hAnsi="Bookman Old Style"/>
          <w:sz w:val="20"/>
          <w:szCs w:val="20"/>
        </w:rPr>
        <w:t xml:space="preserve"> Ibíd. Art. 42.</w:t>
      </w:r>
    </w:p>
  </w:footnote>
  <w:footnote w:id="12">
    <w:p w:rsidR="00086B4D" w:rsidRPr="00DD4D40"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DD4D40">
        <w:rPr>
          <w:rFonts w:ascii="Bookman Old Style" w:eastAsia="Bookman Old Style" w:hAnsi="Bookman Old Style" w:cs="Bookman Old Style"/>
          <w:sz w:val="20"/>
          <w:szCs w:val="20"/>
        </w:rPr>
        <w:t xml:space="preserve"> </w:t>
      </w:r>
      <w:r w:rsidRPr="00DD4D40">
        <w:rPr>
          <w:rFonts w:ascii="Bookman Old Style" w:hAnsi="Bookman Old Style"/>
          <w:sz w:val="20"/>
          <w:szCs w:val="20"/>
        </w:rPr>
        <w:t>Ibíd. Art. 37.</w:t>
      </w:r>
      <w:r w:rsidRPr="00DD4D40">
        <w:rPr>
          <w:rFonts w:ascii="Bookman Old Style" w:eastAsia="Bookman Old Style" w:hAnsi="Bookman Old Style" w:cs="Bookman Old Style"/>
          <w:sz w:val="20"/>
          <w:szCs w:val="20"/>
        </w:rPr>
        <w:t xml:space="preserve"> </w:t>
      </w:r>
    </w:p>
  </w:footnote>
  <w:footnote w:id="13">
    <w:p w:rsidR="00086B4D" w:rsidRPr="003F2969"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rPr>
        <w:t xml:space="preserve"> </w:t>
      </w:r>
      <w:r w:rsidRPr="003F2969">
        <w:rPr>
          <w:rFonts w:ascii="Bookman Old Style" w:hAnsi="Bookman Old Style"/>
          <w:sz w:val="20"/>
          <w:szCs w:val="20"/>
        </w:rPr>
        <w:t>Ibíd. Art. 40.</w:t>
      </w:r>
    </w:p>
  </w:footnote>
  <w:footnote w:id="14">
    <w:p w:rsidR="00086B4D" w:rsidRPr="003F2969"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rPr>
        <w:t xml:space="preserve"> COMISIÓN INTERAMERICANA DE DERECHOS HUMANOS: “Impacto del procedimiento de solución amistosa”, OEA/Ser.L/V/II.Doc. 45/13(18 diciembre 2013). P.1, Párr. 4. </w:t>
      </w:r>
    </w:p>
  </w:footnote>
  <w:footnote w:id="15">
    <w:p w:rsidR="00086B4D" w:rsidRPr="003F2969"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hAnsi="Bookman Old Style"/>
          <w:bCs/>
          <w:sz w:val="20"/>
          <w:szCs w:val="20"/>
        </w:rPr>
        <w:t>REGLAMENTO COMISIÓN INTERAMERICANA DE DERECHOS HUMANOS, (2009), Art. 43.</w:t>
      </w:r>
    </w:p>
  </w:footnote>
  <w:footnote w:id="16">
    <w:p w:rsidR="00086B4D" w:rsidRPr="003F2969"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rPr>
        <w:t xml:space="preserve"> REGLAMENTO DE LA COMISIÓN INTERAMERICANA DE DERECHOS HUMANOS, (2009)</w:t>
      </w:r>
      <w:r w:rsidRPr="003F2969">
        <w:rPr>
          <w:rFonts w:ascii="Bookman Old Style" w:hAnsi="Bookman Old Style"/>
          <w:bCs/>
          <w:sz w:val="20"/>
          <w:szCs w:val="20"/>
        </w:rPr>
        <w:t>. Art. 44.</w:t>
      </w:r>
    </w:p>
  </w:footnote>
  <w:footnote w:id="17">
    <w:p w:rsidR="00086B4D" w:rsidRPr="00E567FA" w:rsidRDefault="00086B4D" w:rsidP="00086B4D">
      <w:pPr>
        <w:pStyle w:val="NormalWeb"/>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E567FA">
        <w:rPr>
          <w:rFonts w:ascii="Bookman Old Style" w:hAnsi="Bookman Old Style"/>
          <w:bCs/>
          <w:sz w:val="20"/>
          <w:szCs w:val="20"/>
        </w:rPr>
        <w:t xml:space="preserve"> Ibídem. Art. 45.</w:t>
      </w:r>
    </w:p>
  </w:footnote>
  <w:footnote w:id="18">
    <w:p w:rsidR="00086B4D" w:rsidRPr="00E567FA"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E567FA">
        <w:rPr>
          <w:rFonts w:ascii="Bookman Old Style" w:eastAsia="Bookman Old Style" w:hAnsi="Bookman Old Style" w:cs="Bookman Old Style"/>
          <w:sz w:val="20"/>
          <w:szCs w:val="20"/>
        </w:rPr>
        <w:t xml:space="preserve"> </w:t>
      </w:r>
      <w:r w:rsidRPr="00E567FA">
        <w:rPr>
          <w:rFonts w:ascii="Bookman Old Style" w:hAnsi="Bookman Old Style"/>
          <w:bCs/>
          <w:sz w:val="20"/>
          <w:szCs w:val="20"/>
        </w:rPr>
        <w:t>Ibíd. Art. 34.</w:t>
      </w:r>
      <w:r w:rsidRPr="00E567FA">
        <w:rPr>
          <w:rFonts w:ascii="Bookman Old Style" w:eastAsia="Bookman Old Style" w:hAnsi="Bookman Old Style" w:cs="Bookman Old Style"/>
          <w:sz w:val="20"/>
          <w:szCs w:val="20"/>
          <w:u w:val="single"/>
        </w:rPr>
        <w:t xml:space="preserve"> </w:t>
      </w:r>
    </w:p>
  </w:footnote>
  <w:footnote w:id="19">
    <w:p w:rsidR="00086B4D" w:rsidRPr="00E567FA" w:rsidRDefault="00086B4D" w:rsidP="00086B4D">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bCs/>
        </w:rPr>
        <w:t xml:space="preserve"> Ibíd. Art. 35.</w:t>
      </w:r>
      <w:r w:rsidRPr="00E567FA">
        <w:rPr>
          <w:rFonts w:ascii="Bookman Old Style" w:eastAsia="Bookman Old Style" w:hAnsi="Bookman Old Style" w:cs="Bookman Old Style"/>
          <w:u w:val="single"/>
        </w:rPr>
        <w:t xml:space="preserve"> </w:t>
      </w:r>
    </w:p>
  </w:footnote>
  <w:footnote w:id="20">
    <w:p w:rsidR="00086B4D" w:rsidRPr="00E567FA"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E567FA">
        <w:rPr>
          <w:rFonts w:ascii="Bookman Old Style" w:eastAsia="Bookman Old Style" w:hAnsi="Bookman Old Style" w:cs="Bookman Old Style"/>
          <w:sz w:val="20"/>
          <w:szCs w:val="20"/>
        </w:rPr>
        <w:t xml:space="preserve"> Ibíd. </w:t>
      </w:r>
      <w:r w:rsidRPr="00E567FA">
        <w:rPr>
          <w:rFonts w:ascii="Bookman Old Style" w:hAnsi="Bookman Old Style"/>
          <w:bCs/>
          <w:sz w:val="20"/>
          <w:szCs w:val="20"/>
        </w:rPr>
        <w:t xml:space="preserve">Art. </w:t>
      </w:r>
      <w:r w:rsidRPr="00E567FA">
        <w:rPr>
          <w:rFonts w:ascii="Bookman Old Style" w:eastAsia="Bookman Old Style" w:hAnsi="Bookman Old Style" w:cs="Bookman Old Style"/>
          <w:sz w:val="20"/>
          <w:szCs w:val="20"/>
        </w:rPr>
        <w:t>38.</w:t>
      </w:r>
    </w:p>
  </w:footnote>
  <w:footnote w:id="21">
    <w:p w:rsidR="00086B4D" w:rsidRPr="003F2969"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rPr>
        <w:t xml:space="preserve"> REGLAMENTO DE LA COMISIÓN INTERAMERICANA DE DERECHOS HUMANOS, (2009). </w:t>
      </w:r>
      <w:r w:rsidRPr="003F2969">
        <w:rPr>
          <w:rFonts w:ascii="Bookman Old Style" w:hAnsi="Bookman Old Style"/>
          <w:bCs/>
          <w:sz w:val="20"/>
          <w:szCs w:val="20"/>
          <w:lang w:val="en-US"/>
        </w:rPr>
        <w:t xml:space="preserve">Art. </w:t>
      </w:r>
      <w:r w:rsidRPr="003F2969">
        <w:rPr>
          <w:rFonts w:ascii="Bookman Old Style" w:eastAsia="Bookman Old Style" w:hAnsi="Bookman Old Style" w:cs="Bookman Old Style"/>
          <w:sz w:val="20"/>
          <w:szCs w:val="20"/>
          <w:lang w:val="en-US"/>
        </w:rPr>
        <w:t>39.</w:t>
      </w:r>
    </w:p>
  </w:footnote>
  <w:footnote w:id="22">
    <w:p w:rsidR="00086B4D" w:rsidRPr="003F2969" w:rsidRDefault="00086B4D" w:rsidP="00086B4D">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w:t>
      </w:r>
      <w:r w:rsidRPr="003F2969">
        <w:rPr>
          <w:rFonts w:ascii="Bookman Old Style" w:eastAsia="Bookman Old Style" w:hAnsi="Bookman Old Style" w:cs="Bookman Old Style"/>
          <w:lang w:val="en-US"/>
        </w:rPr>
        <w:t>Ibíd</w:t>
      </w:r>
      <w:r>
        <w:rPr>
          <w:rFonts w:ascii="Bookman Old Style" w:eastAsia="Bookman Old Style" w:hAnsi="Bookman Old Style" w:cs="Bookman Old Style"/>
          <w:lang w:val="en-US"/>
        </w:rPr>
        <w:t>em</w:t>
      </w:r>
      <w:r w:rsidRPr="003F2969">
        <w:rPr>
          <w:rFonts w:ascii="Bookman Old Style" w:eastAsia="Bookman Old Style" w:hAnsi="Bookman Old Style" w:cs="Bookman Old Style"/>
          <w:lang w:val="en-US"/>
        </w:rPr>
        <w:t>. Art. 40.</w:t>
      </w:r>
    </w:p>
  </w:footnote>
  <w:footnote w:id="23">
    <w:p w:rsidR="00086B4D" w:rsidRPr="003F2969"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lang w:val="en-US"/>
        </w:rPr>
        <w:t xml:space="preserve"> Ibíd. Art. 41.</w:t>
      </w:r>
    </w:p>
  </w:footnote>
  <w:footnote w:id="24">
    <w:p w:rsidR="00086B4D" w:rsidRPr="003F2969"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lang w:val="en-US"/>
        </w:rPr>
        <w:t xml:space="preserve"> Ibíd. Art. 42.</w:t>
      </w:r>
    </w:p>
  </w:footnote>
  <w:footnote w:id="25">
    <w:p w:rsidR="00086B4D" w:rsidRPr="003F2969"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lang w:val="en-US"/>
        </w:rPr>
        <w:t xml:space="preserve"> Ibíd. </w:t>
      </w:r>
    </w:p>
  </w:footnote>
  <w:footnote w:id="26">
    <w:p w:rsidR="00086B4D" w:rsidRPr="00E567FA"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E567FA">
        <w:rPr>
          <w:rFonts w:ascii="Bookman Old Style" w:eastAsia="Bookman Old Style" w:hAnsi="Bookman Old Style" w:cs="Bookman Old Style"/>
          <w:sz w:val="20"/>
          <w:szCs w:val="20"/>
          <w:lang w:val="en-US"/>
        </w:rPr>
        <w:t xml:space="preserve"> Ibíd. Art. 45.</w:t>
      </w:r>
    </w:p>
  </w:footnote>
  <w:footnote w:id="27">
    <w:p w:rsidR="00086B4D" w:rsidRPr="00E567FA"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rPr>
        <w:t xml:space="preserve"> REGLAMENTO DE LA COMISIÓN INTERAMERICANA DE DERECHOS HUMANOS, (2009). </w:t>
      </w:r>
      <w:r w:rsidRPr="00E567FA">
        <w:rPr>
          <w:rFonts w:ascii="Bookman Old Style" w:eastAsia="Bookman Old Style" w:hAnsi="Bookman Old Style" w:cs="Bookman Old Style"/>
          <w:sz w:val="20"/>
          <w:szCs w:val="20"/>
          <w:lang w:val="en-US"/>
        </w:rPr>
        <w:t>Art. 46.</w:t>
      </w:r>
    </w:p>
  </w:footnote>
  <w:footnote w:id="28">
    <w:p w:rsidR="00086B4D" w:rsidRPr="00E567FA"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E567FA">
        <w:rPr>
          <w:rFonts w:ascii="Bookman Old Style" w:eastAsia="Bookman Old Style" w:hAnsi="Bookman Old Style" w:cs="Bookman Old Style"/>
          <w:sz w:val="20"/>
          <w:szCs w:val="20"/>
          <w:lang w:val="en-US"/>
        </w:rPr>
        <w:t xml:space="preserve"> Ibídem</w:t>
      </w:r>
    </w:p>
  </w:footnote>
  <w:footnote w:id="29">
    <w:p w:rsidR="00086B4D" w:rsidRPr="003F2969"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lang w:val="en-US"/>
        </w:rPr>
        <w:t xml:space="preserve"> Ibíd. Art. 48.</w:t>
      </w:r>
    </w:p>
  </w:footnote>
  <w:footnote w:id="30">
    <w:p w:rsidR="00086B4D" w:rsidRPr="003F2969"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lang w:val="en-US"/>
        </w:rPr>
        <w:t xml:space="preserve"> Ibíd. Art. 50.</w:t>
      </w:r>
    </w:p>
  </w:footnote>
  <w:footnote w:id="31">
    <w:p w:rsidR="00086B4D" w:rsidRPr="003F2969"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lang w:val="en-US"/>
        </w:rPr>
        <w:t xml:space="preserve"> Ibíd. Art. 51.</w:t>
      </w:r>
    </w:p>
  </w:footnote>
  <w:footnote w:id="32">
    <w:p w:rsidR="00086B4D" w:rsidRPr="003F2969" w:rsidRDefault="00086B4D" w:rsidP="00086B4D">
      <w:pPr>
        <w:spacing w:after="0" w:line="240" w:lineRule="auto"/>
        <w:jc w:val="both"/>
        <w:rPr>
          <w:rFonts w:ascii="Bookman Old Style" w:eastAsia="Bookman Old Style" w:hAnsi="Bookman Old Style" w:cs="Bookman Old Style"/>
          <w:sz w:val="20"/>
          <w:szCs w:val="20"/>
          <w:lang w:val="en-US"/>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lang w:val="en-US"/>
        </w:rPr>
        <w:t xml:space="preserve"> Ibíd. Art. 56.</w:t>
      </w:r>
    </w:p>
  </w:footnote>
  <w:footnote w:id="33">
    <w:p w:rsidR="00086B4D" w:rsidRPr="00E567FA"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E567FA">
        <w:rPr>
          <w:rFonts w:ascii="Bookman Old Style" w:eastAsia="Bookman Old Style" w:hAnsi="Bookman Old Style" w:cs="Bookman Old Style"/>
          <w:sz w:val="20"/>
          <w:szCs w:val="20"/>
        </w:rPr>
        <w:t xml:space="preserve"> Ibíd.</w:t>
      </w:r>
    </w:p>
  </w:footnote>
  <w:footnote w:id="34">
    <w:p w:rsidR="00086B4D" w:rsidRPr="00E567FA"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E567FA">
        <w:rPr>
          <w:rFonts w:ascii="Bookman Old Style" w:eastAsia="Bookman Old Style" w:hAnsi="Bookman Old Style" w:cs="Bookman Old Style"/>
          <w:sz w:val="20"/>
          <w:szCs w:val="20"/>
        </w:rPr>
        <w:t xml:space="preserve"> Ibíd. Art. 58.</w:t>
      </w:r>
    </w:p>
  </w:footnote>
  <w:footnote w:id="35">
    <w:p w:rsidR="00086B4D" w:rsidRPr="003F2969"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rPr>
        <w:t xml:space="preserve"> REGLAMENTO DE LA COMISIÓN INTERAMERICANA DE DERECHOS HUMANOS, (2009). Art. 65.</w:t>
      </w:r>
    </w:p>
  </w:footnote>
  <w:footnote w:id="36">
    <w:p w:rsidR="00086B4D" w:rsidRPr="003F2969"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rPr>
        <w:t xml:space="preserve"> CONVENCIÓN AMERICANA SOBRE DERECHOS HUMANOS.</w:t>
      </w:r>
      <w:r>
        <w:rPr>
          <w:rFonts w:ascii="Bookman Old Style" w:hAnsi="Bookman Old Style"/>
          <w:sz w:val="20"/>
          <w:szCs w:val="20"/>
        </w:rPr>
        <w:t xml:space="preserve"> San José, Costa Rica (1969).</w:t>
      </w:r>
      <w:r w:rsidRPr="003F2969">
        <w:rPr>
          <w:rFonts w:ascii="Bookman Old Style" w:hAnsi="Bookman Old Style"/>
          <w:sz w:val="20"/>
          <w:szCs w:val="20"/>
        </w:rPr>
        <w:t xml:space="preserve"> </w:t>
      </w:r>
      <w:r w:rsidRPr="003F2969">
        <w:rPr>
          <w:rFonts w:ascii="Bookman Old Style" w:eastAsia="Bookman Old Style" w:hAnsi="Bookman Old Style" w:cs="Bookman Old Style"/>
          <w:sz w:val="20"/>
          <w:szCs w:val="20"/>
        </w:rPr>
        <w:t>Artículo 67: “El fallo de la Corte será definitivo e inapelable.  En caso de desacuerdo sobre el sentido o alcance del fallo, la Corte lo interpretará a solicitud de cualquiera de las partes, siempre que dicha solicitud se presente dentro de los noventa días a partir de la fecha de la notificación del fallo.”</w:t>
      </w:r>
    </w:p>
  </w:footnote>
  <w:footnote w:id="37">
    <w:p w:rsidR="00086B4D" w:rsidRPr="003F2969" w:rsidRDefault="00086B4D" w:rsidP="00086B4D">
      <w:pPr>
        <w:spacing w:after="0" w:line="240" w:lineRule="auto"/>
        <w:jc w:val="both"/>
        <w:rPr>
          <w:rFonts w:ascii="Bookman Old Style" w:eastAsia="Bookman Old Style" w:hAnsi="Bookman Old Style" w:cs="Bookman Old Style"/>
          <w:sz w:val="20"/>
          <w:szCs w:val="20"/>
        </w:rPr>
      </w:pPr>
      <w:r w:rsidRPr="003F2969">
        <w:rPr>
          <w:rFonts w:ascii="Bookman Old Style" w:hAnsi="Bookman Old Style"/>
          <w:sz w:val="20"/>
          <w:szCs w:val="20"/>
          <w:vertAlign w:val="superscript"/>
        </w:rPr>
        <w:footnoteRef/>
      </w:r>
      <w:r w:rsidRPr="003F2969">
        <w:rPr>
          <w:rFonts w:ascii="Bookman Old Style" w:eastAsia="Bookman Old Style" w:hAnsi="Bookman Old Style" w:cs="Bookman Old Style"/>
          <w:sz w:val="20"/>
          <w:szCs w:val="20"/>
        </w:rPr>
        <w:t xml:space="preserve"> REGLAMENTO DE LA CORTE INTERAMERICA</w:t>
      </w:r>
      <w:r>
        <w:rPr>
          <w:rFonts w:ascii="Bookman Old Style" w:eastAsia="Bookman Old Style" w:hAnsi="Bookman Old Style" w:cs="Bookman Old Style"/>
          <w:sz w:val="20"/>
          <w:szCs w:val="20"/>
        </w:rPr>
        <w:t xml:space="preserve">NA DE DERECHOS HUMANOS, (2009). </w:t>
      </w:r>
      <w:r w:rsidRPr="003F2969">
        <w:rPr>
          <w:rFonts w:ascii="Bookman Old Style" w:eastAsia="Bookman Old Style" w:hAnsi="Bookman Old Style" w:cs="Bookman Old Style"/>
          <w:sz w:val="20"/>
          <w:szCs w:val="20"/>
        </w:rPr>
        <w:t>Artículo 68: “1. La solicitud de interpretación a que se refiere el artículo 67 de la Convención podrá promoverse en relación con las sentencias de excepciones preliminares, fondo o reparaciones y costas y se presentará en la Secretaría de la Corte indicándose en ella, con precisión, las cuestiones relativas al sentido o alcance de la sentencia cuya interpretación se pida. 2.         El   Secretario   comunicará   la   solicitud   de   interpretación   a   los   demás   intervinientes  en  el  caso,  y  les  invitará a  presentar  las  alegaciones  escritas  que  estimen pertinentes dentro del plazo fijado por la Presidencia. 3.    Para  el  examen  de  la  solicitud  de  interpretación  la  Corte  se  reunirá,  si  es  posible, con la composición que tenía al dictar la sentencia respectiva. Sin embargo, en   caso   de   fallecimiento,   renuncia,   impedimento,   excusa   o   inhabilitación, se sustituirá al Juez de que se trate según el artículo 17 de este Reglamento. 4.  La solicitud de interpretación no suspenderá la ejecución de la sentencia. 5.    La  Corte  determinará  el  procedimiento  que  se  seguirá  y  resolverá  mediante  una sentencia.”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4D"/>
    <w:rsid w:val="00086B4D"/>
    <w:rsid w:val="000D0DD0"/>
    <w:rsid w:val="000F0722"/>
    <w:rsid w:val="00264AC5"/>
    <w:rsid w:val="0080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4D"/>
    <w:rPr>
      <w:lang w:val="es-EC"/>
    </w:rPr>
  </w:style>
  <w:style w:type="paragraph" w:styleId="Ttulo1">
    <w:name w:val="heading 1"/>
    <w:basedOn w:val="Normal"/>
    <w:next w:val="Normal"/>
    <w:link w:val="Ttulo1Car"/>
    <w:uiPriority w:val="9"/>
    <w:qFormat/>
    <w:rsid w:val="00086B4D"/>
    <w:pPr>
      <w:keepNext/>
      <w:keepLines/>
      <w:spacing w:before="240" w:after="0"/>
      <w:outlineLvl w:val="0"/>
    </w:pPr>
    <w:rPr>
      <w:rFonts w:ascii="Bookman Old Style" w:eastAsiaTheme="majorEastAsia" w:hAnsi="Bookman Old Style" w:cstheme="majorBidi"/>
      <w:b/>
      <w:sz w:val="24"/>
      <w:szCs w:val="32"/>
    </w:rPr>
  </w:style>
  <w:style w:type="paragraph" w:styleId="Ttulo2">
    <w:name w:val="heading 2"/>
    <w:basedOn w:val="Normal"/>
    <w:next w:val="Normal"/>
    <w:link w:val="Ttulo2Car"/>
    <w:unhideWhenUsed/>
    <w:qFormat/>
    <w:rsid w:val="00086B4D"/>
    <w:pPr>
      <w:keepNext/>
      <w:keepLines/>
      <w:spacing w:before="40" w:after="0"/>
      <w:outlineLvl w:val="1"/>
    </w:pPr>
    <w:rPr>
      <w:rFonts w:ascii="Bookman Old Style" w:eastAsiaTheme="majorEastAsia" w:hAnsi="Bookman Old Style"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B4D"/>
    <w:rPr>
      <w:rFonts w:ascii="Bookman Old Style" w:eastAsiaTheme="majorEastAsia" w:hAnsi="Bookman Old Style" w:cstheme="majorBidi"/>
      <w:b/>
      <w:sz w:val="24"/>
      <w:szCs w:val="32"/>
      <w:lang w:val="es-EC"/>
    </w:rPr>
  </w:style>
  <w:style w:type="character" w:customStyle="1" w:styleId="Ttulo2Car">
    <w:name w:val="Título 2 Car"/>
    <w:basedOn w:val="Fuentedeprrafopredeter"/>
    <w:link w:val="Ttulo2"/>
    <w:rsid w:val="00086B4D"/>
    <w:rPr>
      <w:rFonts w:ascii="Bookman Old Style" w:eastAsiaTheme="majorEastAsia" w:hAnsi="Bookman Old Style" w:cstheme="majorBidi"/>
      <w:b/>
      <w:sz w:val="24"/>
      <w:szCs w:val="26"/>
      <w:lang w:val="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086B4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6B4D"/>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086B4D"/>
    <w:rPr>
      <w:vertAlign w:val="superscript"/>
    </w:rPr>
  </w:style>
  <w:style w:type="paragraph" w:styleId="NormalWeb">
    <w:name w:val="Normal (Web)"/>
    <w:basedOn w:val="Normal"/>
    <w:uiPriority w:val="99"/>
    <w:unhideWhenUsed/>
    <w:rsid w:val="00086B4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4D"/>
    <w:rPr>
      <w:lang w:val="es-EC"/>
    </w:rPr>
  </w:style>
  <w:style w:type="paragraph" w:styleId="Ttulo1">
    <w:name w:val="heading 1"/>
    <w:basedOn w:val="Normal"/>
    <w:next w:val="Normal"/>
    <w:link w:val="Ttulo1Car"/>
    <w:uiPriority w:val="9"/>
    <w:qFormat/>
    <w:rsid w:val="00086B4D"/>
    <w:pPr>
      <w:keepNext/>
      <w:keepLines/>
      <w:spacing w:before="240" w:after="0"/>
      <w:outlineLvl w:val="0"/>
    </w:pPr>
    <w:rPr>
      <w:rFonts w:ascii="Bookman Old Style" w:eastAsiaTheme="majorEastAsia" w:hAnsi="Bookman Old Style" w:cstheme="majorBidi"/>
      <w:b/>
      <w:sz w:val="24"/>
      <w:szCs w:val="32"/>
    </w:rPr>
  </w:style>
  <w:style w:type="paragraph" w:styleId="Ttulo2">
    <w:name w:val="heading 2"/>
    <w:basedOn w:val="Normal"/>
    <w:next w:val="Normal"/>
    <w:link w:val="Ttulo2Car"/>
    <w:unhideWhenUsed/>
    <w:qFormat/>
    <w:rsid w:val="00086B4D"/>
    <w:pPr>
      <w:keepNext/>
      <w:keepLines/>
      <w:spacing w:before="40" w:after="0"/>
      <w:outlineLvl w:val="1"/>
    </w:pPr>
    <w:rPr>
      <w:rFonts w:ascii="Bookman Old Style" w:eastAsiaTheme="majorEastAsia" w:hAnsi="Bookman Old Style"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B4D"/>
    <w:rPr>
      <w:rFonts w:ascii="Bookman Old Style" w:eastAsiaTheme="majorEastAsia" w:hAnsi="Bookman Old Style" w:cstheme="majorBidi"/>
      <w:b/>
      <w:sz w:val="24"/>
      <w:szCs w:val="32"/>
      <w:lang w:val="es-EC"/>
    </w:rPr>
  </w:style>
  <w:style w:type="character" w:customStyle="1" w:styleId="Ttulo2Car">
    <w:name w:val="Título 2 Car"/>
    <w:basedOn w:val="Fuentedeprrafopredeter"/>
    <w:link w:val="Ttulo2"/>
    <w:rsid w:val="00086B4D"/>
    <w:rPr>
      <w:rFonts w:ascii="Bookman Old Style" w:eastAsiaTheme="majorEastAsia" w:hAnsi="Bookman Old Style" w:cstheme="majorBidi"/>
      <w:b/>
      <w:sz w:val="24"/>
      <w:szCs w:val="26"/>
      <w:lang w:val="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086B4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6B4D"/>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086B4D"/>
    <w:rPr>
      <w:vertAlign w:val="superscript"/>
    </w:rPr>
  </w:style>
  <w:style w:type="paragraph" w:styleId="NormalWeb">
    <w:name w:val="Normal (Web)"/>
    <w:basedOn w:val="Normal"/>
    <w:uiPriority w:val="99"/>
    <w:unhideWhenUsed/>
    <w:rsid w:val="00086B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1424</Words>
  <Characters>7834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Vivanco Carla</cp:lastModifiedBy>
  <cp:revision>2</cp:revision>
  <dcterms:created xsi:type="dcterms:W3CDTF">2018-07-13T14:35:00Z</dcterms:created>
  <dcterms:modified xsi:type="dcterms:W3CDTF">2018-07-13T14:35:00Z</dcterms:modified>
</cp:coreProperties>
</file>