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Default="00A50F78" w:rsidP="003878ED">
      <w:pPr>
        <w:jc w:val="both"/>
      </w:pPr>
      <w:r w:rsidRPr="00A50F78">
        <w:rPr>
          <w:noProof/>
          <w:lang w:eastAsia="es-EC"/>
        </w:rPr>
        <mc:AlternateContent>
          <mc:Choice Requires="wps">
            <w:drawing>
              <wp:anchor distT="0" distB="0" distL="114300" distR="114300" simplePos="0" relativeHeight="251659264" behindDoc="0" locked="0" layoutInCell="1" allowOverlap="1" wp14:anchorId="224600EB" wp14:editId="729DE9B8">
                <wp:simplePos x="0" y="0"/>
                <wp:positionH relativeFrom="margin">
                  <wp:posOffset>0</wp:posOffset>
                </wp:positionH>
                <wp:positionV relativeFrom="paragraph">
                  <wp:posOffset>132080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062459" w:rsidRPr="003B02FA" w:rsidRDefault="00062459" w:rsidP="00A50F78">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062459" w:rsidRPr="003B02FA" w:rsidRDefault="00062459" w:rsidP="00A50F78">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062459" w:rsidRPr="00B97AE5" w:rsidRDefault="00062459" w:rsidP="00A50F78">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30 DE NOVIEMBRE DEL 2015 </w:t>
                            </w:r>
                            <w:r w:rsidRPr="00B97AE5">
                              <w:rPr>
                                <w:rFonts w:ascii="Bookman Old Style" w:hAnsi="Bookman Old Style" w:cs="Arial"/>
                                <w:b/>
                                <w:color w:val="FFFF00"/>
                              </w:rPr>
                              <w:t xml:space="preserve"> </w:t>
                            </w:r>
                          </w:p>
                          <w:p w:rsidR="00062459" w:rsidRDefault="00062459" w:rsidP="00A50F78"/>
                          <w:p w:rsidR="00062459" w:rsidRDefault="00062459" w:rsidP="00A50F78"/>
                          <w:p w:rsidR="00062459" w:rsidRDefault="00062459" w:rsidP="00A5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4600EB" id="_x0000_t202" coordsize="21600,21600" o:spt="202" path="m,l,21600r21600,l21600,xe">
                <v:stroke joinstyle="miter"/>
                <v:path gradientshapeok="t" o:connecttype="rect"/>
              </v:shapetype>
              <v:shape id="Cuadro de texto 15" o:spid="_x0000_s1026" type="#_x0000_t202" style="position:absolute;left:0;text-align:left;margin-left:0;margin-top:10.4pt;width:462.25pt;height:7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" fillcolor="navy" strokecolor="navy">
                <v:textbox>
                  <w:txbxContent>
                    <w:p w:rsidR="008F5093" w:rsidRPr="003B02FA" w:rsidRDefault="008F5093" w:rsidP="00A50F78">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8F5093" w:rsidRPr="003B02FA" w:rsidRDefault="008F5093" w:rsidP="00A50F78">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8F5093" w:rsidRPr="00B97AE5" w:rsidRDefault="008F5093" w:rsidP="00A50F78">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30 DE NOVIEMBRE DEL 2015 </w:t>
                      </w:r>
                      <w:r w:rsidRPr="00B97AE5">
                        <w:rPr>
                          <w:rFonts w:ascii="Bookman Old Style" w:hAnsi="Bookman Old Style" w:cs="Arial"/>
                          <w:b/>
                          <w:color w:val="FFFF00"/>
                        </w:rPr>
                        <w:t xml:space="preserve"> </w:t>
                      </w:r>
                    </w:p>
                    <w:p w:rsidR="008F5093" w:rsidRDefault="008F5093" w:rsidP="00A50F78"/>
                    <w:p w:rsidR="008F5093" w:rsidRDefault="008F5093" w:rsidP="00A50F78"/>
                    <w:p w:rsidR="008F5093" w:rsidRDefault="008F5093" w:rsidP="00A50F78"/>
                  </w:txbxContent>
                </v:textbox>
                <w10:wrap anchorx="margin"/>
              </v:shape>
            </w:pict>
          </mc:Fallback>
        </mc:AlternateContent>
      </w:r>
    </w:p>
    <w:p w:rsidR="003878ED" w:rsidRDefault="003878ED" w:rsidP="003878ED">
      <w:pPr>
        <w:jc w:val="both"/>
      </w:pPr>
    </w:p>
    <w:p w:rsidR="00A50F78" w:rsidRDefault="00A50F78" w:rsidP="003878ED">
      <w:pPr>
        <w:jc w:val="both"/>
      </w:pPr>
    </w:p>
    <w:p w:rsidR="00A50F78" w:rsidRDefault="00A50F78" w:rsidP="003878ED">
      <w:pPr>
        <w:jc w:val="both"/>
      </w:pPr>
      <w:r w:rsidRPr="00A50F78">
        <w:rPr>
          <w:noProof/>
          <w:lang w:eastAsia="es-EC"/>
        </w:rPr>
        <mc:AlternateContent>
          <mc:Choice Requires="wps">
            <w:drawing>
              <wp:anchor distT="0" distB="0" distL="114300" distR="114300" simplePos="0" relativeHeight="251661312" behindDoc="0" locked="0" layoutInCell="1" allowOverlap="1" wp14:anchorId="7A914215" wp14:editId="31A11D96">
                <wp:simplePos x="0" y="0"/>
                <wp:positionH relativeFrom="margin">
                  <wp:posOffset>-635</wp:posOffset>
                </wp:positionH>
                <wp:positionV relativeFrom="paragraph">
                  <wp:posOffset>264795</wp:posOffset>
                </wp:positionV>
                <wp:extent cx="1619250" cy="22860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28600"/>
                        </a:xfrm>
                        <a:prstGeom prst="rect">
                          <a:avLst/>
                        </a:prstGeom>
                        <a:solidFill>
                          <a:srgbClr val="000080"/>
                        </a:solidFill>
                        <a:ln w="9525">
                          <a:solidFill>
                            <a:srgbClr val="000080"/>
                          </a:solidFill>
                          <a:miter lim="800000"/>
                          <a:headEnd/>
                          <a:tailEnd/>
                        </a:ln>
                      </wps:spPr>
                      <wps:txbx>
                        <w:txbxContent>
                          <w:p w:rsidR="00062459" w:rsidRPr="00567E83" w:rsidRDefault="00062459" w:rsidP="00A50F78">
                            <w:pPr>
                              <w:jc w:val="both"/>
                              <w:rPr>
                                <w:rFonts w:ascii="Arial" w:hAnsi="Arial" w:cs="Arial"/>
                                <w:b/>
                                <w:color w:val="FFFFFF"/>
                                <w:sz w:val="20"/>
                                <w:szCs w:val="20"/>
                              </w:rPr>
                            </w:pPr>
                            <w:r>
                              <w:rPr>
                                <w:rFonts w:ascii="Arial" w:hAnsi="Arial" w:cs="Arial"/>
                                <w:b/>
                                <w:color w:val="FFFFFF"/>
                                <w:sz w:val="20"/>
                                <w:szCs w:val="20"/>
                              </w:rPr>
                              <w:t>Viernes 6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14215" id="Cuadro de texto 9" o:spid="_x0000_s1027" type="#_x0000_t202" style="position:absolute;left:0;text-align:left;margin-left:-.05pt;margin-top:20.85pt;width:127.5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" fillcolor="navy" strokecolor="navy">
                <v:textbox>
                  <w:txbxContent>
                    <w:p w:rsidR="008F5093" w:rsidRPr="00567E83" w:rsidRDefault="008F5093" w:rsidP="00A50F78">
                      <w:pPr>
                        <w:jc w:val="both"/>
                        <w:rPr>
                          <w:rFonts w:ascii="Arial" w:hAnsi="Arial" w:cs="Arial"/>
                          <w:b/>
                          <w:color w:val="FFFFFF"/>
                          <w:sz w:val="20"/>
                          <w:szCs w:val="20"/>
                        </w:rPr>
                      </w:pPr>
                      <w:r>
                        <w:rPr>
                          <w:rFonts w:ascii="Arial" w:hAnsi="Arial" w:cs="Arial"/>
                          <w:b/>
                          <w:color w:val="FFFFFF"/>
                          <w:sz w:val="20"/>
                          <w:szCs w:val="20"/>
                        </w:rPr>
                        <w:t>Viernes 6 de Noviembre</w:t>
                      </w:r>
                    </w:p>
                  </w:txbxContent>
                </v:textbox>
                <w10:wrap anchorx="margin"/>
              </v:shape>
            </w:pict>
          </mc:Fallback>
        </mc:AlternateContent>
      </w:r>
    </w:p>
    <w:p w:rsidR="00A50F78" w:rsidRDefault="00A50F78" w:rsidP="003878ED">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878ED" w:rsidRPr="00610B20" w:rsidTr="008F5093">
        <w:trPr>
          <w:trHeight w:val="1380"/>
        </w:trPr>
        <w:tc>
          <w:tcPr>
            <w:tcW w:w="9257" w:type="dxa"/>
            <w:shd w:val="clear" w:color="auto" w:fill="E6F1DF"/>
          </w:tcPr>
          <w:p w:rsidR="003878ED" w:rsidRPr="00610B20" w:rsidRDefault="003878ED" w:rsidP="008F5093">
            <w:pPr>
              <w:spacing w:after="0"/>
              <w:jc w:val="left"/>
              <w:rPr>
                <w:rFonts w:ascii="Times New Roman" w:eastAsia="Times New Roman" w:hAnsi="Times New Roman" w:cs="Times New Roman"/>
                <w:sz w:val="24"/>
                <w:szCs w:val="24"/>
                <w:lang w:eastAsia="es-ES"/>
              </w:rPr>
            </w:pPr>
          </w:p>
          <w:p w:rsidR="003878ED" w:rsidRDefault="00C0313A"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C0313A">
              <w:rPr>
                <w:rFonts w:ascii="Arial" w:eastAsia="Times New Roman" w:hAnsi="Arial" w:cs="Arial"/>
                <w:b/>
                <w:color w:val="000080"/>
                <w:sz w:val="20"/>
                <w:szCs w:val="20"/>
                <w:lang w:val="es-ES_tradnl" w:eastAsia="es-ES"/>
              </w:rPr>
              <w:t xml:space="preserve"> EL REGLAMENTO PARA LA AFILIACIÓN DE LAS PERSONAS QUE REALIZAN TRABAJO NO REMUNERADO DEL HOGAR</w:t>
            </w:r>
          </w:p>
          <w:p w:rsidR="00C0313A" w:rsidRPr="00610B20" w:rsidRDefault="00C0313A" w:rsidP="008F5093">
            <w:pPr>
              <w:spacing w:after="0"/>
              <w:rPr>
                <w:rFonts w:ascii="Arial" w:eastAsia="Times New Roman" w:hAnsi="Arial" w:cs="Arial"/>
                <w:b/>
                <w:color w:val="000080"/>
                <w:sz w:val="20"/>
                <w:szCs w:val="20"/>
                <w:lang w:eastAsia="es-ES"/>
              </w:rPr>
            </w:pPr>
          </w:p>
          <w:p w:rsidR="003878ED" w:rsidRPr="00610B20"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C0313A">
              <w:rPr>
                <w:rFonts w:ascii="Arial" w:eastAsia="Times New Roman" w:hAnsi="Arial" w:cs="Arial"/>
                <w:color w:val="000080"/>
                <w:sz w:val="20"/>
                <w:szCs w:val="20"/>
                <w:lang w:eastAsia="es-ES"/>
              </w:rPr>
              <w:t>Resolución del IESS 496</w:t>
            </w:r>
            <w:r w:rsidRPr="00610B20">
              <w:rPr>
                <w:rFonts w:ascii="Arial" w:eastAsia="Times New Roman" w:hAnsi="Arial" w:cs="Arial"/>
                <w:color w:val="000080"/>
                <w:sz w:val="20"/>
                <w:szCs w:val="20"/>
                <w:lang w:eastAsia="es-ES"/>
              </w:rPr>
              <w:t xml:space="preserve">, publicada en el Registro Oficial </w:t>
            </w:r>
            <w:r w:rsidR="00C0313A">
              <w:rPr>
                <w:rFonts w:ascii="Arial" w:eastAsia="Times New Roman" w:hAnsi="Arial" w:cs="Arial"/>
                <w:color w:val="000080"/>
                <w:sz w:val="20"/>
                <w:szCs w:val="20"/>
                <w:lang w:eastAsia="es-ES"/>
              </w:rPr>
              <w:t xml:space="preserve">622 de </w:t>
            </w:r>
            <w:r>
              <w:rPr>
                <w:rFonts w:ascii="Arial" w:eastAsia="Times New Roman" w:hAnsi="Arial" w:cs="Arial"/>
                <w:color w:val="000080"/>
                <w:sz w:val="20"/>
                <w:szCs w:val="20"/>
                <w:lang w:eastAsia="es-ES"/>
              </w:rPr>
              <w:t>6</w:t>
            </w:r>
            <w:r w:rsidRPr="00610B20">
              <w:rPr>
                <w:rFonts w:ascii="Arial" w:eastAsia="Times New Roman" w:hAnsi="Arial" w:cs="Arial"/>
                <w:color w:val="000080"/>
                <w:sz w:val="20"/>
                <w:szCs w:val="20"/>
                <w:lang w:eastAsia="es-ES"/>
              </w:rPr>
              <w:t xml:space="preserve"> de </w:t>
            </w:r>
            <w:r w:rsidR="00C0313A">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3878ED"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C0313A">
              <w:rPr>
                <w:rFonts w:ascii="Arial" w:eastAsia="Times New Roman" w:hAnsi="Arial" w:cs="Arial"/>
                <w:color w:val="000080"/>
                <w:sz w:val="20"/>
                <w:szCs w:val="20"/>
                <w:lang w:eastAsia="es-ES"/>
              </w:rPr>
              <w:t>Reforma</w:t>
            </w:r>
          </w:p>
          <w:p w:rsidR="00062459" w:rsidRPr="00062459" w:rsidRDefault="00062459" w:rsidP="008F5093">
            <w:pPr>
              <w:spacing w:after="0"/>
              <w:jc w:val="both"/>
              <w:rPr>
                <w:rFonts w:ascii="Arial" w:eastAsia="Times New Roman" w:hAnsi="Arial" w:cs="Arial"/>
                <w:b/>
                <w:color w:val="000080"/>
                <w:sz w:val="20"/>
                <w:szCs w:val="20"/>
                <w:lang w:eastAsia="es-ES"/>
              </w:rPr>
            </w:pPr>
            <w:hyperlink r:id="rId8" w:history="1">
              <w:r w:rsidRPr="00062459">
                <w:rPr>
                  <w:rStyle w:val="Hipervnculo"/>
                  <w:rFonts w:ascii="Arial" w:eastAsia="Times New Roman" w:hAnsi="Arial" w:cs="Arial"/>
                  <w:b/>
                  <w:sz w:val="20"/>
                  <w:szCs w:val="20"/>
                  <w:lang w:eastAsia="es-ES"/>
                </w:rPr>
                <w:t>Ver vigencia</w:t>
              </w:r>
            </w:hyperlink>
          </w:p>
          <w:p w:rsidR="00C0313A" w:rsidRDefault="00C0313A" w:rsidP="008F5093">
            <w:pPr>
              <w:spacing w:after="0"/>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Artículo Único.- Sustitúyase el artículo 5 del REGLAMENTO PARA LA AFILIACIÓN DE LAS PERSONAS QUE REALIZAN TRABAJO NO REMUNERADO DEL HOGAR, por el siguiente:</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 xml:space="preserve">"Artículo 5.- De la afiliación: La persona que realiza trabajo no remunerado del hogar, será afiliada desde el día en que se realice la correspondiente solicitud, a través del portal web oficial del IESS, </w:t>
            </w:r>
            <w:hyperlink r:id="rId9" w:history="1">
              <w:r w:rsidRPr="00917673">
                <w:rPr>
                  <w:rStyle w:val="Hipervnculo"/>
                  <w:rFonts w:ascii="Arial" w:eastAsia="Times New Roman" w:hAnsi="Arial" w:cs="Arial"/>
                  <w:sz w:val="20"/>
                  <w:szCs w:val="20"/>
                  <w:lang w:eastAsia="es-ES"/>
                </w:rPr>
                <w:t>www.iess.gob.ec</w:t>
              </w:r>
            </w:hyperlink>
            <w:r w:rsidRPr="00C0313A">
              <w:rPr>
                <w:rFonts w:ascii="Arial" w:eastAsia="Times New Roman" w:hAnsi="Arial" w:cs="Arial"/>
                <w:color w:val="000080"/>
                <w:sz w:val="20"/>
                <w:szCs w:val="20"/>
                <w:lang w:eastAsia="es-ES"/>
              </w:rPr>
              <w:t>.</w:t>
            </w:r>
          </w:p>
          <w:p w:rsidR="00C0313A" w:rsidRPr="00C0313A" w:rsidRDefault="00C0313A" w:rsidP="00C0313A">
            <w:pPr>
              <w:spacing w:after="0"/>
              <w:ind w:left="1305"/>
              <w:jc w:val="both"/>
              <w:rPr>
                <w:rFonts w:ascii="Arial" w:eastAsia="Times New Roman" w:hAnsi="Arial" w:cs="Arial"/>
                <w:color w:val="000080"/>
                <w:sz w:val="20"/>
                <w:szCs w:val="20"/>
                <w:lang w:eastAsia="es-ES"/>
              </w:rPr>
            </w:pP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Podrán afiliarse a esta modalidad los miembros de una misma unidad económica familiar, siempre que cumplan los requisitos determinados en el presente Reglamento.</w:t>
            </w:r>
          </w:p>
          <w:p w:rsidR="00C0313A" w:rsidRPr="00C0313A" w:rsidRDefault="00C0313A" w:rsidP="00C0313A">
            <w:pPr>
              <w:spacing w:after="0"/>
              <w:ind w:left="1305"/>
              <w:jc w:val="both"/>
              <w:rPr>
                <w:rFonts w:ascii="Arial" w:eastAsia="Times New Roman" w:hAnsi="Arial" w:cs="Arial"/>
                <w:color w:val="000080"/>
                <w:sz w:val="20"/>
                <w:szCs w:val="20"/>
                <w:lang w:eastAsia="es-ES"/>
              </w:rPr>
            </w:pP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En el caso de las personas que reciben el Bono de Desarrollo Humano, se registrarán en el Instituto Ecuatoriano de Seguridad Social de forma automática en observancia a la interoperabilidad interinstitucional entre el Instituto Ecuatoriano de Seguridad Social, el Ministerio de Inclusión Económica y Social y el Ministerio Coordinador de Desarrollo Social.</w:t>
            </w:r>
          </w:p>
          <w:p w:rsidR="00C0313A" w:rsidRPr="00C0313A" w:rsidRDefault="00C0313A" w:rsidP="00C0313A">
            <w:pPr>
              <w:spacing w:after="0"/>
              <w:ind w:left="1305"/>
              <w:jc w:val="both"/>
              <w:rPr>
                <w:rFonts w:ascii="Arial" w:eastAsia="Times New Roman" w:hAnsi="Arial" w:cs="Arial"/>
                <w:color w:val="000080"/>
                <w:sz w:val="20"/>
                <w:szCs w:val="20"/>
                <w:lang w:eastAsia="es-ES"/>
              </w:rPr>
            </w:pPr>
          </w:p>
          <w:p w:rsidR="00C0313A" w:rsidRP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Aquellas personas perceptoras del Bono de Desarrollo Humano que no deseen afiliarse al Instituto Ecuatoriano de Seguridad Social, deberán comunicar su decisión, a través del portal web oficial del IESS, www.iess.gob.ee, en los Centros de Atención Universal del Instituto Ecuatoriano de Seguridad Social o en las Unidades Médicas del Seguro Social Campesino en el formulario establecido para el efecto.</w:t>
            </w:r>
          </w:p>
          <w:p w:rsidR="00C0313A" w:rsidRP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 xml:space="preserve"> </w:t>
            </w: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Las personas que reciben el Bono de Desarrollo Humano y manifiesten su voluntad de no afiliarse al IESS, deberán solicitar la devolución de valores a través de los mecanismos que establezca el Instituto Ecuatoriano de Seguridad Social, durante los treinta (30) días posteriores al pago del Bono de Desarrollo Humano.</w:t>
            </w:r>
          </w:p>
          <w:p w:rsidR="00C0313A" w:rsidRPr="00C0313A" w:rsidRDefault="00C0313A" w:rsidP="00C0313A">
            <w:pPr>
              <w:spacing w:after="0"/>
              <w:ind w:left="1305"/>
              <w:jc w:val="both"/>
              <w:rPr>
                <w:rFonts w:ascii="Arial" w:eastAsia="Times New Roman" w:hAnsi="Arial" w:cs="Arial"/>
                <w:color w:val="000080"/>
                <w:sz w:val="20"/>
                <w:szCs w:val="20"/>
                <w:lang w:eastAsia="es-ES"/>
              </w:rPr>
            </w:pP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Cumplido lo regulado anteriormente, se considerará el registro del aporte pagado, verificando la recaudación tanto del aporte personal como la contribución del Gobierno Central.</w:t>
            </w:r>
          </w:p>
          <w:p w:rsidR="00C0313A" w:rsidRPr="00C0313A" w:rsidRDefault="00C0313A" w:rsidP="00C0313A">
            <w:pPr>
              <w:spacing w:after="0"/>
              <w:ind w:left="1305"/>
              <w:jc w:val="both"/>
              <w:rPr>
                <w:rFonts w:ascii="Arial" w:eastAsia="Times New Roman" w:hAnsi="Arial" w:cs="Arial"/>
                <w:color w:val="000080"/>
                <w:sz w:val="20"/>
                <w:szCs w:val="20"/>
                <w:lang w:eastAsia="es-ES"/>
              </w:rPr>
            </w:pPr>
          </w:p>
          <w:p w:rsidR="00C0313A" w:rsidRDefault="00C0313A" w:rsidP="00C0313A">
            <w:pPr>
              <w:spacing w:after="0"/>
              <w:ind w:left="1305"/>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La afiliación de las personas que realizan trabajo no remunerado del hogar y que perciben el Bono de Desarrollo Humano, será por mes completo, generando el aviso de entrada al primer día del mes y el aviso de salida al último día del mes correspondien</w:t>
            </w:r>
            <w:r>
              <w:rPr>
                <w:rFonts w:ascii="Arial" w:eastAsia="Times New Roman" w:hAnsi="Arial" w:cs="Arial"/>
                <w:color w:val="000080"/>
                <w:sz w:val="20"/>
                <w:szCs w:val="20"/>
                <w:lang w:eastAsia="es-ES"/>
              </w:rPr>
              <w:t>te.</w:t>
            </w:r>
            <w:r w:rsidRPr="00C0313A">
              <w:rPr>
                <w:rFonts w:ascii="Arial" w:eastAsia="Times New Roman" w:hAnsi="Arial" w:cs="Arial"/>
                <w:color w:val="000080"/>
                <w:sz w:val="20"/>
                <w:szCs w:val="20"/>
                <w:lang w:eastAsia="es-ES"/>
              </w:rPr>
              <w:t>"</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DISPOSICIÓN TRANSITORIA</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En un plazo de treinta (30) días contados a partir de la expedición de la presente Resolución, la Dirección Nacional de Recaudación y Gestión de Cartera en coordinación con la Dirección Nacional de Gestión Financiera establecerán los mecanismos para la devolución del valor descontado del Bono de Desarrollo Humano.</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DISPOSICIONES FINALES</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PRIMERA.- Será responsable de la aplicación de la presente reforma el Director General quien impartirá las instrucciones que correspondan a la Dirección Nacional de Afiliación y Cobertura, Dirección Nacional de Recaudación y Gestión de Cartera, Dirección Nacional de Gestión Financiera, Dirección Nacional de Comunicación Social; y, Dirección Nacional de Tecnología de la Información, en el ámbito de sus competencias.</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SEGUNDA.- La presente reforma entrará en vigencia desde su aprobación, sin perjuicio de su publicación en el Registro Oficial.</w:t>
            </w:r>
          </w:p>
          <w:p w:rsidR="00C0313A" w:rsidRPr="00C0313A" w:rsidRDefault="00C0313A" w:rsidP="00C0313A">
            <w:pPr>
              <w:spacing w:after="0"/>
              <w:ind w:left="596"/>
              <w:jc w:val="both"/>
              <w:rPr>
                <w:rFonts w:ascii="Arial" w:eastAsia="Times New Roman" w:hAnsi="Arial" w:cs="Arial"/>
                <w:color w:val="000080"/>
                <w:sz w:val="20"/>
                <w:szCs w:val="20"/>
                <w:lang w:eastAsia="es-ES"/>
              </w:rPr>
            </w:pPr>
          </w:p>
          <w:p w:rsidR="00C0313A" w:rsidRDefault="00C0313A" w:rsidP="00C0313A">
            <w:pPr>
              <w:spacing w:after="0"/>
              <w:ind w:left="596"/>
              <w:jc w:val="both"/>
              <w:rPr>
                <w:rFonts w:ascii="Arial" w:eastAsia="Times New Roman" w:hAnsi="Arial" w:cs="Arial"/>
                <w:color w:val="000080"/>
                <w:sz w:val="20"/>
                <w:szCs w:val="20"/>
                <w:lang w:eastAsia="es-ES"/>
              </w:rPr>
            </w:pPr>
            <w:r w:rsidRPr="00C0313A">
              <w:rPr>
                <w:rFonts w:ascii="Arial" w:eastAsia="Times New Roman" w:hAnsi="Arial" w:cs="Arial"/>
                <w:color w:val="000080"/>
                <w:sz w:val="20"/>
                <w:szCs w:val="20"/>
                <w:lang w:eastAsia="es-ES"/>
              </w:rPr>
              <w:t>COMUNÍQUESE.- Quito, Distrito Metropolitano, a 18 de septiembre de 2015.</w:t>
            </w:r>
          </w:p>
          <w:p w:rsidR="003878ED" w:rsidRPr="00610B20" w:rsidRDefault="003878ED" w:rsidP="008F5093">
            <w:pPr>
              <w:spacing w:after="0"/>
              <w:ind w:left="738"/>
              <w:jc w:val="both"/>
              <w:rPr>
                <w:rFonts w:ascii="Arial" w:eastAsia="Times New Roman" w:hAnsi="Arial" w:cs="Arial"/>
                <w:b/>
                <w:color w:val="000080"/>
                <w:sz w:val="20"/>
                <w:szCs w:val="20"/>
                <w:lang w:eastAsia="es-ES"/>
              </w:rPr>
            </w:pPr>
          </w:p>
        </w:tc>
      </w:tr>
      <w:tr w:rsidR="003878ED" w:rsidRPr="00610B20" w:rsidTr="008F5093">
        <w:trPr>
          <w:trHeight w:val="1380"/>
        </w:trPr>
        <w:tc>
          <w:tcPr>
            <w:tcW w:w="9257" w:type="dxa"/>
            <w:shd w:val="clear" w:color="auto" w:fill="DDFFFF"/>
          </w:tcPr>
          <w:p w:rsidR="003878ED" w:rsidRPr="00610B20" w:rsidRDefault="003878ED" w:rsidP="008F5093">
            <w:pPr>
              <w:spacing w:after="0"/>
              <w:jc w:val="left"/>
              <w:rPr>
                <w:rFonts w:ascii="Times New Roman" w:eastAsia="Times New Roman" w:hAnsi="Times New Roman" w:cs="Times New Roman"/>
                <w:sz w:val="24"/>
                <w:szCs w:val="24"/>
                <w:lang w:eastAsia="es-ES"/>
              </w:rPr>
            </w:pPr>
          </w:p>
          <w:p w:rsidR="00454E8F" w:rsidRDefault="00454E8F" w:rsidP="00454E8F">
            <w:pPr>
              <w:spacing w:after="0"/>
              <w:rPr>
                <w:rFonts w:ascii="Arial" w:eastAsia="Times New Roman" w:hAnsi="Arial" w:cs="Arial"/>
                <w:b/>
                <w:color w:val="000080"/>
                <w:sz w:val="20"/>
                <w:szCs w:val="20"/>
                <w:lang w:val="es-ES_tradnl" w:eastAsia="es-ES"/>
              </w:rPr>
            </w:pPr>
            <w:r w:rsidRPr="00454E8F">
              <w:rPr>
                <w:rFonts w:ascii="Arial" w:eastAsia="Times New Roman" w:hAnsi="Arial" w:cs="Arial"/>
                <w:b/>
                <w:color w:val="000080"/>
                <w:sz w:val="20"/>
                <w:szCs w:val="20"/>
                <w:lang w:val="es-ES_tradnl" w:eastAsia="es-ES"/>
              </w:rPr>
              <w:t>NORMAS PARA EL PAGO DE UTILIDADES A LAS PERSONAS  TRABAJADORAS</w:t>
            </w:r>
          </w:p>
          <w:p w:rsidR="00454E8F" w:rsidRDefault="00454E8F" w:rsidP="00454E8F">
            <w:pPr>
              <w:spacing w:after="0"/>
              <w:jc w:val="both"/>
              <w:rPr>
                <w:rFonts w:ascii="Arial" w:eastAsia="Times New Roman" w:hAnsi="Arial" w:cs="Arial"/>
                <w:b/>
                <w:color w:val="000080"/>
                <w:sz w:val="20"/>
                <w:szCs w:val="20"/>
                <w:lang w:val="es-ES_tradnl" w:eastAsia="es-ES"/>
              </w:rPr>
            </w:pPr>
          </w:p>
          <w:p w:rsidR="00454E8F" w:rsidRPr="00610B20" w:rsidRDefault="00454E8F" w:rsidP="00454E8F">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0241,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622 de 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3878ED"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062459" w:rsidP="00062459">
            <w:pPr>
              <w:spacing w:after="0"/>
              <w:jc w:val="both"/>
              <w:rPr>
                <w:rFonts w:ascii="Arial" w:eastAsia="Times New Roman" w:hAnsi="Arial" w:cs="Arial"/>
                <w:b/>
                <w:color w:val="000080"/>
                <w:sz w:val="20"/>
                <w:szCs w:val="20"/>
                <w:lang w:eastAsia="es-ES"/>
              </w:rPr>
            </w:pPr>
            <w:hyperlink r:id="rId10" w:history="1">
              <w:r w:rsidRPr="0006245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454E8F" w:rsidRDefault="00454E8F" w:rsidP="008F5093">
            <w:pPr>
              <w:spacing w:after="0"/>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1.- Objeto.- El presente Acuerdo regula el pago de la participación de ut</w:t>
            </w:r>
            <w:r>
              <w:rPr>
                <w:rFonts w:ascii="Arial" w:eastAsia="Times New Roman" w:hAnsi="Arial" w:cs="Arial"/>
                <w:color w:val="000080"/>
                <w:sz w:val="20"/>
                <w:szCs w:val="20"/>
                <w:lang w:eastAsia="es-ES"/>
              </w:rPr>
              <w:t xml:space="preserve">ilidades que tienen derecho las </w:t>
            </w:r>
            <w:r w:rsidRPr="00454E8F">
              <w:rPr>
                <w:rFonts w:ascii="Arial" w:eastAsia="Times New Roman" w:hAnsi="Arial" w:cs="Arial"/>
                <w:color w:val="000080"/>
                <w:sz w:val="20"/>
                <w:szCs w:val="20"/>
                <w:lang w:eastAsia="es-ES"/>
              </w:rPr>
              <w:t>personas trabajadoras y ex trabajadoras de una empresa de conformidad con los artículos 97, 97.1, 100, 103, 104 y 106 del Código del Trabajo, el registro de ese pago por parte del empleador ante el Ministerio del Trabajo.</w:t>
            </w:r>
          </w:p>
          <w:p w:rsidR="00454E8F" w:rsidRP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2.- Ámbito de aplicación.- Están obligados al pago y al registro regulado en el presente Acuerdo los empleadores conforme lo señalado en el artículo 97 del Código del Trabajo.</w:t>
            </w:r>
          </w:p>
          <w:p w:rsidR="00454E8F" w:rsidRP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En la participación de utilidades determinada en normas legales específicas, cuyos porcentajes y reparto se diferencien de los establecidos en el Código del Trabajo, se estará a dichas disposiciones.</w:t>
            </w:r>
          </w:p>
          <w:p w:rsidR="00454E8F" w:rsidRP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3.- Cumplimiento de la obligación de pago en las fechas determinadas.- Los empleadores deberán realizar el pago de la participación de utilidades y registrarlo, a través de la página www.trabajo.gob.ec, en las fechas que de acuerdo al noveno dígito del RUC o cédula de ciudadanía o identidad, estén previstas en el cronograma que defina y publique el Ministerio del Trabajo en dicha página.</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Los empleadores son responsables por la veracidad de su declaración y registro del pago.</w:t>
            </w:r>
          </w:p>
          <w:p w:rsidR="00733270"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PARTICIPACIÓN DE UTILIDADES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4.- Cálculo del 15% de la participación de utilidades.- El 15% de la participación de utilidades, se distribuirá así: el 10% se dividirá entre todas las personas trabajadoras y ex trabajadoras que laboraron en el ejercicio fiscal correspondiente; y el 5% restante será entregado a las personas trabajadoras y ex trabajadoras, en proporción a sus cargas familiares.</w:t>
            </w: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 xml:space="preserve"> </w:t>
            </w: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Para el cálculo de estos porcentajes se tomará como base las declaraciones o determinaciones que se realicen para el pago del Impuesto a la Renta en lo concerniente a participación de utilidades de los trabajadores. Además, se considerará el tiempo de servicio, sin realizar diferenciación alguna con la remuneración o el tipo de ocupación o actividad de la persona trabajadora o ex trabajadora que laboró durante el ejercicio económico en el que se generó las utilidades.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 xml:space="preserve">Art. 5.- Cálculo del 10% de la participación de utilidades.- El valor que debe percibir cada persona trabajadora o ex trabajadora por concepto del 10% de la participación de utilidades, </w:t>
            </w:r>
            <w:r w:rsidRPr="00454E8F">
              <w:rPr>
                <w:rFonts w:ascii="Arial" w:eastAsia="Times New Roman" w:hAnsi="Arial" w:cs="Arial"/>
                <w:color w:val="000080"/>
                <w:sz w:val="20"/>
                <w:szCs w:val="20"/>
                <w:lang w:eastAsia="es-ES"/>
              </w:rPr>
              <w:lastRenderedPageBreak/>
              <w:t>se obtiene multiplicando el valor del 10% de las utilidades, por el tiempo en días que la persona ha laborado, dividido para la suma total de días laborados por todas las personas trabajadoras y ex trabajadoras.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733270">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6.- Cálculo del 5% de la participación de utilidades.-</w:t>
            </w:r>
            <w:r w:rsidR="00733270">
              <w:rPr>
                <w:rFonts w:ascii="Arial" w:eastAsia="Times New Roman" w:hAnsi="Arial" w:cs="Arial"/>
                <w:color w:val="000080"/>
                <w:sz w:val="20"/>
                <w:szCs w:val="20"/>
                <w:lang w:eastAsia="es-ES"/>
              </w:rPr>
              <w:t xml:space="preserve"> </w:t>
            </w:r>
            <w:r w:rsidRPr="00454E8F">
              <w:rPr>
                <w:rFonts w:ascii="Arial" w:eastAsia="Times New Roman" w:hAnsi="Arial" w:cs="Arial"/>
                <w:color w:val="000080"/>
                <w:sz w:val="20"/>
                <w:szCs w:val="20"/>
                <w:lang w:eastAsia="es-ES"/>
              </w:rPr>
              <w:t>El valor que debe percibir cada persona trabajadora o ex trabajadora por concepto del 5% de la participación de utilidades se obtiene tomando en cuenta dos factores:</w:t>
            </w:r>
          </w:p>
          <w:p w:rsidR="00733270" w:rsidRPr="00454E8F" w:rsidRDefault="00733270" w:rsidP="00733270">
            <w:pPr>
              <w:spacing w:after="0"/>
              <w:ind w:left="596"/>
              <w:jc w:val="both"/>
              <w:rPr>
                <w:rFonts w:ascii="Arial" w:eastAsia="Times New Roman" w:hAnsi="Arial" w:cs="Arial"/>
                <w:color w:val="000080"/>
                <w:sz w:val="20"/>
                <w:szCs w:val="20"/>
                <w:lang w:eastAsia="es-ES"/>
              </w:rPr>
            </w:pPr>
          </w:p>
          <w:p w:rsidR="00454E8F" w:rsidRPr="00733270" w:rsidRDefault="00454E8F" w:rsidP="00733270">
            <w:pPr>
              <w:pStyle w:val="Prrafodelista"/>
              <w:numPr>
                <w:ilvl w:val="0"/>
                <w:numId w:val="1"/>
              </w:numPr>
              <w:spacing w:after="0"/>
              <w:jc w:val="both"/>
              <w:rPr>
                <w:rFonts w:ascii="Arial" w:eastAsia="Times New Roman" w:hAnsi="Arial" w:cs="Arial"/>
                <w:color w:val="000080"/>
                <w:sz w:val="20"/>
                <w:szCs w:val="20"/>
                <w:lang w:eastAsia="es-ES"/>
              </w:rPr>
            </w:pPr>
            <w:r w:rsidRPr="00733270">
              <w:rPr>
                <w:rFonts w:ascii="Arial" w:eastAsia="Times New Roman" w:hAnsi="Arial" w:cs="Arial"/>
                <w:color w:val="000080"/>
                <w:sz w:val="20"/>
                <w:szCs w:val="20"/>
                <w:lang w:eastAsia="es-ES"/>
              </w:rPr>
              <w:t>Factor A, que es el resultado de la multiplicación del tiempo laborado anual de la persona trabajadora o ex trabajadora, expresado en días, por el número de cargas familiares que la misma acredite ante el empleador; y,</w:t>
            </w:r>
          </w:p>
          <w:p w:rsidR="00454E8F" w:rsidRPr="00733270" w:rsidRDefault="00454E8F" w:rsidP="00733270">
            <w:pPr>
              <w:pStyle w:val="Prrafodelista"/>
              <w:numPr>
                <w:ilvl w:val="0"/>
                <w:numId w:val="1"/>
              </w:numPr>
              <w:spacing w:after="0"/>
              <w:jc w:val="both"/>
              <w:rPr>
                <w:rFonts w:ascii="Arial" w:eastAsia="Times New Roman" w:hAnsi="Arial" w:cs="Arial"/>
                <w:color w:val="000080"/>
                <w:sz w:val="20"/>
                <w:szCs w:val="20"/>
                <w:lang w:eastAsia="es-ES"/>
              </w:rPr>
            </w:pPr>
            <w:r w:rsidRPr="00733270">
              <w:rPr>
                <w:rFonts w:ascii="Arial" w:eastAsia="Times New Roman" w:hAnsi="Arial" w:cs="Arial"/>
                <w:color w:val="000080"/>
                <w:sz w:val="20"/>
                <w:szCs w:val="20"/>
                <w:lang w:eastAsia="es-ES"/>
              </w:rPr>
              <w:t>Factor B, que es el resultado de la suma del factor A de todas las personas trabajadoras y ex trabajadoras.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El valor que le corresponde percibir a cada trabajador o ex trabajador por el 5% de la participación de utilidades, se obtiene multiplicando el valor del 5% de la participación de utilidades por el factor A, y el resultado dividido para el factor B, conforme a la siguiente fórmula:</w:t>
            </w:r>
          </w:p>
          <w:p w:rsidR="00454E8F" w:rsidRDefault="00454E8F" w:rsidP="00454E8F">
            <w:pPr>
              <w:spacing w:after="0"/>
              <w:ind w:left="596"/>
              <w:jc w:val="both"/>
              <w:rPr>
                <w:rFonts w:ascii="Arial" w:eastAsia="Times New Roman" w:hAnsi="Arial" w:cs="Arial"/>
                <w:color w:val="000080"/>
                <w:sz w:val="20"/>
                <w:szCs w:val="20"/>
                <w:lang w:eastAsia="es-ES"/>
              </w:rPr>
            </w:pPr>
            <w:r>
              <w:rPr>
                <w:rFonts w:ascii="Times New Roman" w:eastAsia="Times New Roman" w:hAnsi="Times New Roman" w:cs="Times New Roman"/>
                <w:noProof/>
                <w:sz w:val="24"/>
                <w:szCs w:val="24"/>
                <w:lang w:eastAsia="es-EC"/>
              </w:rPr>
              <w:drawing>
                <wp:anchor distT="0" distB="0" distL="114300" distR="114300" simplePos="0" relativeHeight="251662336" behindDoc="0" locked="0" layoutInCell="1" allowOverlap="1" wp14:anchorId="119A0116" wp14:editId="5C285520">
                  <wp:simplePos x="0" y="0"/>
                  <wp:positionH relativeFrom="column">
                    <wp:posOffset>384809</wp:posOffset>
                  </wp:positionH>
                  <wp:positionV relativeFrom="paragraph">
                    <wp:posOffset>71755</wp:posOffset>
                  </wp:positionV>
                  <wp:extent cx="5286431" cy="13335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310" cy="1338010"/>
                          </a:xfrm>
                          <a:prstGeom prst="rect">
                            <a:avLst/>
                          </a:prstGeom>
                          <a:noFill/>
                        </pic:spPr>
                      </pic:pic>
                    </a:graphicData>
                  </a:graphic>
                  <wp14:sizeRelH relativeFrom="margin">
                    <wp14:pctWidth>0</wp14:pctWidth>
                  </wp14:sizeRelH>
                  <wp14:sizeRelV relativeFrom="margin">
                    <wp14:pctHeight>0</wp14:pctHeight>
                  </wp14:sizeRelV>
                </wp:anchor>
              </w:drawing>
            </w: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Los trabajadores o ex trabajadores cónyuges o convivientes en unión de hecho legalmente reconocida, o padre y madre de un mismo hijo que tenga la calidad de carga familiar de conformidad con lo establecido en el Código del Trabajo, en el caso de prestar o haber prestado sus servicios en la misma empresa durante el ejercicio económico en el que se generó las utilidades, deberán ser considerados de manera individual para el pago del 5% de la participación de utilidades.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Art. 7.- Cargas familiares.- Son cargas familiares de la persona trabajadora y ex trabajadora, las hijas y los hijos menores de dieciocho años, las hijas y los hijos con discapacidad de cualquier edad, y los cónyuges y los convivientes en unión de hecho legalmente reconocida. La condición para que una persona sea considerada carga familiar debe cumplirse o adquirirse en el ejercicio económico en el que se generó las utilidades.</w:t>
            </w: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 xml:space="preserve"> </w:t>
            </w: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Cuando las hijas y los hijos cumplan dieciocho años y se disuelva la unión de hecho o se produzca el divorcio, dentro de un ejercicio fiscal, se pierde la condición de carga y al no poder ser acreditada por el trabajador al empleador, ya no participará del porcentaje de utilidades correspondiente a cargas.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Cuando las personas trabajadoras y ex trabajadoras no hubiesen acreditado ante el empleador la existencia de la carga, conforme a lo dispuesto en el inciso primero de este artículo, hasta el 30 de marzo del ejercicio fiscal en el que son distribuidas, el 5% de la participación de utilidades será distribuido entre todas las personas trabajadoras y ex trabajadoras de la misma manera que el reparto del 10% de participación de utilidades.</w:t>
            </w:r>
          </w:p>
          <w:p w:rsidR="00733270" w:rsidRPr="00454E8F" w:rsidRDefault="00733270" w:rsidP="00454E8F">
            <w:pPr>
              <w:spacing w:after="0"/>
              <w:ind w:left="596"/>
              <w:jc w:val="both"/>
              <w:rPr>
                <w:rFonts w:ascii="Arial" w:eastAsia="Times New Roman" w:hAnsi="Arial" w:cs="Arial"/>
                <w:color w:val="000080"/>
                <w:sz w:val="20"/>
                <w:szCs w:val="20"/>
                <w:lang w:eastAsia="es-ES"/>
              </w:rPr>
            </w:pPr>
          </w:p>
          <w:p w:rsidR="00454E8F" w:rsidRPr="00454E8F" w:rsidRDefault="00454E8F" w:rsidP="00454E8F">
            <w:pPr>
              <w:spacing w:after="0"/>
              <w:ind w:left="596"/>
              <w:jc w:val="both"/>
              <w:rPr>
                <w:rFonts w:ascii="Arial" w:eastAsia="Times New Roman" w:hAnsi="Arial" w:cs="Arial"/>
                <w:color w:val="000080"/>
                <w:sz w:val="20"/>
                <w:szCs w:val="20"/>
                <w:lang w:eastAsia="es-ES"/>
              </w:rPr>
            </w:pPr>
            <w:r w:rsidRPr="00733270">
              <w:rPr>
                <w:rFonts w:ascii="Arial" w:eastAsia="Times New Roman" w:hAnsi="Arial" w:cs="Arial"/>
                <w:color w:val="000080"/>
                <w:sz w:val="20"/>
                <w:szCs w:val="20"/>
                <w:highlight w:val="yellow"/>
                <w:lang w:eastAsia="es-ES"/>
              </w:rPr>
              <w:t>Art. 8.- Límite en la distribución de utilidades.-</w:t>
            </w:r>
            <w:r w:rsidRPr="00454E8F">
              <w:rPr>
                <w:rFonts w:ascii="Arial" w:eastAsia="Times New Roman" w:hAnsi="Arial" w:cs="Arial"/>
                <w:color w:val="000080"/>
                <w:sz w:val="20"/>
                <w:szCs w:val="20"/>
                <w:lang w:eastAsia="es-ES"/>
              </w:rPr>
              <w:t xml:space="preserve"> Cada empresa calculará el valor correspondiente a utilidades para repartirlo a sus trabajadores, conforme a lo establecido en el artículo 97 del Código del Trabajo.</w:t>
            </w:r>
          </w:p>
          <w:p w:rsidR="00733270" w:rsidRDefault="00733270"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Una vez determinado el monto a repartirse a cada trabajador, la empresa deberá aplicar lo establecido en el artículo 97.1 del Código del Trabajo.</w:t>
            </w:r>
          </w:p>
          <w:p w:rsidR="00475733" w:rsidRDefault="00475733" w:rsidP="00454E8F">
            <w:pPr>
              <w:spacing w:after="0"/>
              <w:ind w:left="596"/>
              <w:jc w:val="both"/>
              <w:rPr>
                <w:rFonts w:ascii="Arial" w:eastAsia="Times New Roman" w:hAnsi="Arial" w:cs="Arial"/>
                <w:color w:val="000080"/>
                <w:sz w:val="20"/>
                <w:szCs w:val="20"/>
                <w:lang w:eastAsia="es-ES"/>
              </w:rPr>
            </w:pPr>
          </w:p>
          <w:p w:rsidR="00475733" w:rsidRPr="0099155E" w:rsidRDefault="00475733" w:rsidP="0099155E">
            <w:pPr>
              <w:spacing w:after="0"/>
              <w:ind w:left="1447"/>
              <w:jc w:val="both"/>
              <w:rPr>
                <w:rFonts w:asciiTheme="majorHAnsi" w:eastAsia="Times New Roman" w:hAnsiTheme="majorHAnsi" w:cs="Arial"/>
                <w:b/>
                <w:i/>
                <w:color w:val="000080"/>
                <w:sz w:val="20"/>
                <w:szCs w:val="20"/>
                <w:lang w:eastAsia="es-ES"/>
              </w:rPr>
            </w:pPr>
            <w:r>
              <w:rPr>
                <w:rFonts w:asciiTheme="majorHAnsi" w:eastAsia="Times New Roman" w:hAnsiTheme="majorHAnsi" w:cs="Arial"/>
                <w:b/>
                <w:i/>
                <w:color w:val="000080"/>
                <w:sz w:val="20"/>
                <w:szCs w:val="20"/>
                <w:lang w:eastAsia="es-ES"/>
              </w:rPr>
              <w:lastRenderedPageBreak/>
              <w:t>(</w:t>
            </w:r>
            <w:r w:rsidR="0099155E">
              <w:rPr>
                <w:rFonts w:asciiTheme="majorHAnsi" w:eastAsia="Times New Roman" w:hAnsiTheme="majorHAnsi" w:cs="Arial"/>
                <w:b/>
                <w:i/>
                <w:color w:val="000080"/>
                <w:sz w:val="20"/>
                <w:szCs w:val="20"/>
                <w:lang w:eastAsia="es-ES"/>
              </w:rPr>
              <w:t xml:space="preserve">Código del Trabajo.- </w:t>
            </w:r>
            <w:r>
              <w:rPr>
                <w:rFonts w:asciiTheme="majorHAnsi" w:eastAsia="Times New Roman" w:hAnsiTheme="majorHAnsi" w:cs="Arial"/>
                <w:b/>
                <w:i/>
                <w:color w:val="000080"/>
                <w:sz w:val="20"/>
                <w:szCs w:val="20"/>
                <w:lang w:eastAsia="es-ES"/>
              </w:rPr>
              <w:t>“</w:t>
            </w:r>
            <w:r w:rsidRPr="00475733">
              <w:rPr>
                <w:rFonts w:asciiTheme="majorHAnsi" w:eastAsia="Times New Roman" w:hAnsiTheme="majorHAnsi" w:cs="Arial"/>
                <w:b/>
                <w:i/>
                <w:color w:val="000080"/>
                <w:sz w:val="20"/>
                <w:szCs w:val="20"/>
                <w:lang w:eastAsia="es-ES"/>
              </w:rPr>
              <w:t>Art. 97.1.-</w:t>
            </w:r>
            <w:r w:rsidRPr="00475733">
              <w:rPr>
                <w:rFonts w:asciiTheme="majorHAnsi" w:eastAsia="Times New Roman" w:hAnsiTheme="majorHAnsi" w:cs="Arial"/>
                <w:i/>
                <w:color w:val="000080"/>
                <w:sz w:val="20"/>
                <w:szCs w:val="20"/>
                <w:lang w:eastAsia="es-ES"/>
              </w:rPr>
              <w:t xml:space="preserve"> Límite en la distribución de las utilidades.- Las utilidades distribuidas a las personas trabajadoras conforme lo señalado en el artículo anterior, no podrán exceder de veinticuatro Salarios Básicos Unificados del trabajador en general. En caso de que el valor de éstas supere el monto señalado, el excedente será entregado al régimen de prestaciones solidarias de la Seguridad Social. La autoridad administrativa de trabajo competente emitirá los acuerdos ministeriales necesarios para la debida aplicación de lo señalado en este artículo.</w:t>
            </w:r>
            <w:r>
              <w:rPr>
                <w:rFonts w:asciiTheme="majorHAnsi" w:eastAsia="Times New Roman" w:hAnsiTheme="majorHAnsi" w:cs="Arial"/>
                <w:i/>
                <w:color w:val="000080"/>
                <w:sz w:val="20"/>
                <w:szCs w:val="20"/>
                <w:lang w:eastAsia="es-ES"/>
              </w:rPr>
              <w:t>”)</w:t>
            </w:r>
          </w:p>
          <w:p w:rsidR="00475733" w:rsidRPr="00454E8F" w:rsidRDefault="00475733"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Este proceso deberá ser registrado en el Sistema de Salarios en Línea cumpliendo la fecha establecida en el artículo 105 del Código del Trabajo y el cronograma autorizado por el Ministerio del Trabajo.</w:t>
            </w:r>
          </w:p>
          <w:p w:rsidR="00475733" w:rsidRPr="00454E8F" w:rsidRDefault="00475733"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Si la empresa identifica que los valores a repartirse superan el límite establecido en el artículo 97.1 del Código del Trabajo, la empresa deberá depositar en un plazo de hasta 15 días, a partir del plazo de pago de utilidades a trabajadores, este excedente al régimen de prestaciones solidarias de la Seguridad Social, en la cuenta proporcionada por el Instituto Ecuatoriano de Seguridad Social para el efecto.</w:t>
            </w:r>
          </w:p>
          <w:p w:rsidR="00475733" w:rsidRPr="00454E8F" w:rsidRDefault="00475733" w:rsidP="00454E8F">
            <w:pPr>
              <w:spacing w:after="0"/>
              <w:ind w:left="596"/>
              <w:jc w:val="both"/>
              <w:rPr>
                <w:rFonts w:ascii="Arial" w:eastAsia="Times New Roman" w:hAnsi="Arial" w:cs="Arial"/>
                <w:color w:val="000080"/>
                <w:sz w:val="20"/>
                <w:szCs w:val="20"/>
                <w:lang w:eastAsia="es-ES"/>
              </w:rPr>
            </w:pPr>
          </w:p>
          <w:p w:rsidR="00454E8F" w:rsidRDefault="00454E8F" w:rsidP="00454E8F">
            <w:pPr>
              <w:spacing w:after="0"/>
              <w:ind w:left="596"/>
              <w:jc w:val="both"/>
              <w:rPr>
                <w:rFonts w:ascii="Arial" w:eastAsia="Times New Roman" w:hAnsi="Arial" w:cs="Arial"/>
                <w:color w:val="000080"/>
                <w:sz w:val="20"/>
                <w:szCs w:val="20"/>
                <w:lang w:eastAsia="es-ES"/>
              </w:rPr>
            </w:pPr>
            <w:r w:rsidRPr="00454E8F">
              <w:rPr>
                <w:rFonts w:ascii="Arial" w:eastAsia="Times New Roman" w:hAnsi="Arial" w:cs="Arial"/>
                <w:color w:val="000080"/>
                <w:sz w:val="20"/>
                <w:szCs w:val="20"/>
                <w:lang w:eastAsia="es-ES"/>
              </w:rPr>
              <w:t xml:space="preserve">Respecto a las utilidades del sector de la minería e </w:t>
            </w:r>
            <w:proofErr w:type="spellStart"/>
            <w:r w:rsidRPr="00454E8F">
              <w:rPr>
                <w:rFonts w:ascii="Arial" w:eastAsia="Times New Roman" w:hAnsi="Arial" w:cs="Arial"/>
                <w:color w:val="000080"/>
                <w:sz w:val="20"/>
                <w:szCs w:val="20"/>
                <w:lang w:eastAsia="es-ES"/>
              </w:rPr>
              <w:t>hidrocarburífero</w:t>
            </w:r>
            <w:proofErr w:type="spellEnd"/>
            <w:r w:rsidRPr="00454E8F">
              <w:rPr>
                <w:rFonts w:ascii="Arial" w:eastAsia="Times New Roman" w:hAnsi="Arial" w:cs="Arial"/>
                <w:color w:val="000080"/>
                <w:sz w:val="20"/>
                <w:szCs w:val="20"/>
                <w:lang w:eastAsia="es-ES"/>
              </w:rPr>
              <w:t xml:space="preserve"> se aplicará primero el limite descrito en los artículos 67 de la Ley de Minería y 94 de la Ley de Hidrocarburos, y en caso de que la participación de utilidades que corresponda a los trabajadores exceda del valor de 24 salarios básicos unificados del trabajador en general la empresa deberá depositar en un plazo de hasta 15 días, a partir del plazo de pago de utilidades a trabajadores, este excedente al régimen de prestaciones solidarias de la Seguridad Social y registrar este proceso en el Sistema de Salarios en Línea cumpliendo la fecha establecida.</w:t>
            </w:r>
          </w:p>
          <w:p w:rsidR="00A424D2" w:rsidRDefault="00A424D2" w:rsidP="00A424D2">
            <w:pPr>
              <w:spacing w:after="0"/>
              <w:jc w:val="both"/>
              <w:rPr>
                <w:rFonts w:ascii="Arial" w:eastAsia="Times New Roman" w:hAnsi="Arial" w:cs="Arial"/>
                <w:color w:val="000080"/>
                <w:sz w:val="20"/>
                <w:szCs w:val="20"/>
                <w:lang w:eastAsia="es-ES"/>
              </w:rPr>
            </w:pPr>
          </w:p>
          <w:p w:rsidR="00A424D2" w:rsidRPr="00A424D2" w:rsidRDefault="00A424D2" w:rsidP="00A424D2">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454E8F" w:rsidRPr="00610B20" w:rsidRDefault="00454E8F" w:rsidP="008F5093">
            <w:pPr>
              <w:spacing w:after="0"/>
              <w:jc w:val="both"/>
              <w:rPr>
                <w:rFonts w:ascii="Times New Roman" w:eastAsia="Times New Roman" w:hAnsi="Times New Roman" w:cs="Times New Roman"/>
                <w:sz w:val="24"/>
                <w:szCs w:val="24"/>
                <w:lang w:eastAsia="es-ES"/>
              </w:rPr>
            </w:pPr>
          </w:p>
        </w:tc>
      </w:tr>
      <w:tr w:rsidR="003878ED" w:rsidRPr="00610B20" w:rsidTr="008F5093">
        <w:trPr>
          <w:trHeight w:val="1380"/>
        </w:trPr>
        <w:tc>
          <w:tcPr>
            <w:tcW w:w="9257" w:type="dxa"/>
            <w:shd w:val="clear" w:color="auto" w:fill="E6F1DF"/>
          </w:tcPr>
          <w:p w:rsidR="003878ED" w:rsidRPr="00610B20" w:rsidRDefault="003878ED" w:rsidP="008F5093">
            <w:pPr>
              <w:spacing w:after="0"/>
              <w:jc w:val="left"/>
              <w:rPr>
                <w:rFonts w:ascii="Times New Roman" w:eastAsia="Times New Roman" w:hAnsi="Times New Roman" w:cs="Times New Roman"/>
                <w:sz w:val="24"/>
                <w:szCs w:val="24"/>
                <w:lang w:eastAsia="es-ES"/>
              </w:rPr>
            </w:pPr>
          </w:p>
          <w:p w:rsidR="003878ED" w:rsidRDefault="002643C6" w:rsidP="008F5093">
            <w:pPr>
              <w:spacing w:after="0"/>
              <w:rPr>
                <w:rFonts w:ascii="Arial" w:eastAsia="Times New Roman" w:hAnsi="Arial" w:cs="Arial"/>
                <w:b/>
                <w:color w:val="000080"/>
                <w:sz w:val="20"/>
                <w:szCs w:val="20"/>
                <w:lang w:val="es-ES_tradnl" w:eastAsia="es-ES"/>
              </w:rPr>
            </w:pPr>
            <w:r w:rsidRPr="002643C6">
              <w:rPr>
                <w:rFonts w:ascii="Arial" w:eastAsia="Times New Roman" w:hAnsi="Arial" w:cs="Arial"/>
                <w:b/>
                <w:color w:val="000080"/>
                <w:sz w:val="20"/>
                <w:szCs w:val="20"/>
                <w:lang w:val="es-ES_tradnl" w:eastAsia="es-ES"/>
              </w:rPr>
              <w:t xml:space="preserve">NORMAS QUE REGULAN EL CONTRATO POR OBRA O SERVICIO DETERMINADO DENTRO DEL GIRO DEL NEGOCIO </w:t>
            </w:r>
          </w:p>
          <w:p w:rsidR="002643C6" w:rsidRPr="00610B20" w:rsidRDefault="002643C6" w:rsidP="008F5093">
            <w:pPr>
              <w:spacing w:after="0"/>
              <w:rPr>
                <w:rFonts w:ascii="Arial" w:eastAsia="Times New Roman" w:hAnsi="Arial" w:cs="Arial"/>
                <w:b/>
                <w:color w:val="000080"/>
                <w:sz w:val="20"/>
                <w:szCs w:val="20"/>
                <w:lang w:eastAsia="es-ES"/>
              </w:rPr>
            </w:pPr>
          </w:p>
          <w:p w:rsidR="00454E8F" w:rsidRPr="00610B20" w:rsidRDefault="00454E8F" w:rsidP="00454E8F">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2643C6">
              <w:rPr>
                <w:rFonts w:ascii="Arial" w:eastAsia="Times New Roman" w:hAnsi="Arial" w:cs="Arial"/>
                <w:color w:val="000080"/>
                <w:sz w:val="20"/>
                <w:szCs w:val="20"/>
                <w:lang w:eastAsia="es-ES"/>
              </w:rPr>
              <w:t>Acuerdo Ministerial 0242, publicado</w:t>
            </w:r>
            <w:r w:rsidRPr="00610B20">
              <w:rPr>
                <w:rFonts w:ascii="Arial" w:eastAsia="Times New Roman" w:hAnsi="Arial" w:cs="Arial"/>
                <w:color w:val="000080"/>
                <w:sz w:val="20"/>
                <w:szCs w:val="20"/>
                <w:lang w:eastAsia="es-ES"/>
              </w:rPr>
              <w:t xml:space="preserve"> en el </w:t>
            </w:r>
            <w:r w:rsidR="002643C6">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622 de 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3878ED"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062459" w:rsidP="00062459">
            <w:pPr>
              <w:spacing w:after="0"/>
              <w:jc w:val="both"/>
              <w:rPr>
                <w:rFonts w:ascii="Arial" w:eastAsia="Times New Roman" w:hAnsi="Arial" w:cs="Arial"/>
                <w:b/>
                <w:color w:val="000080"/>
                <w:sz w:val="20"/>
                <w:szCs w:val="20"/>
                <w:lang w:eastAsia="es-ES"/>
              </w:rPr>
            </w:pPr>
            <w:hyperlink r:id="rId12" w:history="1">
              <w:r w:rsidRPr="0006245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2643C6" w:rsidRDefault="002643C6" w:rsidP="008F5093">
            <w:pPr>
              <w:spacing w:after="0"/>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 El presente Acuerdo regula el contrato que regirá para los trabajadores y empleadores en ejecución de obras de construcción dentro del giro del negocio y ejecución de obras y/o prestación de servicios dentro de proyectos calificados como estratégicos para el Estado ecuatoriano.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2.- El período de duración de los contratos por obra o servicio determinado dentro del giro del negocio será por el tiempo que dure la ejecución de la obra o el proyecto estratégico.</w:t>
            </w:r>
          </w:p>
          <w:p w:rsidR="002643C6" w:rsidRDefault="002643C6" w:rsidP="002643C6">
            <w:pPr>
              <w:spacing w:after="0"/>
              <w:ind w:left="596"/>
              <w:jc w:val="both"/>
              <w:rPr>
                <w:rFonts w:ascii="Arial" w:eastAsia="Times New Roman" w:hAnsi="Arial" w:cs="Arial"/>
                <w:color w:val="000080"/>
                <w:sz w:val="20"/>
                <w:szCs w:val="20"/>
                <w:lang w:eastAsia="es-ES"/>
              </w:rPr>
            </w:pP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3.- En la primera contratación de la persona trabajadora se podrá fijar un período de prueba, a partir del segundo llamado no se podrá fijar un nuevo periodo de prueba.</w:t>
            </w:r>
          </w:p>
          <w:p w:rsid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4.- La remuneración mínima que perciba el trabajador bajo esta modalidad contractual no podrá ser menor a los salarios mínimos legales -básico o sectoriales- establecidos conforme lo dispuesto en el Código del Trabajo.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La remuneración se cancelará de forma semanal, quincenal o mensual conforme a lo acordado entre las partes y se deberá firmar el respectivo rol de pagos, en el cual se detallarán los valores recibidos por el trabajador.</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 xml:space="preserve">Art. 5.- El empleador, de manera quincenal o mensual y previo acuerdo entre las partes, podrá cancelar la parte proporcional de los beneficios correspondientes a décimo tercera y cuarta </w:t>
            </w:r>
            <w:r w:rsidRPr="002643C6">
              <w:rPr>
                <w:rFonts w:ascii="Arial" w:eastAsia="Times New Roman" w:hAnsi="Arial" w:cs="Arial"/>
                <w:color w:val="000080"/>
                <w:sz w:val="20"/>
                <w:szCs w:val="20"/>
                <w:lang w:eastAsia="es-ES"/>
              </w:rPr>
              <w:lastRenderedPageBreak/>
              <w:t>remuneraciones, vacaciones y bonificación por desahucio proporcional al tiempo trabajado, los cuales deberán detallarse expresamente en el rol de pagos de manera obligatoria. Los roles de pagos servirán para acreditar los rubros cancelados previamente y como respaldo para la suscripción del acta de finiquito una vez que termine la relación laboral o concluya el tiempo de la obra o servicio.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6.- Los empleadores deberán cumplir, de manera oportuna, con el pago de las remuneraciones y el cumplimiento de sus obligaciones para con el Instituto Ecuatoriano de Seguridad Social, conforme la ley que regula la materia.</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7.- El empleador, en los llamamientos posteriores a los que se hace referencia en el Capítulo V del presente Acuerdo, se encuentra facultado a establecer nuevas condiciones contractuales y salariales, según la naturaleza del nuevo proyecto o la actividad a ejecutar, sin que en ningún caso puedan ser inferiores a los salarios mínimos legales, básicos o sectoriales, según corresponda.</w:t>
            </w:r>
          </w:p>
          <w:p w:rsid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Terminación de la relación laboral</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8.- El contrato por obra dentro del giro del negocio, terminará una vez concluida su duración conforme lo establecido en el artículo 4 de este Acuerdo, sin perjuicio de que termine por cualquiera otra de las formas contempladas en el artículo 169 del Código del Trabajo.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9.- Al terminar la relación laboral el empleador deberá elaborar el acta de finiquito y liquidar los haberes a los que tenga derecho el trabajador y que se encontraren pendientes de pago.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El empleador estará obligado a pagar la bonificación por desahucio por el tiempo efectivo de trabajo realizado de forma proporcional, sin perjuicio de cualquier otro valor al que tuviere derecho.</w:t>
            </w: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 xml:space="preserve"> </w:t>
            </w: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10.- El empleador notificará al trabajador la fecha y hora en la que deberá acercarse a firmar el acta de finiquito, misma que deberá elaborarse y registrarse a través de la página web del Ministerio del Trabajo.</w:t>
            </w:r>
          </w:p>
          <w:p w:rsidR="002643C6" w:rsidRPr="002643C6" w:rsidRDefault="002643C6" w:rsidP="002643C6">
            <w:pPr>
              <w:spacing w:after="0"/>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Estabilidad laboral</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11.- Para la ejecución de nuevas obras o prestación de servicios, el empleador deberá contratar a los mismos trabajadores que prestaron sus servicios en la ejecución de obras o servicios bajo esta modalidad contractual, hasta por el número de puestos de trabajo que requiera la nueva obra o servicio y conforme a las necesidades de actividad y especialización que se requieran, siendo facultad del empleador escoger a las personas que considere, cuyos datos consten en el registro que en atención de lo dispuesto en el numeral 7 del artículo 42 del Código del Trabajo, debe llevar, en concordancia con lo señalado en el artículo 2 del presente Acuerdo.</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Si el número de puestos de trabajo en la nueva obra o prestación de servicio es inferior al número de trabajadores que deben ser llamados, los trabajadores no convocados no pierden este derecho, por lo tanto, el empleador deberá efectuar el llamamiento para proyectos siguientes en los cuales exista la necesidad de cubrir plazas de trabajo.</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12.- En todos los casos, el empleador tendrá la obligación de efectuar el respectivo llamamiento dentro de un año calendario contado desde la terminación del último proyecto para el cual prestó sus servicios el trabajador, concluido el cual caducará esta obligación y por ende el empleador se encontrará habilitado para contratar nuevos trabajadores.</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13.- El llamamiento al que se hace referencia en los artículos anteriores podrá ser efectuado a través del Sistema de Administración Integral de Trabajo y Empleo (SAITE), por medio del correo electrónico registrado en el mismo, así como por cualquier otro medio que permita la localización de la respectiva persona trabajadora.</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lastRenderedPageBreak/>
              <w:t>Art. 14.- Una vez recibida la notificación o solicitud al trabajador, este deberá de acudir al lugar de trabajo al que haya sido convocado en el plazo máximo de 5 días contados desde la fecha de realizado el llamamiento. Concluido este plazo el empleador podrá llamar a otros trabajadores, quedando sin efecto la obligación de volverlos a llamar en futuras ocasiones.</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Art. 15.- El empleador no tendrá la obligación de llamar a los trabajadores que anteriormente prestaron sus servicios, cuando la relación laboral previa haya terminado por causas distintas a la conclusión de la labor o actividad para la cual fue contratado.</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P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Tampoco el empleador tendrá la obligación de llamar a trabajadores que anteriormente prestaron sus servicios en actividades o especialidades que la nueva obra o prestación de servicios no requiera.</w:t>
            </w:r>
          </w:p>
          <w:p w:rsidR="002643C6" w:rsidRPr="002643C6" w:rsidRDefault="002643C6"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DISPOSICIÓN GENERAL ÚNICA.- En atención a lo dispuesto en el numeral 7 del artículo 42 del Código del Trabajo, el empleador tendrá la obligación de llevar un registro de los trabajadores contratados bajo esta modalidad, en el que consten los datos mencionados en la antes citada norma legal y cualquier otra información adicional que facilite su ubicación. Este registro se lo actualizará con los cambios que se produzcan. Para el efecto, se podrá efectuar este registro por medio de la página web del Ministerio del Trabajo, a través del Sistema de Administración Integral de Trabajo y Empleo “SAITE”. Los datos registrados en el mencionado sistema, podrán ser utilizados por el empleador para realizar los llamados establecidos en el artículo 16.1 del Código del Trabajo, mismos que podrán ser efectuados directamente desde dicho sistema a todos los trabajadores que el empleador requiera para cubrir su demanda de mano de obra. Esto sin perjuicio de que el empleador utilice otros medios de llamado o localización a los trabajadores.</w:t>
            </w:r>
          </w:p>
          <w:p w:rsidR="00B96C7F" w:rsidRPr="002643C6" w:rsidRDefault="00B96C7F" w:rsidP="002643C6">
            <w:pPr>
              <w:spacing w:after="0"/>
              <w:ind w:left="596"/>
              <w:jc w:val="both"/>
              <w:rPr>
                <w:rFonts w:ascii="Arial" w:eastAsia="Times New Roman" w:hAnsi="Arial" w:cs="Arial"/>
                <w:color w:val="000080"/>
                <w:sz w:val="20"/>
                <w:szCs w:val="20"/>
                <w:lang w:eastAsia="es-ES"/>
              </w:rPr>
            </w:pPr>
          </w:p>
          <w:p w:rsidR="002643C6" w:rsidRDefault="002643C6" w:rsidP="002643C6">
            <w:pPr>
              <w:spacing w:after="0"/>
              <w:ind w:left="596"/>
              <w:jc w:val="both"/>
              <w:rPr>
                <w:rFonts w:ascii="Arial" w:eastAsia="Times New Roman" w:hAnsi="Arial" w:cs="Arial"/>
                <w:color w:val="000080"/>
                <w:sz w:val="20"/>
                <w:szCs w:val="20"/>
                <w:lang w:eastAsia="es-ES"/>
              </w:rPr>
            </w:pPr>
            <w:r w:rsidRPr="002643C6">
              <w:rPr>
                <w:rFonts w:ascii="Arial" w:eastAsia="Times New Roman" w:hAnsi="Arial" w:cs="Arial"/>
                <w:color w:val="000080"/>
                <w:sz w:val="20"/>
                <w:szCs w:val="20"/>
                <w:lang w:eastAsia="es-ES"/>
              </w:rPr>
              <w:t>DISPOSICION FINAL.- El presente Acuerdo entrará en vigencia a partir de su publicación en el Registro Oficial.</w:t>
            </w:r>
          </w:p>
          <w:p w:rsidR="003878ED" w:rsidRPr="00610B20" w:rsidRDefault="003878ED" w:rsidP="008F5093">
            <w:pPr>
              <w:spacing w:after="0"/>
              <w:ind w:left="738"/>
              <w:jc w:val="both"/>
              <w:rPr>
                <w:rFonts w:ascii="Arial" w:eastAsia="Times New Roman" w:hAnsi="Arial" w:cs="Arial"/>
                <w:b/>
                <w:color w:val="000080"/>
                <w:sz w:val="20"/>
                <w:szCs w:val="20"/>
                <w:lang w:eastAsia="es-ES"/>
              </w:rPr>
            </w:pPr>
          </w:p>
        </w:tc>
      </w:tr>
      <w:tr w:rsidR="003878ED" w:rsidRPr="00610B20" w:rsidTr="008F5093">
        <w:trPr>
          <w:trHeight w:val="1380"/>
        </w:trPr>
        <w:tc>
          <w:tcPr>
            <w:tcW w:w="9257" w:type="dxa"/>
            <w:shd w:val="clear" w:color="auto" w:fill="DDFFFF"/>
          </w:tcPr>
          <w:p w:rsidR="003878ED" w:rsidRPr="00610B20" w:rsidRDefault="003878ED" w:rsidP="008F5093">
            <w:pPr>
              <w:spacing w:after="0"/>
              <w:jc w:val="left"/>
              <w:rPr>
                <w:rFonts w:ascii="Times New Roman" w:eastAsia="Times New Roman" w:hAnsi="Times New Roman" w:cs="Times New Roman"/>
                <w:sz w:val="24"/>
                <w:szCs w:val="24"/>
                <w:lang w:eastAsia="es-ES"/>
              </w:rPr>
            </w:pPr>
          </w:p>
          <w:p w:rsidR="00F01B43" w:rsidRDefault="007B5108" w:rsidP="007B5108">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REGLA</w:t>
            </w:r>
            <w:r w:rsidRPr="00F01B43">
              <w:rPr>
                <w:rFonts w:ascii="Arial" w:eastAsia="Times New Roman" w:hAnsi="Arial" w:cs="Arial"/>
                <w:b/>
                <w:color w:val="000080"/>
                <w:sz w:val="20"/>
                <w:szCs w:val="20"/>
                <w:lang w:val="es-ES_tradnl" w:eastAsia="es-ES"/>
              </w:rPr>
              <w:t>MENTO PARA LA ADJUDICACIÓN DE FRECUENCIAS DEL ESPECTRO RADIOELÉCTRICO PARA EL FUNCIONAMIENTO DE ES</w:t>
            </w:r>
            <w:r>
              <w:rPr>
                <w:rFonts w:ascii="Arial" w:eastAsia="Times New Roman" w:hAnsi="Arial" w:cs="Arial"/>
                <w:b/>
                <w:color w:val="000080"/>
                <w:sz w:val="20"/>
                <w:szCs w:val="20"/>
                <w:lang w:val="es-ES_tradnl" w:eastAsia="es-ES"/>
              </w:rPr>
              <w:t>TACIONES DE RADIO Y TELEVISIÓN</w:t>
            </w:r>
          </w:p>
          <w:p w:rsidR="007B5108" w:rsidRDefault="007B5108" w:rsidP="00454E8F">
            <w:pPr>
              <w:spacing w:after="0"/>
              <w:jc w:val="both"/>
              <w:rPr>
                <w:rFonts w:ascii="Arial" w:eastAsia="Times New Roman" w:hAnsi="Arial" w:cs="Arial"/>
                <w:b/>
                <w:color w:val="000080"/>
                <w:sz w:val="20"/>
                <w:szCs w:val="20"/>
                <w:lang w:val="es-ES_tradnl" w:eastAsia="es-ES"/>
              </w:rPr>
            </w:pPr>
          </w:p>
          <w:p w:rsidR="00454E8F" w:rsidRPr="00610B20" w:rsidRDefault="00454E8F" w:rsidP="00454E8F">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del </w:t>
            </w:r>
            <w:r w:rsidR="007005CB">
              <w:rPr>
                <w:rFonts w:ascii="Arial" w:eastAsia="Times New Roman" w:hAnsi="Arial" w:cs="Arial"/>
                <w:color w:val="000080"/>
                <w:sz w:val="20"/>
                <w:szCs w:val="20"/>
                <w:lang w:eastAsia="es-ES"/>
              </w:rPr>
              <w:t>CORDICOM 073, publicada</w:t>
            </w:r>
            <w:r w:rsidRPr="00610B20">
              <w:rPr>
                <w:rFonts w:ascii="Arial" w:eastAsia="Times New Roman" w:hAnsi="Arial" w:cs="Arial"/>
                <w:color w:val="000080"/>
                <w:sz w:val="20"/>
                <w:szCs w:val="20"/>
                <w:lang w:eastAsia="es-ES"/>
              </w:rPr>
              <w:t xml:space="preserve"> en el </w:t>
            </w:r>
            <w:r w:rsidR="00F01B43">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622 de 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3878ED"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062459" w:rsidP="00062459">
            <w:pPr>
              <w:spacing w:after="0"/>
              <w:jc w:val="both"/>
              <w:rPr>
                <w:rFonts w:ascii="Arial" w:eastAsia="Times New Roman" w:hAnsi="Arial" w:cs="Arial"/>
                <w:b/>
                <w:color w:val="000080"/>
                <w:sz w:val="20"/>
                <w:szCs w:val="20"/>
                <w:lang w:eastAsia="es-ES"/>
              </w:rPr>
            </w:pPr>
            <w:hyperlink r:id="rId13" w:history="1">
              <w:r w:rsidRPr="0006245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F01B43" w:rsidRDefault="00F01B43" w:rsidP="008F5093">
            <w:pPr>
              <w:spacing w:after="0"/>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1. Objeto.- El presente reglamento tiene por objeto establecer los parámetros de calificación del proyecto comunicacional para la concesión de frecuencias del espectro radioeléctrico para el funcionamiento de medios de comunicación social, en los casos previstos en la Ley Orgánica de Comunicación y la normativa vigente.</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2. Ámbito.- El presente reglamento es aplicable a todas las personas naturales o jurídicas que soliciten la concesión de frecuencias del espectro radioeléctrico, de conformidad con el artículo precedente.</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3. Principios.- El presente reglamento se regirá por los siguientes principios:</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Pr="007B5108" w:rsidRDefault="007B5108" w:rsidP="007B5108">
            <w:pPr>
              <w:pStyle w:val="Prrafodelista"/>
              <w:numPr>
                <w:ilvl w:val="0"/>
                <w:numId w:val="3"/>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Participación ciudadana y control social.- El proyecto comunicacional fomentará la conciencia crítica de los medios de comunicación y la promoción de una ciudadanía activa.</w:t>
            </w:r>
          </w:p>
          <w:p w:rsidR="007B5108" w:rsidRPr="007B5108" w:rsidRDefault="007B5108" w:rsidP="007B5108">
            <w:pPr>
              <w:pStyle w:val="Prrafodelista"/>
              <w:numPr>
                <w:ilvl w:val="0"/>
                <w:numId w:val="3"/>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Garantía de derechos.- El proyecto comunicacional se orientará a la garantía de derechos de las ciudadanas y ciudadanos, como fin de todas las prácticas comunicacionales.</w:t>
            </w:r>
          </w:p>
          <w:p w:rsidR="007B5108" w:rsidRPr="007B5108" w:rsidRDefault="007B5108" w:rsidP="007B5108">
            <w:pPr>
              <w:pStyle w:val="Prrafodelista"/>
              <w:numPr>
                <w:ilvl w:val="0"/>
                <w:numId w:val="3"/>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Democratización.- El proyecto comunicacional, de forma progresiva, promoverá el acceso a los medios de comunicación de personas, comunas, comunidades, pueblos, nacionalidades y colectivos, sin discriminación; generará espacios de participación e implementará mecanismos de comunicación alternativa.</w:t>
            </w:r>
          </w:p>
          <w:p w:rsidR="007B5108" w:rsidRPr="007B5108" w:rsidRDefault="007B5108" w:rsidP="007B5108">
            <w:pPr>
              <w:pStyle w:val="Prrafodelista"/>
              <w:numPr>
                <w:ilvl w:val="0"/>
                <w:numId w:val="3"/>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lastRenderedPageBreak/>
              <w:t>Pluralidad y diversidad.- El proyecto comunicacional garantizará el pluralismo ideológico, político y cultural de la sociedad, mediante la diversidad de fuentes, contenidos y programas, con el fin de alcanzar la representación y auto-representación de los diferentes actores de la sociedad.</w:t>
            </w:r>
          </w:p>
          <w:p w:rsidR="00F01B43" w:rsidRPr="007B5108" w:rsidRDefault="007B5108" w:rsidP="007B5108">
            <w:pPr>
              <w:pStyle w:val="Prrafodelista"/>
              <w:numPr>
                <w:ilvl w:val="0"/>
                <w:numId w:val="3"/>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 xml:space="preserve">Interés superior </w:t>
            </w:r>
            <w:r>
              <w:rPr>
                <w:rFonts w:ascii="Arial" w:eastAsia="Times New Roman" w:hAnsi="Arial" w:cs="Arial"/>
                <w:color w:val="000080"/>
                <w:sz w:val="20"/>
                <w:szCs w:val="20"/>
                <w:lang w:eastAsia="es-ES"/>
              </w:rPr>
              <w:t xml:space="preserve">de niñas, niños y adolescentes.- </w:t>
            </w:r>
            <w:r w:rsidRPr="007B5108">
              <w:rPr>
                <w:rFonts w:ascii="Arial" w:eastAsia="Times New Roman" w:hAnsi="Arial" w:cs="Arial"/>
                <w:color w:val="000080"/>
                <w:sz w:val="20"/>
                <w:szCs w:val="20"/>
                <w:lang w:eastAsia="es-ES"/>
              </w:rPr>
              <w:t>El proyecto comunicacional promoverá de forma prioritaria el ejercicio de los derechos a la comunicación de las niñas, niños y adolescentes, atendiendo el principio de interés superior.</w:t>
            </w:r>
          </w:p>
          <w:p w:rsid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5. Cumplimiento de obligaciones.- Para que el proyecto comunicacional inicie el procedimiento de calificación deberá cumplir con las obligaciones establecidas en la Ley Orgánica de Comunicación y su Reglamento General. El i</w:t>
            </w:r>
            <w:r>
              <w:rPr>
                <w:rFonts w:ascii="Arial" w:eastAsia="Times New Roman" w:hAnsi="Arial" w:cs="Arial"/>
                <w:color w:val="000080"/>
                <w:sz w:val="20"/>
                <w:szCs w:val="20"/>
                <w:lang w:eastAsia="es-ES"/>
              </w:rPr>
              <w:t xml:space="preserve">ncumplimiento de este requisito </w:t>
            </w:r>
            <w:r w:rsidRPr="007B5108">
              <w:rPr>
                <w:rFonts w:ascii="Arial" w:eastAsia="Times New Roman" w:hAnsi="Arial" w:cs="Arial"/>
                <w:color w:val="000080"/>
                <w:sz w:val="20"/>
                <w:szCs w:val="20"/>
                <w:lang w:eastAsia="es-ES"/>
              </w:rPr>
              <w:t>será causal para la descalificación automática del medio de comunicación social en el proceso de evaluación del proyecto comunicacional.</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En todos los casos, el proyecto comunicacional hará constar la determinación de sus objetivos y la audiencia a la que se va a dirigir.</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6. Porcentajes mínimos de calificación.- Para emitir el informe vinculante respectivo, el proyecto comunicacional deberá alcanzar al menos el 50% del puntaje de la evaluación de los parámetros específicos y de impacto social. Para todos los casos la calificación máxima alcanzable es de 50 puntos.</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TELEVISIÓN PRIVADA</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7. Televisión privada.- Es un medio audiovisual que presta el servicio público de comunicación masiva con responsabilidad social.</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La responsabilidad social consiste en la relación de los medios de comunicación con la sociedad en el marco de principios éticos orientados a una comunicación para el buen vivir, con énfasis en los grupos de atención prioritaria, los enfoques de igualdad, la no violencia y no discriminación.</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spacing w:after="0"/>
              <w:ind w:left="596"/>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Artículo 8. Parámetros.- El proyecto comunicacional de televisión privada será calificado con los siguientes parámetros:</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Pr="007B5108" w:rsidRDefault="007B5108" w:rsidP="007B5108">
            <w:pPr>
              <w:pStyle w:val="Prrafodelista"/>
              <w:numPr>
                <w:ilvl w:val="0"/>
                <w:numId w:val="5"/>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Calidad en los Contenidos</w:t>
            </w:r>
          </w:p>
          <w:p w:rsidR="007B5108" w:rsidRPr="007B5108" w:rsidRDefault="007B5108" w:rsidP="007B5108">
            <w:pPr>
              <w:pStyle w:val="Prrafodelista"/>
              <w:spacing w:after="0"/>
              <w:ind w:left="956"/>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1.</w:t>
            </w:r>
            <w:r w:rsidRPr="007B5108">
              <w:rPr>
                <w:rFonts w:ascii="Arial" w:eastAsia="Times New Roman" w:hAnsi="Arial" w:cs="Arial"/>
                <w:color w:val="000080"/>
                <w:sz w:val="20"/>
                <w:szCs w:val="20"/>
                <w:lang w:eastAsia="es-ES"/>
              </w:rPr>
              <w:tab/>
              <w:t>Veinte (20), diez (10) o cinco (5) puntos, si cumple con 60 minutos, 30 minutos o 15 minutos, respectivamente, en el caso de medios de carácter nacional y con 30 minutos, 15 minutos o 7 minutos de tiempo aire, respectivamente, para los demás medios de comunicación, destinados a difundir programas, microprogramas o cápsulas televisivas que promuevan derechos humanos o enfoques de igualdad.</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Los programas, microprogramas y cápsulas podrán repetirse a criterio del medio y se estimarán dentro del cálculo de tiempo aire.</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Para otorgar el puntaje se considerará la programación transmitida dentro de la semana comprendida de lunes a domingo.</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2.</w:t>
            </w:r>
            <w:r w:rsidRPr="007B5108">
              <w:rPr>
                <w:rFonts w:ascii="Arial" w:eastAsia="Times New Roman" w:hAnsi="Arial" w:cs="Arial"/>
                <w:color w:val="000080"/>
                <w:sz w:val="20"/>
                <w:szCs w:val="20"/>
                <w:lang w:eastAsia="es-ES"/>
              </w:rPr>
              <w:tab/>
              <w:t>Veinte (20), diez (10) o cinco (5) puntos, si cumple con 60 minutos, 30 minutos o 15 minutos, respectivamente, en el caso de medios de carácter nacional, y con 30 minutos, 15 minutos o 7 minutos de tiempo aire,   respectivamente,   p</w:t>
            </w:r>
            <w:r>
              <w:rPr>
                <w:rFonts w:ascii="Arial" w:eastAsia="Times New Roman" w:hAnsi="Arial" w:cs="Arial"/>
                <w:color w:val="000080"/>
                <w:sz w:val="20"/>
                <w:szCs w:val="20"/>
                <w:lang w:eastAsia="es-ES"/>
              </w:rPr>
              <w:t xml:space="preserve">ara   los   demás   medios   de </w:t>
            </w:r>
            <w:r w:rsidRPr="007B5108">
              <w:rPr>
                <w:rFonts w:ascii="Arial" w:eastAsia="Times New Roman" w:hAnsi="Arial" w:cs="Arial"/>
                <w:color w:val="000080"/>
                <w:sz w:val="20"/>
                <w:szCs w:val="20"/>
                <w:lang w:eastAsia="es-ES"/>
              </w:rPr>
              <w:t>comunicación, destinados en el fin de semana a difundir programas, microprogramas o cápsulas televisivas dirigidos a niñas, niños y adolescentes, que promuevan sus derechos, presenten su voz, opiniones, intereses y puntos de vista, incentiven su autoestima o promocionen su integridad y respeto a su identidad.</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Los programas, microprogramas y cápsulas podrán repetirse a criterio del medio y se estimarán dentro del cálculo de tiempo aire.</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Para otorgar el puntaje se considerará la programación transmitida dentro del fin de semana.</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3.</w:t>
            </w:r>
            <w:r w:rsidRPr="007B5108">
              <w:rPr>
                <w:rFonts w:ascii="Arial" w:eastAsia="Times New Roman" w:hAnsi="Arial" w:cs="Arial"/>
                <w:color w:val="000080"/>
                <w:sz w:val="20"/>
                <w:szCs w:val="20"/>
                <w:lang w:eastAsia="es-ES"/>
              </w:rPr>
              <w:tab/>
              <w:t>Se otorga cuatro (4) puntos por la incorporación de Mecanismos de acceso a personas con discapacidad.</w:t>
            </w:r>
          </w:p>
          <w:p w:rsidR="007B5108" w:rsidRPr="007B5108" w:rsidRDefault="007B5108" w:rsidP="007B5108">
            <w:pPr>
              <w:spacing w:after="0"/>
              <w:ind w:left="1305"/>
              <w:jc w:val="both"/>
              <w:rPr>
                <w:rFonts w:ascii="Arial" w:eastAsia="Times New Roman" w:hAnsi="Arial" w:cs="Arial"/>
                <w:color w:val="000080"/>
                <w:sz w:val="20"/>
                <w:szCs w:val="20"/>
                <w:lang w:eastAsia="es-ES"/>
              </w:rPr>
            </w:pPr>
          </w:p>
          <w:p w:rsidR="007B5108" w:rsidRP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4.</w:t>
            </w:r>
            <w:r w:rsidRPr="007B5108">
              <w:rPr>
                <w:rFonts w:ascii="Arial" w:eastAsia="Times New Roman" w:hAnsi="Arial" w:cs="Arial"/>
                <w:color w:val="000080"/>
                <w:sz w:val="20"/>
                <w:szCs w:val="20"/>
                <w:lang w:eastAsia="es-ES"/>
              </w:rPr>
              <w:tab/>
              <w:t>Se otorga dos (2) puntos por la inclusión de mecanismos que fomenten la interacción del medio con sus audiencias para el ejercicio de sus derechos a la comunicación e información.</w:t>
            </w:r>
          </w:p>
          <w:p w:rsidR="007B5108" w:rsidRDefault="007B5108" w:rsidP="007B5108">
            <w:pPr>
              <w:spacing w:after="0"/>
              <w:ind w:left="1305"/>
              <w:jc w:val="both"/>
              <w:rPr>
                <w:rFonts w:ascii="Arial" w:eastAsia="Times New Roman" w:hAnsi="Arial" w:cs="Arial"/>
                <w:color w:val="000080"/>
                <w:sz w:val="20"/>
                <w:szCs w:val="20"/>
                <w:lang w:eastAsia="es-ES"/>
              </w:rPr>
            </w:pPr>
          </w:p>
          <w:p w:rsidR="007B5108" w:rsidRPr="007B5108" w:rsidRDefault="007B5108" w:rsidP="007B5108">
            <w:pPr>
              <w:spacing w:after="0"/>
              <w:ind w:left="130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De no alcanzarse el mínimo establecido para estos numerales será calificado con cero puntos.</w:t>
            </w:r>
          </w:p>
          <w:p w:rsidR="007B5108" w:rsidRDefault="007B5108" w:rsidP="007B5108">
            <w:pPr>
              <w:pStyle w:val="Prrafodelista"/>
              <w:spacing w:after="0"/>
              <w:ind w:left="956"/>
              <w:jc w:val="both"/>
              <w:rPr>
                <w:rFonts w:ascii="Arial" w:eastAsia="Times New Roman" w:hAnsi="Arial" w:cs="Arial"/>
                <w:color w:val="000080"/>
                <w:sz w:val="20"/>
                <w:szCs w:val="20"/>
                <w:lang w:eastAsia="es-ES"/>
              </w:rPr>
            </w:pPr>
          </w:p>
          <w:p w:rsidR="007B5108" w:rsidRPr="007B5108" w:rsidRDefault="007B5108" w:rsidP="007B5108">
            <w:pPr>
              <w:pStyle w:val="Prrafodelista"/>
              <w:numPr>
                <w:ilvl w:val="0"/>
                <w:numId w:val="5"/>
              </w:numPr>
              <w:spacing w:after="0"/>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Planes</w:t>
            </w:r>
          </w:p>
          <w:p w:rsidR="007B5108" w:rsidRPr="007B5108" w:rsidRDefault="007B5108" w:rsidP="007B5108">
            <w:pPr>
              <w:spacing w:after="0"/>
              <w:ind w:left="596"/>
              <w:jc w:val="both"/>
              <w:rPr>
                <w:rFonts w:ascii="Arial" w:eastAsia="Times New Roman" w:hAnsi="Arial" w:cs="Arial"/>
                <w:color w:val="000080"/>
                <w:sz w:val="20"/>
                <w:szCs w:val="20"/>
                <w:lang w:eastAsia="es-ES"/>
              </w:rPr>
            </w:pPr>
          </w:p>
          <w:p w:rsidR="007B5108" w:rsidRDefault="007B5108" w:rsidP="007B5108">
            <w:pPr>
              <w:pStyle w:val="Prrafodelista"/>
              <w:numPr>
                <w:ilvl w:val="0"/>
                <w:numId w:val="6"/>
              </w:numPr>
              <w:spacing w:after="0"/>
              <w:ind w:left="1730" w:hanging="38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Un (1) punto si presenta un plan de capacitación anual para editores, periodistas, y demás trabajadores de la comunicación sobre temáticas relacionadas con derechos humanos y enfoques de igualdad.</w:t>
            </w:r>
          </w:p>
          <w:p w:rsidR="007B5108" w:rsidRDefault="007B5108" w:rsidP="007B5108">
            <w:pPr>
              <w:pStyle w:val="Prrafodelista"/>
              <w:numPr>
                <w:ilvl w:val="0"/>
                <w:numId w:val="6"/>
              </w:numPr>
              <w:spacing w:after="0"/>
              <w:ind w:left="1730" w:hanging="385"/>
              <w:jc w:val="both"/>
              <w:rPr>
                <w:rFonts w:ascii="Arial" w:eastAsia="Times New Roman" w:hAnsi="Arial" w:cs="Arial"/>
                <w:color w:val="000080"/>
                <w:sz w:val="20"/>
                <w:szCs w:val="20"/>
                <w:lang w:eastAsia="es-ES"/>
              </w:rPr>
            </w:pPr>
            <w:r w:rsidRPr="007B5108">
              <w:rPr>
                <w:rFonts w:ascii="Arial" w:eastAsia="Times New Roman" w:hAnsi="Arial" w:cs="Arial"/>
                <w:color w:val="000080"/>
                <w:sz w:val="20"/>
                <w:szCs w:val="20"/>
                <w:lang w:eastAsia="es-ES"/>
              </w:rPr>
              <w:t>Tres (3) puntos si presenta un plan de capacitación anual para ciudadanas y ciudadanos que promueva la elaboración de contenidos con la ciudadanía, o estimule el conocimiento de la gestión de medios de comunicación social o permita el ejercicio de los derechos a la comunicación e información de las audiencias en el medio de comunicación social.</w:t>
            </w:r>
          </w:p>
          <w:p w:rsidR="007B5108" w:rsidRDefault="007B5108" w:rsidP="007B5108">
            <w:pPr>
              <w:spacing w:after="0"/>
              <w:jc w:val="both"/>
              <w:rPr>
                <w:rFonts w:ascii="Arial" w:eastAsia="Times New Roman" w:hAnsi="Arial" w:cs="Arial"/>
                <w:color w:val="000080"/>
                <w:sz w:val="20"/>
                <w:szCs w:val="20"/>
                <w:lang w:eastAsia="es-ES"/>
              </w:rPr>
            </w:pPr>
          </w:p>
          <w:p w:rsidR="007B5108" w:rsidRPr="007B5108" w:rsidRDefault="007B5108" w:rsidP="007B5108">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3878ED" w:rsidRPr="00610B20" w:rsidRDefault="003878ED" w:rsidP="008F5093">
            <w:pPr>
              <w:spacing w:after="0"/>
              <w:jc w:val="both"/>
              <w:rPr>
                <w:rFonts w:ascii="Times New Roman" w:eastAsia="Times New Roman" w:hAnsi="Times New Roman" w:cs="Times New Roman"/>
                <w:sz w:val="24"/>
                <w:szCs w:val="24"/>
                <w:lang w:eastAsia="es-ES"/>
              </w:rPr>
            </w:pPr>
          </w:p>
        </w:tc>
      </w:tr>
      <w:tr w:rsidR="003878ED" w:rsidRPr="00610B20" w:rsidTr="008F5093">
        <w:trPr>
          <w:trHeight w:val="1380"/>
        </w:trPr>
        <w:tc>
          <w:tcPr>
            <w:tcW w:w="9257" w:type="dxa"/>
            <w:shd w:val="clear" w:color="auto" w:fill="E6F1DF"/>
          </w:tcPr>
          <w:p w:rsidR="003878ED" w:rsidRPr="00610B20" w:rsidRDefault="003878ED" w:rsidP="008F5093">
            <w:pPr>
              <w:spacing w:after="0"/>
              <w:jc w:val="left"/>
              <w:rPr>
                <w:rFonts w:ascii="Times New Roman" w:eastAsia="Times New Roman" w:hAnsi="Times New Roman" w:cs="Times New Roman"/>
                <w:sz w:val="24"/>
                <w:szCs w:val="24"/>
                <w:lang w:eastAsia="es-ES"/>
              </w:rPr>
            </w:pPr>
          </w:p>
          <w:p w:rsidR="004D7418" w:rsidRDefault="004D7418" w:rsidP="008F5093">
            <w:pPr>
              <w:spacing w:after="0"/>
              <w:rPr>
                <w:rFonts w:ascii="Arial" w:eastAsia="Times New Roman" w:hAnsi="Arial" w:cs="Arial"/>
                <w:b/>
                <w:color w:val="000080"/>
                <w:sz w:val="20"/>
                <w:szCs w:val="20"/>
                <w:lang w:val="es-ES_tradnl" w:eastAsia="es-ES"/>
              </w:rPr>
            </w:pPr>
          </w:p>
          <w:p w:rsidR="004D7418" w:rsidRDefault="004D7418" w:rsidP="008F5093">
            <w:pPr>
              <w:spacing w:after="0"/>
              <w:rPr>
                <w:rFonts w:ascii="Arial" w:eastAsia="Times New Roman" w:hAnsi="Arial" w:cs="Arial"/>
                <w:b/>
                <w:color w:val="000080"/>
                <w:sz w:val="20"/>
                <w:szCs w:val="20"/>
                <w:lang w:val="es-ES_tradnl" w:eastAsia="es-ES"/>
              </w:rPr>
            </w:pPr>
            <w:r w:rsidRPr="004D7418">
              <w:rPr>
                <w:rFonts w:ascii="Arial" w:eastAsia="Times New Roman" w:hAnsi="Arial" w:cs="Arial"/>
                <w:b/>
                <w:color w:val="000080"/>
                <w:sz w:val="20"/>
                <w:szCs w:val="20"/>
                <w:lang w:val="es-ES_tradnl" w:eastAsia="es-ES"/>
              </w:rPr>
              <w:t xml:space="preserve">LÍMITES PARA LA CONTRATACIÓN DE ASESORES EN LAS INSTITUCIONES DEL ESTADO </w:t>
            </w:r>
          </w:p>
          <w:p w:rsidR="004D7418" w:rsidRDefault="004D7418" w:rsidP="008F5093">
            <w:pPr>
              <w:spacing w:after="0"/>
              <w:rPr>
                <w:rFonts w:ascii="Arial" w:eastAsia="Times New Roman" w:hAnsi="Arial" w:cs="Arial"/>
                <w:b/>
                <w:color w:val="000080"/>
                <w:sz w:val="20"/>
                <w:szCs w:val="20"/>
                <w:lang w:val="es-ES_tradnl" w:eastAsia="es-ES"/>
              </w:rPr>
            </w:pPr>
          </w:p>
          <w:p w:rsidR="00DE49C1" w:rsidRDefault="00DE49C1" w:rsidP="00DE49C1">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REFORMA LA </w:t>
            </w:r>
            <w:r w:rsidRPr="00563A42">
              <w:rPr>
                <w:rFonts w:ascii="Arial" w:eastAsia="Times New Roman" w:hAnsi="Arial" w:cs="Arial"/>
                <w:b/>
                <w:color w:val="000080"/>
                <w:sz w:val="20"/>
                <w:szCs w:val="20"/>
                <w:lang w:val="es-ES_tradnl" w:eastAsia="es-ES"/>
              </w:rPr>
              <w:t>NORMA TÉCNICA PARA LA CONTRATACIÓN DE CONSEJEROS DE GOBIERNO Y ASESORES EN LAS INSTITUCIONES DEL ESTADO</w:t>
            </w:r>
          </w:p>
          <w:p w:rsidR="00DE49C1" w:rsidRPr="00563A42" w:rsidRDefault="00DE49C1" w:rsidP="00DE49C1">
            <w:pPr>
              <w:spacing w:after="0"/>
              <w:rPr>
                <w:rFonts w:ascii="Arial" w:eastAsia="Times New Roman" w:hAnsi="Arial" w:cs="Arial"/>
                <w:b/>
                <w:color w:val="000080"/>
                <w:sz w:val="16"/>
                <w:szCs w:val="16"/>
                <w:lang w:val="es-ES_tradnl" w:eastAsia="es-ES"/>
              </w:rPr>
            </w:pPr>
            <w:r>
              <w:rPr>
                <w:rFonts w:ascii="Arial" w:eastAsia="Times New Roman" w:hAnsi="Arial" w:cs="Arial"/>
                <w:b/>
                <w:color w:val="000080"/>
                <w:sz w:val="16"/>
                <w:szCs w:val="16"/>
                <w:lang w:val="es-ES_tradnl" w:eastAsia="es-ES"/>
              </w:rPr>
              <w:t>(</w:t>
            </w:r>
            <w:r w:rsidRPr="00563A42">
              <w:rPr>
                <w:rFonts w:ascii="Arial" w:eastAsia="Times New Roman" w:hAnsi="Arial" w:cs="Arial"/>
                <w:b/>
                <w:color w:val="000080"/>
                <w:sz w:val="16"/>
                <w:szCs w:val="16"/>
                <w:lang w:val="es-ES_tradnl" w:eastAsia="es-ES"/>
              </w:rPr>
              <w:t>ACUERDO N° 059, SUPLEMENTO DEL REGISTRO OFICIAL N° 216 DE 01 DE ABRIL DE 2014</w:t>
            </w:r>
            <w:r>
              <w:rPr>
                <w:rFonts w:ascii="Arial" w:eastAsia="Times New Roman" w:hAnsi="Arial" w:cs="Arial"/>
                <w:b/>
                <w:color w:val="000080"/>
                <w:sz w:val="16"/>
                <w:szCs w:val="16"/>
                <w:lang w:val="es-ES_tradnl" w:eastAsia="es-ES"/>
              </w:rPr>
              <w:t>)</w:t>
            </w:r>
          </w:p>
          <w:p w:rsidR="004D7418" w:rsidRPr="00610B20" w:rsidRDefault="004D7418" w:rsidP="008F5093">
            <w:pPr>
              <w:spacing w:after="0"/>
              <w:rPr>
                <w:rFonts w:ascii="Arial" w:eastAsia="Times New Roman" w:hAnsi="Arial" w:cs="Arial"/>
                <w:b/>
                <w:color w:val="000080"/>
                <w:sz w:val="20"/>
                <w:szCs w:val="20"/>
                <w:lang w:eastAsia="es-ES"/>
              </w:rPr>
            </w:pPr>
          </w:p>
          <w:p w:rsidR="004D7418" w:rsidRPr="00610B20" w:rsidRDefault="004D7418" w:rsidP="004D7418">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0246,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622 de 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3878ED" w:rsidRDefault="003878ED"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4D7418">
              <w:rPr>
                <w:rFonts w:ascii="Arial" w:eastAsia="Times New Roman" w:hAnsi="Arial" w:cs="Arial"/>
                <w:color w:val="000080"/>
                <w:sz w:val="20"/>
                <w:szCs w:val="20"/>
                <w:lang w:eastAsia="es-ES"/>
              </w:rPr>
              <w:t>Reforma</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4"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4D7418" w:rsidRDefault="004D7418" w:rsidP="008F5093">
            <w:pPr>
              <w:spacing w:after="0"/>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1.- En toda parte donde diga: “Ministerio de Relaciones Laborales”, dirá: “Ministerio del Trabajo”.</w:t>
            </w:r>
          </w:p>
          <w:p w:rsidR="004D7418" w:rsidRPr="004D7418" w:rsidRDefault="004D7418"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2.- En el artículo 1, donde dice: “y asesores”, sustitúyase por: “, asesores y gestores de Gobierno”.</w:t>
            </w:r>
          </w:p>
          <w:p w:rsidR="004D7418" w:rsidRPr="004D7418" w:rsidRDefault="004D7418"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3.- En el artículo 3, en el título elimínese las palabras: “de Consejeros de Gobierno y Asesores”; e inclúyase como inciso cuarto el siguiente: “Gestora o gestor de Gobierno es la o el servidor que en base a sus conocimientos y de conformidad a las necesidades específicas de la o del Presidente de la República o de la o del Vicepresidente de la República, se encargará de ejecutar las funciones asignadas para coadyuvar en la realización de procesos y análisis de situaciones concretas, y la proyección de soluciones factibles para su mejora continua. La o el gestor de Gobierno será designado por la Secretaría General de la Presidencia de la República o de la Vicepresidencia de la República.”</w:t>
            </w:r>
          </w:p>
          <w:p w:rsidR="004D7418" w:rsidRPr="004D7418" w:rsidRDefault="004D7418" w:rsidP="004D7418">
            <w:pPr>
              <w:spacing w:after="0"/>
              <w:ind w:left="738"/>
              <w:jc w:val="both"/>
              <w:rPr>
                <w:rFonts w:ascii="Arial" w:eastAsia="Times New Roman" w:hAnsi="Arial" w:cs="Arial"/>
                <w:color w:val="000080"/>
                <w:sz w:val="20"/>
                <w:szCs w:val="20"/>
                <w:lang w:eastAsia="es-ES"/>
              </w:rPr>
            </w:pPr>
          </w:p>
          <w:p w:rsidR="004D7418" w:rsidRP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4.- En el artículo 4, en el inciso primero, donde dice: “y asesor” y “a quienes asesore”, sustitúyase por: “, asesor y gestor de Gobierno” y “a quienes asesore o preste su gestión”, respectivamente; y en el inciso segundo, donde dice: “y asesores”, sustitúyase por: “, asesores y gestores de Gobierno”.</w:t>
            </w:r>
          </w:p>
          <w:p w:rsidR="004D7418" w:rsidRDefault="004D7418"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5.- En el artículo 5, en el primer inciso, y en el artículo 10, en el primer inciso, a continuación de: “puestos de asesores” y “puesto de asesor”, añádase: “y gestores de Gobierno” y “y gestor de Gobierno”, respectivamente; y en los cuadros de los artículos 5 y 10, a las palabras: “ASESOR 2”, “ASESOR 3”, “ASESOR 4” y “ASESOR 5”, añádase lo siguiente: “/ GESTOR DE GOBIERNO 1”, “/ GESTOR DE GOBIERNO 2”, “/ GESTOR DE GOBIERNO 3” y “/ GESTOR DE GOBIERNO 4”, en ese orden.</w:t>
            </w:r>
          </w:p>
          <w:p w:rsidR="004D7418" w:rsidRPr="004D7418" w:rsidRDefault="004D7418"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310D16">
              <w:rPr>
                <w:rFonts w:ascii="Arial" w:eastAsia="Times New Roman" w:hAnsi="Arial" w:cs="Arial"/>
                <w:color w:val="000080"/>
                <w:sz w:val="20"/>
                <w:szCs w:val="20"/>
                <w:highlight w:val="yellow"/>
                <w:lang w:eastAsia="es-ES"/>
              </w:rPr>
              <w:t>Art. 6.- Sustitúyase el artículo 6, por el siguiente:</w:t>
            </w:r>
          </w:p>
          <w:p w:rsidR="004D7418" w:rsidRPr="004D7418" w:rsidRDefault="004D7418" w:rsidP="004D7418">
            <w:pPr>
              <w:spacing w:after="0"/>
              <w:ind w:left="738"/>
              <w:jc w:val="both"/>
              <w:rPr>
                <w:rFonts w:ascii="Arial" w:eastAsia="Times New Roman" w:hAnsi="Arial" w:cs="Arial"/>
                <w:color w:val="000080"/>
                <w:sz w:val="20"/>
                <w:szCs w:val="20"/>
                <w:lang w:eastAsia="es-ES"/>
              </w:rPr>
            </w:pPr>
          </w:p>
          <w:p w:rsidR="004D7418" w:rsidRDefault="00310D16" w:rsidP="00310D16">
            <w:pPr>
              <w:spacing w:after="0"/>
              <w:ind w:left="1447"/>
              <w:jc w:val="both"/>
              <w:rPr>
                <w:rFonts w:ascii="Arial" w:eastAsia="Times New Roman" w:hAnsi="Arial" w:cs="Arial"/>
                <w:color w:val="000080"/>
                <w:sz w:val="20"/>
                <w:szCs w:val="20"/>
                <w:lang w:eastAsia="es-ES"/>
              </w:rPr>
            </w:pPr>
            <w:r w:rsidRPr="00310D16">
              <w:rPr>
                <w:rFonts w:ascii="Arial" w:eastAsia="Times New Roman" w:hAnsi="Arial" w:cs="Arial"/>
                <w:color w:val="000080"/>
                <w:sz w:val="20"/>
                <w:szCs w:val="20"/>
                <w:highlight w:val="yellow"/>
                <w:lang w:eastAsia="es-ES"/>
              </w:rPr>
              <w:t>“</w:t>
            </w:r>
            <w:r w:rsidR="004D7418" w:rsidRPr="00310D16">
              <w:rPr>
                <w:rFonts w:ascii="Arial" w:eastAsia="Times New Roman" w:hAnsi="Arial" w:cs="Arial"/>
                <w:color w:val="000080"/>
                <w:sz w:val="20"/>
                <w:szCs w:val="20"/>
                <w:highlight w:val="yellow"/>
                <w:lang w:eastAsia="es-ES"/>
              </w:rPr>
              <w:t>Art. 6.- Del límite del número de las y los asesores de las instituciones de la Administración Pública Central, Institucional y Dependiente de la Función Ejecutiva.-</w:t>
            </w:r>
            <w:r w:rsidR="004D7418" w:rsidRPr="004D7418">
              <w:rPr>
                <w:rFonts w:ascii="Arial" w:eastAsia="Times New Roman" w:hAnsi="Arial" w:cs="Arial"/>
                <w:color w:val="000080"/>
                <w:sz w:val="20"/>
                <w:szCs w:val="20"/>
                <w:lang w:eastAsia="es-ES"/>
              </w:rPr>
              <w:t xml:space="preserve"> Se establece el límite del número de las y los asesores institucionales, que serán designados por la máxima autoridad, según las reglas siguientes:</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P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1) Límite del número de asesoras o asesores para las instituciones con su máxima autoridad con Grado 8 de la Escala del nivel jerárquico superior:</w:t>
            </w:r>
          </w:p>
          <w:p w:rsid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El número máximo total de asesoras o asesores institucional, está conformado por un número fijo y un número variable por estructura organizacional, según lo detallado a continuación:</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Pr="00C85202" w:rsidRDefault="004D7418" w:rsidP="00C85202">
            <w:pPr>
              <w:pStyle w:val="Prrafodelista"/>
              <w:numPr>
                <w:ilvl w:val="0"/>
                <w:numId w:val="10"/>
              </w:numPr>
              <w:spacing w:after="0"/>
              <w:ind w:left="2297" w:hanging="425"/>
              <w:jc w:val="both"/>
              <w:rPr>
                <w:rFonts w:ascii="Arial" w:eastAsia="Times New Roman" w:hAnsi="Arial" w:cs="Arial"/>
                <w:color w:val="000080"/>
                <w:sz w:val="20"/>
                <w:szCs w:val="20"/>
                <w:lang w:eastAsia="es-ES"/>
              </w:rPr>
            </w:pPr>
            <w:r w:rsidRPr="00C85202">
              <w:rPr>
                <w:rFonts w:ascii="Arial" w:eastAsia="Times New Roman" w:hAnsi="Arial" w:cs="Arial"/>
                <w:color w:val="000080"/>
                <w:sz w:val="20"/>
                <w:szCs w:val="20"/>
                <w:lang w:eastAsia="es-ES"/>
              </w:rPr>
              <w:t>Límite por número fijo: La máxima autoridad de la institución del Estado podrá designar como sus asesoras o asesores directos, a un número máximo de ocho (8); y,</w:t>
            </w:r>
          </w:p>
          <w:p w:rsidR="004D7418" w:rsidRPr="00C85202" w:rsidRDefault="004D7418" w:rsidP="00C85202">
            <w:pPr>
              <w:pStyle w:val="Prrafodelista"/>
              <w:numPr>
                <w:ilvl w:val="0"/>
                <w:numId w:val="10"/>
              </w:numPr>
              <w:spacing w:after="0"/>
              <w:ind w:left="2297" w:hanging="425"/>
              <w:jc w:val="both"/>
              <w:rPr>
                <w:rFonts w:ascii="Arial" w:eastAsia="Times New Roman" w:hAnsi="Arial" w:cs="Arial"/>
                <w:color w:val="000080"/>
                <w:sz w:val="20"/>
                <w:szCs w:val="20"/>
                <w:lang w:eastAsia="es-ES"/>
              </w:rPr>
            </w:pPr>
            <w:r w:rsidRPr="00C85202">
              <w:rPr>
                <w:rFonts w:ascii="Arial" w:eastAsia="Times New Roman" w:hAnsi="Arial" w:cs="Arial"/>
                <w:color w:val="000080"/>
                <w:sz w:val="20"/>
                <w:szCs w:val="20"/>
                <w:lang w:eastAsia="es-ES"/>
              </w:rPr>
              <w:t>Límite por número variable por estructura organizacional: La máxima autoridad de la institución del Estado, de conformidad con la estructura organizacional prevista en su Estatuto Orgánico, únicamente podrá designar a una o un (1) asesor por cada autoridad institucional desde el Grado 7 al Grado 5 de la Escala del nivel jerárquico superior. Se prohíbe designar asesoras o asesores para las autoridades del Grado 4 al Grado 1 de la Escala del nivel jerárquico superior.</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El número variable de las y los asesores no podrá superar el número de autoridades institucionales previsto en la estructura organizacional e indicada en el párrafo anterior. En el caso de que, según dicha estructura, se supere la cantidad de quince (15), se sujetarán obligatoriamente al límite máximo de quince (15).</w:t>
            </w:r>
          </w:p>
          <w:p w:rsidR="00310D16" w:rsidRPr="004D7418" w:rsidRDefault="00310D16" w:rsidP="00C85202">
            <w:pPr>
              <w:spacing w:after="0"/>
              <w:ind w:left="2297"/>
              <w:jc w:val="both"/>
              <w:rPr>
                <w:rFonts w:ascii="Arial" w:eastAsia="Times New Roman" w:hAnsi="Arial" w:cs="Arial"/>
                <w:color w:val="000080"/>
                <w:sz w:val="20"/>
                <w:szCs w:val="20"/>
                <w:lang w:eastAsia="es-ES"/>
              </w:rPr>
            </w:pPr>
          </w:p>
          <w:p w:rsid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Si la máxima autoridad, por necesidades institucionales, requiere designar a más de un (1) asesor para una autoridad institucional del Grado 7 al Grado 5, se tomará del número variable por estructura organizacional. En ningún caso se superará el número de autoridades institucionales o el límite máximo de quince (15).</w:t>
            </w:r>
          </w:p>
          <w:p w:rsidR="00310D16" w:rsidRPr="004D7418" w:rsidRDefault="00310D16" w:rsidP="00C85202">
            <w:pPr>
              <w:spacing w:after="0"/>
              <w:ind w:left="2297"/>
              <w:jc w:val="both"/>
              <w:rPr>
                <w:rFonts w:ascii="Arial" w:eastAsia="Times New Roman" w:hAnsi="Arial" w:cs="Arial"/>
                <w:color w:val="000080"/>
                <w:sz w:val="20"/>
                <w:szCs w:val="20"/>
                <w:lang w:eastAsia="es-ES"/>
              </w:rPr>
            </w:pPr>
          </w:p>
          <w:p w:rsidR="004D7418" w:rsidRP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Si la máxima autoridad no requiere designar asesoras o asesores para las autoridades institucionales del Grado 7 al Grado 5, podrá mantener dichas partidas vacantes.</w:t>
            </w:r>
          </w:p>
          <w:p w:rsidR="004D7418" w:rsidRP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 xml:space="preserve"> </w:t>
            </w:r>
          </w:p>
          <w:p w:rsid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La máxima autoridad, según la necesidad institucional y previo informe técnico de la UATH, podrá incrementar el Número fijo de asesoras o asesores por sobre el límite máximo previsto en el literal a) de este numeral. Este incremento se hará con cargo al número de asesoras o asesores por estructura organizacional, e implicará necesariamente la correspondiente reducción del número de asesoras y asesores que según el literal b) de este numeral, estaba asignado a la institución.</w:t>
            </w:r>
          </w:p>
          <w:p w:rsidR="00310D16" w:rsidRPr="004D7418" w:rsidRDefault="00310D16" w:rsidP="00C85202">
            <w:pPr>
              <w:spacing w:after="0"/>
              <w:ind w:left="2297"/>
              <w:jc w:val="both"/>
              <w:rPr>
                <w:rFonts w:ascii="Arial" w:eastAsia="Times New Roman" w:hAnsi="Arial" w:cs="Arial"/>
                <w:color w:val="000080"/>
                <w:sz w:val="20"/>
                <w:szCs w:val="20"/>
                <w:lang w:eastAsia="es-ES"/>
              </w:rPr>
            </w:pPr>
          </w:p>
          <w:p w:rsidR="004D7418" w:rsidRDefault="004D7418" w:rsidP="00C85202">
            <w:pPr>
              <w:spacing w:after="0"/>
              <w:ind w:left="229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En ningún caso, la suma total de las y los asesores de una institución, tomando en cuenta el número fijo y el número variable por estructura organizacional, superará los límites indicados en el presente numeral.</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lastRenderedPageBreak/>
              <w:t>2)</w:t>
            </w:r>
            <w:r w:rsidRPr="004D7418">
              <w:rPr>
                <w:rFonts w:ascii="Arial" w:eastAsia="Times New Roman" w:hAnsi="Arial" w:cs="Arial"/>
                <w:color w:val="000080"/>
                <w:sz w:val="20"/>
                <w:szCs w:val="20"/>
                <w:lang w:eastAsia="es-ES"/>
              </w:rPr>
              <w:tab/>
              <w:t>Límite del número de asesoras o asesores para las instituciones con su máxima autoridad con Grado del 7 al 5 en la Escala del nivel jerárquico superior: La máxima autoridad institucional podrá designar como sus asesoras o asesores directos a un número máximo total de tres (3). En ningún caso podrá designar asesoras o asesores para sus autoridades institucionales.</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3)</w:t>
            </w:r>
            <w:r w:rsidRPr="004D7418">
              <w:rPr>
                <w:rFonts w:ascii="Arial" w:eastAsia="Times New Roman" w:hAnsi="Arial" w:cs="Arial"/>
                <w:color w:val="000080"/>
                <w:sz w:val="20"/>
                <w:szCs w:val="20"/>
                <w:lang w:eastAsia="es-ES"/>
              </w:rPr>
              <w:tab/>
              <w:t>Límite del número de asesoras o asesores para los Institutos con su máxima autoridad con Grado del 7 al 5 de la Escala del Nivel Jerárquico Superior:</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Los Institutos que cuenten con su máxima autoridad institucional con el grado del 7 al 5 de la Escala del Nivel Jerárquico Superior podrán contar con el máximo de dos (2) asesoras o asesores directos. En ningún caso podrá designar asesoras o asesores para las autoridades institucionales.</w:t>
            </w:r>
          </w:p>
          <w:p w:rsidR="00310D16" w:rsidRPr="004D7418" w:rsidRDefault="00310D16" w:rsidP="00310D16">
            <w:pPr>
              <w:spacing w:after="0"/>
              <w:ind w:left="1447"/>
              <w:jc w:val="both"/>
              <w:rPr>
                <w:rFonts w:ascii="Arial" w:eastAsia="Times New Roman" w:hAnsi="Arial" w:cs="Arial"/>
                <w:color w:val="000080"/>
                <w:sz w:val="20"/>
                <w:szCs w:val="20"/>
                <w:lang w:eastAsia="es-ES"/>
              </w:rPr>
            </w:pPr>
          </w:p>
          <w:p w:rsidR="004D7418" w:rsidRPr="004D7418" w:rsidRDefault="004D7418" w:rsidP="00310D16">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Las instituciones del Estado que a la fecha de vigencia del presente Acuerdo, cuenten con un número menor de asesoras o asesores al límite que les corresponda, no podrán incorporar asesoras o asesores adicionales durante el resto del ejercicio fiscal 2015 y en el año 2016.”</w:t>
            </w:r>
          </w:p>
          <w:p w:rsidR="00310D16" w:rsidRDefault="00310D16"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7.- Incorpórese a continuación del artículo 6, el siguiente artículo innumerado:</w:t>
            </w:r>
          </w:p>
          <w:p w:rsidR="00C85202" w:rsidRPr="004D7418" w:rsidRDefault="00C85202" w:rsidP="004D7418">
            <w:pPr>
              <w:spacing w:after="0"/>
              <w:ind w:left="738"/>
              <w:jc w:val="both"/>
              <w:rPr>
                <w:rFonts w:ascii="Arial" w:eastAsia="Times New Roman" w:hAnsi="Arial" w:cs="Arial"/>
                <w:color w:val="000080"/>
                <w:sz w:val="20"/>
                <w:szCs w:val="20"/>
                <w:lang w:eastAsia="es-ES"/>
              </w:rPr>
            </w:pPr>
          </w:p>
          <w:p w:rsidR="004D7418" w:rsidRDefault="004D7418" w:rsidP="00C85202">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Del límite de número de las y los asesores para las demás Funciones del Estado.- Se establece el límite del número de asesoras o asesores institucionales, según las reglas siguientes:</w:t>
            </w:r>
          </w:p>
          <w:p w:rsidR="00C85202" w:rsidRPr="004D7418" w:rsidRDefault="00C85202" w:rsidP="00C85202">
            <w:pPr>
              <w:spacing w:after="0"/>
              <w:ind w:left="1447"/>
              <w:jc w:val="both"/>
              <w:rPr>
                <w:rFonts w:ascii="Arial" w:eastAsia="Times New Roman" w:hAnsi="Arial" w:cs="Arial"/>
                <w:color w:val="000080"/>
                <w:sz w:val="20"/>
                <w:szCs w:val="20"/>
                <w:lang w:eastAsia="es-ES"/>
              </w:rPr>
            </w:pPr>
          </w:p>
          <w:p w:rsidR="004D7418" w:rsidRPr="00C85202" w:rsidRDefault="004D7418" w:rsidP="00C85202">
            <w:pPr>
              <w:pStyle w:val="Prrafodelista"/>
              <w:numPr>
                <w:ilvl w:val="0"/>
                <w:numId w:val="11"/>
              </w:numPr>
              <w:spacing w:after="0"/>
              <w:ind w:left="1447" w:firstLine="0"/>
              <w:jc w:val="both"/>
              <w:rPr>
                <w:rFonts w:ascii="Arial" w:eastAsia="Times New Roman" w:hAnsi="Arial" w:cs="Arial"/>
                <w:color w:val="000080"/>
                <w:sz w:val="20"/>
                <w:szCs w:val="20"/>
                <w:lang w:eastAsia="es-ES"/>
              </w:rPr>
            </w:pPr>
            <w:r w:rsidRPr="00C85202">
              <w:rPr>
                <w:rFonts w:ascii="Arial" w:eastAsia="Times New Roman" w:hAnsi="Arial" w:cs="Arial"/>
                <w:color w:val="000080"/>
                <w:sz w:val="20"/>
                <w:szCs w:val="20"/>
                <w:lang w:eastAsia="es-ES"/>
              </w:rPr>
              <w:t>Límite del número de asesoras o asesores para la o el Presidente de la Función Legislativa: La o el Presidente de la Función Legislativa podrá designar como sus asesoras y asesores directos, a un número máximo de ocho (8).</w:t>
            </w:r>
          </w:p>
          <w:p w:rsidR="00C85202" w:rsidRPr="00C85202" w:rsidRDefault="00C85202" w:rsidP="00C85202">
            <w:pPr>
              <w:pStyle w:val="Prrafodelista"/>
              <w:spacing w:after="0"/>
              <w:ind w:left="1447"/>
              <w:jc w:val="both"/>
              <w:rPr>
                <w:rFonts w:ascii="Arial" w:eastAsia="Times New Roman" w:hAnsi="Arial" w:cs="Arial"/>
                <w:color w:val="000080"/>
                <w:sz w:val="20"/>
                <w:szCs w:val="20"/>
                <w:lang w:eastAsia="es-ES"/>
              </w:rPr>
            </w:pPr>
          </w:p>
          <w:p w:rsidR="004D7418" w:rsidRDefault="004D7418" w:rsidP="00C85202">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El número de las y los asesores para las y los Asambleístas, en aplicación de la Ley interpretativa del artículo 3 de la Ley Orgánica del Servicio Público, publicada en el Suplemento del Registro Oficial No. 651 de 01 de marzo de 2012, se regirán por la Ley Orgánica de la Función Legislativa y las resoluciones del Consejo de Administración Legislativa.</w:t>
            </w:r>
          </w:p>
          <w:p w:rsidR="00C85202" w:rsidRPr="004D7418" w:rsidRDefault="00C85202" w:rsidP="00C85202">
            <w:pPr>
              <w:spacing w:after="0"/>
              <w:ind w:left="1447"/>
              <w:jc w:val="both"/>
              <w:rPr>
                <w:rFonts w:ascii="Arial" w:eastAsia="Times New Roman" w:hAnsi="Arial" w:cs="Arial"/>
                <w:color w:val="000080"/>
                <w:sz w:val="20"/>
                <w:szCs w:val="20"/>
                <w:lang w:eastAsia="es-ES"/>
              </w:rPr>
            </w:pPr>
          </w:p>
          <w:p w:rsidR="004D7418" w:rsidRPr="00C85202" w:rsidRDefault="004D7418" w:rsidP="00C85202">
            <w:pPr>
              <w:pStyle w:val="Prrafodelista"/>
              <w:numPr>
                <w:ilvl w:val="0"/>
                <w:numId w:val="11"/>
              </w:numPr>
              <w:spacing w:after="0"/>
              <w:ind w:left="1447" w:firstLine="0"/>
              <w:jc w:val="both"/>
              <w:rPr>
                <w:rFonts w:ascii="Arial" w:eastAsia="Times New Roman" w:hAnsi="Arial" w:cs="Arial"/>
                <w:color w:val="000080"/>
                <w:sz w:val="20"/>
                <w:szCs w:val="20"/>
                <w:lang w:eastAsia="es-ES"/>
              </w:rPr>
            </w:pPr>
            <w:r w:rsidRPr="00C85202">
              <w:rPr>
                <w:rFonts w:ascii="Arial" w:eastAsia="Times New Roman" w:hAnsi="Arial" w:cs="Arial"/>
                <w:color w:val="000080"/>
                <w:sz w:val="20"/>
                <w:szCs w:val="20"/>
                <w:lang w:eastAsia="es-ES"/>
              </w:rPr>
              <w:t>Límite del número de asesoras o asesores para la o el Presidente de la Función Judicial: La o el Presidente de la Función Judicial podrá designar como sus asesoras y asesores directos, a un número máximo de ocho (8).</w:t>
            </w:r>
          </w:p>
          <w:p w:rsidR="00C85202" w:rsidRPr="00C85202" w:rsidRDefault="00C85202" w:rsidP="00C85202">
            <w:pPr>
              <w:pStyle w:val="Prrafodelista"/>
              <w:spacing w:after="0"/>
              <w:ind w:left="1447"/>
              <w:jc w:val="both"/>
              <w:rPr>
                <w:rFonts w:ascii="Arial" w:eastAsia="Times New Roman" w:hAnsi="Arial" w:cs="Arial"/>
                <w:color w:val="000080"/>
                <w:sz w:val="20"/>
                <w:szCs w:val="20"/>
                <w:lang w:eastAsia="es-ES"/>
              </w:rPr>
            </w:pPr>
          </w:p>
          <w:p w:rsidR="004D7418" w:rsidRPr="00C85202" w:rsidRDefault="004D7418" w:rsidP="00C85202">
            <w:pPr>
              <w:pStyle w:val="Prrafodelista"/>
              <w:numPr>
                <w:ilvl w:val="0"/>
                <w:numId w:val="11"/>
              </w:numPr>
              <w:spacing w:after="0"/>
              <w:ind w:left="1447" w:firstLine="0"/>
              <w:jc w:val="both"/>
              <w:rPr>
                <w:rFonts w:ascii="Arial" w:eastAsia="Times New Roman" w:hAnsi="Arial" w:cs="Arial"/>
                <w:color w:val="000080"/>
                <w:sz w:val="20"/>
                <w:szCs w:val="20"/>
                <w:lang w:eastAsia="es-ES"/>
              </w:rPr>
            </w:pPr>
            <w:r w:rsidRPr="00C85202">
              <w:rPr>
                <w:rFonts w:ascii="Arial" w:eastAsia="Times New Roman" w:hAnsi="Arial" w:cs="Arial"/>
                <w:color w:val="000080"/>
                <w:sz w:val="20"/>
                <w:szCs w:val="20"/>
                <w:lang w:eastAsia="es-ES"/>
              </w:rPr>
              <w:t>Límite del número de asesoras o asesores para la o el Presidente de la Función Electoral: La o el Presidente de la Función Electoral podrá designar como sus asesoras y asesores directos, a un número máximo de ocho (8).</w:t>
            </w:r>
          </w:p>
          <w:p w:rsidR="00C85202" w:rsidRPr="00C85202" w:rsidRDefault="00C85202" w:rsidP="00C85202">
            <w:pPr>
              <w:spacing w:after="0"/>
              <w:jc w:val="both"/>
              <w:rPr>
                <w:rFonts w:ascii="Arial" w:eastAsia="Times New Roman" w:hAnsi="Arial" w:cs="Arial"/>
                <w:color w:val="000080"/>
                <w:sz w:val="20"/>
                <w:szCs w:val="20"/>
                <w:lang w:eastAsia="es-ES"/>
              </w:rPr>
            </w:pPr>
          </w:p>
          <w:p w:rsidR="004D7418" w:rsidRPr="004D7418" w:rsidRDefault="004D7418" w:rsidP="00C85202">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4)</w:t>
            </w:r>
            <w:r w:rsidRPr="004D7418">
              <w:rPr>
                <w:rFonts w:ascii="Arial" w:eastAsia="Times New Roman" w:hAnsi="Arial" w:cs="Arial"/>
                <w:color w:val="000080"/>
                <w:sz w:val="20"/>
                <w:szCs w:val="20"/>
                <w:lang w:eastAsia="es-ES"/>
              </w:rPr>
              <w:tab/>
              <w:t>Límite del número de asesoras o asesores para la o el Presidente de la Función de Transparencia y Control Social: La o el Presidente de la Función de Transparencia y Control Social podrá designar a sus asesoras y asesores directos, con cargo al presupuesto de la institución de la cual es titular; debiendo sujetarse en todo caso, a que la suma del número de asesoras y asesores como Presidente y del número de asesoras y asesores como titular de la institución, no supere los límites máximos aplicables a esta entidad de conformidad con la presente Norma.”</w:t>
            </w:r>
          </w:p>
          <w:p w:rsidR="00C85202" w:rsidRDefault="00C85202"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Art. 8.- En el artículo 7, sustitúyanse los numerales 5 y 6, por los siguientes y suprímase el numeral 7:</w:t>
            </w:r>
          </w:p>
          <w:p w:rsidR="00101B81" w:rsidRPr="004D7418" w:rsidRDefault="00101B81" w:rsidP="004D7418">
            <w:pPr>
              <w:spacing w:after="0"/>
              <w:ind w:left="738"/>
              <w:jc w:val="both"/>
              <w:rPr>
                <w:rFonts w:ascii="Arial" w:eastAsia="Times New Roman" w:hAnsi="Arial" w:cs="Arial"/>
                <w:color w:val="000080"/>
                <w:sz w:val="20"/>
                <w:szCs w:val="20"/>
                <w:lang w:eastAsia="es-ES"/>
              </w:rPr>
            </w:pP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“5. Las autoridades del Grado 7 de la Escala del nivel jerárquico superior y las y los Consejeros de Gobierno, únicamente podrán tener asesoras o asesores del nivel 3 al 5; y,</w:t>
            </w: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6. Las autoridades de los Grados 6 y 5 de la Escala del nivel jerárquico superior, únicamente podrán tener asesoras o asesores del nivel 4 al 5.”</w:t>
            </w:r>
          </w:p>
          <w:p w:rsidR="0021112E" w:rsidRDefault="0021112E"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lastRenderedPageBreak/>
              <w:t>Art. 9.- Sustitúyanse las Disposiciones Generales Décima Segunda y Décima Tercera, por las siguientes:</w:t>
            </w:r>
          </w:p>
          <w:p w:rsidR="0021112E" w:rsidRPr="004D7418" w:rsidRDefault="0021112E" w:rsidP="004D7418">
            <w:pPr>
              <w:spacing w:after="0"/>
              <w:ind w:left="738"/>
              <w:jc w:val="both"/>
              <w:rPr>
                <w:rFonts w:ascii="Arial" w:eastAsia="Times New Roman" w:hAnsi="Arial" w:cs="Arial"/>
                <w:color w:val="000080"/>
                <w:sz w:val="20"/>
                <w:szCs w:val="20"/>
                <w:lang w:eastAsia="es-ES"/>
              </w:rPr>
            </w:pP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 xml:space="preserve">“DÉCIMA SEGUNDA.- </w:t>
            </w:r>
            <w:r w:rsidRPr="00495BCC">
              <w:rPr>
                <w:rFonts w:ascii="Arial" w:eastAsia="Times New Roman" w:hAnsi="Arial" w:cs="Arial"/>
                <w:color w:val="000080"/>
                <w:sz w:val="20"/>
                <w:szCs w:val="20"/>
                <w:highlight w:val="yellow"/>
                <w:lang w:eastAsia="es-ES"/>
              </w:rPr>
              <w:t>La institución del Estado que no esté señalada expresamente en esta Norma, se sujetará obligatoriamente a los límites del número de asesoras o asesores previstos en el artículo 6,</w:t>
            </w:r>
            <w:r w:rsidRPr="004D7418">
              <w:rPr>
                <w:rFonts w:ascii="Arial" w:eastAsia="Times New Roman" w:hAnsi="Arial" w:cs="Arial"/>
                <w:color w:val="000080"/>
                <w:sz w:val="20"/>
                <w:szCs w:val="20"/>
                <w:lang w:eastAsia="es-ES"/>
              </w:rPr>
              <w:t xml:space="preserve"> de conformidad con el Grado de la Escala del nivel jerárquico superior que ocupe su máxima autoridad. Las instituciones del Estado que por sus particularidades tengan Escalas propias, deberán cumplir los límites previstos en el numeral 1 del artículo 6 citado.</w:t>
            </w:r>
          </w:p>
          <w:p w:rsidR="0021112E" w:rsidRDefault="0021112E" w:rsidP="0021112E">
            <w:pPr>
              <w:spacing w:after="0"/>
              <w:ind w:left="1447"/>
              <w:jc w:val="both"/>
              <w:rPr>
                <w:rFonts w:ascii="Arial" w:eastAsia="Times New Roman" w:hAnsi="Arial" w:cs="Arial"/>
                <w:color w:val="000080"/>
                <w:sz w:val="20"/>
                <w:szCs w:val="20"/>
                <w:lang w:eastAsia="es-ES"/>
              </w:rPr>
            </w:pP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DÉCIMA TERCERA.- Los Gobiernos Autónomos Descentralizados, sus entidades y regímenes especiales, deberán expedir el acto normativo o resolución fijando sus escalas remunerativas de los puestos de asesoras o asesores, que se sujetarán a su real capacidad económica y no excederán los valores que correspondan a los puestos de asesoras o asesores de la Escala del nivel jerárquico superior detallados en el artículo 6 de la presente Norma, los que se considerarán como techos, de conformidad con el inciso segundo del artículo 3 de la LOSEP.”</w:t>
            </w:r>
          </w:p>
          <w:p w:rsidR="0021112E" w:rsidRDefault="0021112E" w:rsidP="0021112E">
            <w:pPr>
              <w:spacing w:after="0"/>
              <w:ind w:left="1447"/>
              <w:jc w:val="both"/>
              <w:rPr>
                <w:rFonts w:ascii="Arial" w:eastAsia="Times New Roman" w:hAnsi="Arial" w:cs="Arial"/>
                <w:color w:val="000080"/>
                <w:sz w:val="20"/>
                <w:szCs w:val="20"/>
                <w:lang w:eastAsia="es-ES"/>
              </w:rPr>
            </w:pPr>
          </w:p>
          <w:p w:rsidR="004D7418" w:rsidRPr="004D7418" w:rsidRDefault="0021112E" w:rsidP="0021112E">
            <w:pPr>
              <w:spacing w:after="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r w:rsidR="004D7418" w:rsidRPr="004D7418">
              <w:rPr>
                <w:rFonts w:ascii="Arial" w:eastAsia="Times New Roman" w:hAnsi="Arial" w:cs="Arial"/>
                <w:color w:val="000080"/>
                <w:sz w:val="20"/>
                <w:szCs w:val="20"/>
                <w:lang w:eastAsia="es-ES"/>
              </w:rPr>
              <w:t>Art. 10.- Incorpórese como Disposición General Décima Cuarta, la siguiente:</w:t>
            </w: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 xml:space="preserve"> </w:t>
            </w:r>
          </w:p>
          <w:p w:rsidR="004D7418" w:rsidRPr="004D7418" w:rsidRDefault="004D7418" w:rsidP="0021112E">
            <w:pPr>
              <w:spacing w:after="0"/>
              <w:ind w:left="1447"/>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“DÉCIMA CUARTA.- Previo a la incorporación de una persona para un puesto de gestora o gestor de Gobierno, la UATH institucional deberá aplicar los artículos 8, 9, 10 y 11 de la presente Norma, de acuerdo a la definición señalada en el inciso cuarto del artículo 3. La gestora o gestor de Gobierno deberá presentar los informes de labores previstos en el artículo 13.”</w:t>
            </w:r>
          </w:p>
          <w:p w:rsidR="0021112E" w:rsidRDefault="0021112E"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DISPOSICIÓN GENERAL</w:t>
            </w:r>
          </w:p>
          <w:p w:rsidR="0021112E" w:rsidRPr="004D7418" w:rsidRDefault="0021112E"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ÚNICA.- El Ministerio del Trabajo atenderá las excepciones a lo establecido en el presente Acuerdo, previo informe técnico justificativo de la UATH institucional; y para el Ministerio del Trabajo, las conocerá la Secretaría Nacional de la Administración Pública.</w:t>
            </w:r>
          </w:p>
          <w:p w:rsidR="00F2516D" w:rsidRPr="004D7418" w:rsidRDefault="00F2516D"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DISPOSICIÓN TRANSITORIA</w:t>
            </w:r>
          </w:p>
          <w:p w:rsidR="00F2516D" w:rsidRPr="004D7418" w:rsidRDefault="00F2516D"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ÚNICA.- Una vez que entre en vigencia el presente Acuerdo, la UATH presentará un informe técnico a la máxima autoridad sobre la cantidad de las y los asesores que mantiene la institución del Estado, de acuerdo a los límites determinados en esta reforma. En el caso de tener un exceso en el total de las y los asesores que puede designar, la institución tendrá hasta el 31 de diciembre de 2015 para sujetarse al número máximo permitido; fecha hasta la que estarán en vigencia las disposiciones del Acuerdo No. 059, publicado en el Suplemento del Registro Oficial No. 216 de 01 de abril de 2014 y sus reformas, que son objeto del presente Acuerdo.</w:t>
            </w:r>
          </w:p>
          <w:p w:rsidR="00F2516D" w:rsidRPr="004D7418" w:rsidRDefault="00F2516D"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Disposición Final.- El presente Acuerdo entrará en vigencia a partir de la fecha de su suscripción, sin perjuicio de su publicación en el Registro Oficial.</w:t>
            </w:r>
          </w:p>
          <w:p w:rsidR="00F2516D" w:rsidRPr="004D7418" w:rsidRDefault="00F2516D" w:rsidP="004D7418">
            <w:pPr>
              <w:spacing w:after="0"/>
              <w:ind w:left="738"/>
              <w:jc w:val="both"/>
              <w:rPr>
                <w:rFonts w:ascii="Arial" w:eastAsia="Times New Roman" w:hAnsi="Arial" w:cs="Arial"/>
                <w:color w:val="000080"/>
                <w:sz w:val="20"/>
                <w:szCs w:val="20"/>
                <w:lang w:eastAsia="es-ES"/>
              </w:rPr>
            </w:pPr>
          </w:p>
          <w:p w:rsidR="004D7418" w:rsidRDefault="004D7418" w:rsidP="004D7418">
            <w:pPr>
              <w:spacing w:after="0"/>
              <w:ind w:left="738"/>
              <w:jc w:val="both"/>
              <w:rPr>
                <w:rFonts w:ascii="Arial" w:eastAsia="Times New Roman" w:hAnsi="Arial" w:cs="Arial"/>
                <w:color w:val="000080"/>
                <w:sz w:val="20"/>
                <w:szCs w:val="20"/>
                <w:lang w:eastAsia="es-ES"/>
              </w:rPr>
            </w:pPr>
            <w:r w:rsidRPr="004D7418">
              <w:rPr>
                <w:rFonts w:ascii="Arial" w:eastAsia="Times New Roman" w:hAnsi="Arial" w:cs="Arial"/>
                <w:color w:val="000080"/>
                <w:sz w:val="20"/>
                <w:szCs w:val="20"/>
                <w:lang w:eastAsia="es-ES"/>
              </w:rPr>
              <w:t>Dado en la ciudad de San Francisco de Quito, Distrito Metropolitano, a 21 de octubre de 2015.</w:t>
            </w:r>
          </w:p>
          <w:p w:rsidR="003878ED" w:rsidRPr="00610B20" w:rsidRDefault="003878ED" w:rsidP="008F5093">
            <w:pPr>
              <w:spacing w:after="0"/>
              <w:ind w:left="738"/>
              <w:jc w:val="both"/>
              <w:rPr>
                <w:rFonts w:ascii="Arial" w:eastAsia="Times New Roman" w:hAnsi="Arial" w:cs="Arial"/>
                <w:b/>
                <w:color w:val="000080"/>
                <w:sz w:val="20"/>
                <w:szCs w:val="20"/>
                <w:lang w:eastAsia="es-ES"/>
              </w:rPr>
            </w:pPr>
          </w:p>
        </w:tc>
      </w:tr>
    </w:tbl>
    <w:p w:rsidR="001439CC" w:rsidRDefault="001439CC" w:rsidP="003878ED">
      <w:pPr>
        <w:jc w:val="both"/>
      </w:pPr>
      <w:r w:rsidRPr="00A50F78">
        <w:rPr>
          <w:noProof/>
          <w:lang w:eastAsia="es-EC"/>
        </w:rPr>
        <w:lastRenderedPageBreak/>
        <mc:AlternateContent>
          <mc:Choice Requires="wps">
            <w:drawing>
              <wp:anchor distT="0" distB="0" distL="114300" distR="114300" simplePos="0" relativeHeight="251664384" behindDoc="0" locked="0" layoutInCell="1" allowOverlap="1" wp14:anchorId="125685F1" wp14:editId="1C5D35CF">
                <wp:simplePos x="0" y="0"/>
                <wp:positionH relativeFrom="margin">
                  <wp:posOffset>-635</wp:posOffset>
                </wp:positionH>
                <wp:positionV relativeFrom="paragraph">
                  <wp:posOffset>27940</wp:posOffset>
                </wp:positionV>
                <wp:extent cx="163195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28600"/>
                        </a:xfrm>
                        <a:prstGeom prst="rect">
                          <a:avLst/>
                        </a:prstGeom>
                        <a:solidFill>
                          <a:srgbClr val="000080"/>
                        </a:solidFill>
                        <a:ln w="9525">
                          <a:solidFill>
                            <a:srgbClr val="000080"/>
                          </a:solidFill>
                          <a:miter lim="800000"/>
                          <a:headEnd/>
                          <a:tailEnd/>
                        </a:ln>
                      </wps:spPr>
                      <wps:txbx>
                        <w:txbxContent>
                          <w:p w:rsidR="00062459" w:rsidRPr="00567E83" w:rsidRDefault="00062459" w:rsidP="001439CC">
                            <w:pPr>
                              <w:jc w:val="both"/>
                              <w:rPr>
                                <w:rFonts w:ascii="Arial" w:hAnsi="Arial" w:cs="Arial"/>
                                <w:b/>
                                <w:color w:val="FFFFFF"/>
                                <w:sz w:val="20"/>
                                <w:szCs w:val="20"/>
                              </w:rPr>
                            </w:pPr>
                            <w:r>
                              <w:rPr>
                                <w:rFonts w:ascii="Arial" w:hAnsi="Arial" w:cs="Arial"/>
                                <w:b/>
                                <w:color w:val="FFFFFF"/>
                                <w:sz w:val="20"/>
                                <w:szCs w:val="20"/>
                              </w:rPr>
                              <w:t>Martes 10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2FB53" id="Cuadro de texto 2" o:spid="_x0000_s1028" type="#_x0000_t202" style="position:absolute;left:0;text-align:left;margin-left:-.05pt;margin-top:2.2pt;width:128.5pt;height: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" fillcolor="navy" strokecolor="navy">
                <v:textbox>
                  <w:txbxContent>
                    <w:p w:rsidR="008F5093" w:rsidRPr="00567E83" w:rsidRDefault="008F5093" w:rsidP="001439CC">
                      <w:pPr>
                        <w:jc w:val="both"/>
                        <w:rPr>
                          <w:rFonts w:ascii="Arial" w:hAnsi="Arial" w:cs="Arial"/>
                          <w:b/>
                          <w:color w:val="FFFFFF"/>
                          <w:sz w:val="20"/>
                          <w:szCs w:val="20"/>
                        </w:rPr>
                      </w:pPr>
                      <w:r>
                        <w:rPr>
                          <w:rFonts w:ascii="Arial" w:hAnsi="Arial" w:cs="Arial"/>
                          <w:b/>
                          <w:color w:val="FFFFFF"/>
                          <w:sz w:val="20"/>
                          <w:szCs w:val="20"/>
                        </w:rPr>
                        <w:t>Martes 10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1439CC" w:rsidRPr="00610B20" w:rsidTr="009D3D32">
        <w:trPr>
          <w:trHeight w:val="841"/>
        </w:trPr>
        <w:tc>
          <w:tcPr>
            <w:tcW w:w="9257" w:type="dxa"/>
            <w:shd w:val="clear" w:color="auto" w:fill="DDFFFF"/>
          </w:tcPr>
          <w:p w:rsidR="001439CC" w:rsidRPr="00610B20" w:rsidRDefault="001439CC" w:rsidP="008F5093">
            <w:pPr>
              <w:spacing w:after="0"/>
              <w:jc w:val="left"/>
              <w:rPr>
                <w:rFonts w:ascii="Times New Roman" w:eastAsia="Times New Roman" w:hAnsi="Times New Roman" w:cs="Times New Roman"/>
                <w:sz w:val="24"/>
                <w:szCs w:val="24"/>
                <w:lang w:eastAsia="es-ES"/>
              </w:rPr>
            </w:pPr>
          </w:p>
          <w:p w:rsidR="001439CC" w:rsidRDefault="009D3D32"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INTEGRA</w:t>
            </w:r>
            <w:r w:rsidRPr="009D3D32">
              <w:rPr>
                <w:rFonts w:ascii="Arial" w:eastAsia="Times New Roman" w:hAnsi="Arial" w:cs="Arial"/>
                <w:b/>
                <w:color w:val="000080"/>
                <w:sz w:val="20"/>
                <w:szCs w:val="20"/>
                <w:lang w:val="es-ES_tradnl" w:eastAsia="es-ES"/>
              </w:rPr>
              <w:t xml:space="preserve"> EL COMITÉ DE TRANSPARENCIA</w:t>
            </w:r>
            <w:r w:rsidR="00014D6E">
              <w:rPr>
                <w:rFonts w:ascii="Arial" w:eastAsia="Times New Roman" w:hAnsi="Arial" w:cs="Arial"/>
                <w:b/>
                <w:color w:val="000080"/>
                <w:sz w:val="20"/>
                <w:szCs w:val="20"/>
                <w:lang w:val="es-ES_tradnl" w:eastAsia="es-ES"/>
              </w:rPr>
              <w:t xml:space="preserve"> DE LA PGE</w:t>
            </w:r>
            <w:r w:rsidRPr="009D3D32">
              <w:rPr>
                <w:rFonts w:ascii="Arial" w:eastAsia="Times New Roman" w:hAnsi="Arial" w:cs="Arial"/>
                <w:b/>
                <w:color w:val="000080"/>
                <w:sz w:val="20"/>
                <w:szCs w:val="20"/>
                <w:lang w:val="es-ES_tradnl" w:eastAsia="es-ES"/>
              </w:rPr>
              <w:t xml:space="preserve"> </w:t>
            </w:r>
          </w:p>
          <w:p w:rsidR="009D3D32" w:rsidRPr="00610B20" w:rsidRDefault="009D3D32" w:rsidP="008F5093">
            <w:pPr>
              <w:spacing w:after="0"/>
              <w:rPr>
                <w:rFonts w:ascii="Arial" w:eastAsia="Times New Roman" w:hAnsi="Arial" w:cs="Arial"/>
                <w:b/>
                <w:color w:val="000080"/>
                <w:sz w:val="20"/>
                <w:szCs w:val="20"/>
                <w:lang w:val="es-ES_tradnl" w:eastAsia="es-ES"/>
              </w:rPr>
            </w:pPr>
          </w:p>
          <w:p w:rsidR="001439CC" w:rsidRPr="00610B20" w:rsidRDefault="001439CC"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w:t>
            </w:r>
            <w:r w:rsidR="009D3D32">
              <w:rPr>
                <w:rFonts w:ascii="Arial" w:eastAsia="Times New Roman" w:hAnsi="Arial" w:cs="Arial"/>
                <w:color w:val="000080"/>
                <w:sz w:val="20"/>
                <w:szCs w:val="20"/>
                <w:lang w:eastAsia="es-ES"/>
              </w:rPr>
              <w:t>de la PGE 019</w:t>
            </w:r>
            <w:r w:rsidRPr="00610B20">
              <w:rPr>
                <w:rFonts w:ascii="Arial" w:eastAsia="Times New Roman" w:hAnsi="Arial" w:cs="Arial"/>
                <w:color w:val="000080"/>
                <w:sz w:val="20"/>
                <w:szCs w:val="20"/>
                <w:lang w:eastAsia="es-ES"/>
              </w:rPr>
              <w:t xml:space="preserve">, publicada en el Registro Oficial </w:t>
            </w:r>
            <w:r w:rsidR="009D3D32">
              <w:rPr>
                <w:rFonts w:ascii="Arial" w:eastAsia="Times New Roman" w:hAnsi="Arial" w:cs="Arial"/>
                <w:color w:val="000080"/>
                <w:sz w:val="20"/>
                <w:szCs w:val="20"/>
                <w:lang w:eastAsia="es-ES"/>
              </w:rPr>
              <w:t>624 de 10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1439CC" w:rsidRDefault="001439CC"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5"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9D3D32" w:rsidRDefault="009D3D32" w:rsidP="008F5093">
            <w:pPr>
              <w:spacing w:after="0"/>
              <w:jc w:val="both"/>
              <w:rPr>
                <w:rFonts w:ascii="Arial" w:eastAsia="Times New Roman" w:hAnsi="Arial" w:cs="Arial"/>
                <w:color w:val="000080"/>
                <w:sz w:val="20"/>
                <w:szCs w:val="20"/>
                <w:lang w:eastAsia="es-ES"/>
              </w:rPr>
            </w:pPr>
          </w:p>
          <w:p w:rsidR="009D3D32" w:rsidRDefault="009D3D32" w:rsidP="009D3D32">
            <w:pPr>
              <w:spacing w:after="0"/>
              <w:ind w:left="738"/>
              <w:jc w:val="both"/>
              <w:rPr>
                <w:rFonts w:ascii="Arial" w:eastAsia="Times New Roman" w:hAnsi="Arial" w:cs="Arial"/>
                <w:color w:val="000080"/>
                <w:sz w:val="20"/>
                <w:szCs w:val="20"/>
                <w:lang w:eastAsia="es-ES"/>
              </w:rPr>
            </w:pPr>
            <w:r w:rsidRPr="009D3D32">
              <w:rPr>
                <w:rFonts w:ascii="Arial" w:eastAsia="Times New Roman" w:hAnsi="Arial" w:cs="Arial"/>
                <w:color w:val="000080"/>
                <w:sz w:val="20"/>
                <w:szCs w:val="20"/>
                <w:lang w:eastAsia="es-ES"/>
              </w:rPr>
              <w:lastRenderedPageBreak/>
              <w:t>Artículo 1.- El Comité de Transparencia de la Procuraduría General del Estado, estará integrado por: el Coordinador Institucional o su delegado, quien lo presidirá; el Coordinador Nacional Administrativo Financiero; y, el Director Nacional de Asesoría Jurídica.</w:t>
            </w:r>
          </w:p>
          <w:p w:rsidR="009D3D32" w:rsidRPr="009D3D32" w:rsidRDefault="009D3D32" w:rsidP="009D3D32">
            <w:pPr>
              <w:spacing w:after="0"/>
              <w:ind w:left="738"/>
              <w:jc w:val="both"/>
              <w:rPr>
                <w:rFonts w:ascii="Arial" w:eastAsia="Times New Roman" w:hAnsi="Arial" w:cs="Arial"/>
                <w:color w:val="000080"/>
                <w:sz w:val="20"/>
                <w:szCs w:val="20"/>
                <w:lang w:eastAsia="es-ES"/>
              </w:rPr>
            </w:pPr>
          </w:p>
          <w:p w:rsidR="009D3D32" w:rsidRDefault="009D3D32" w:rsidP="009D3D32">
            <w:pPr>
              <w:spacing w:after="0"/>
              <w:ind w:left="738"/>
              <w:jc w:val="both"/>
              <w:rPr>
                <w:rFonts w:ascii="Arial" w:eastAsia="Times New Roman" w:hAnsi="Arial" w:cs="Arial"/>
                <w:color w:val="000080"/>
                <w:sz w:val="20"/>
                <w:szCs w:val="20"/>
                <w:lang w:eastAsia="es-ES"/>
              </w:rPr>
            </w:pPr>
            <w:r w:rsidRPr="009D3D32">
              <w:rPr>
                <w:rFonts w:ascii="Arial" w:eastAsia="Times New Roman" w:hAnsi="Arial" w:cs="Arial"/>
                <w:color w:val="000080"/>
                <w:sz w:val="20"/>
                <w:szCs w:val="20"/>
                <w:lang w:eastAsia="es-ES"/>
              </w:rPr>
              <w:t>Artículo 2.- Encárguese de la ejecución de la presente Resolución, al Comité de Transparencia de la Procuraduría General del Estado, quien se regirá conforme a lo dispuesto en la Ley Orgánica de Transparencia y Acceso a la Información Pública y su Reglamento; así como en las disposiciones y parámetros técnicos emitidos por la Defensoría del Pueblo en la Resolución No. 007-DPE-CGJA de 15 de enero de 2015.</w:t>
            </w:r>
          </w:p>
          <w:p w:rsidR="009D3D32" w:rsidRPr="009D3D32" w:rsidRDefault="009D3D32" w:rsidP="009D3D32">
            <w:pPr>
              <w:spacing w:after="0"/>
              <w:ind w:left="738"/>
              <w:jc w:val="both"/>
              <w:rPr>
                <w:rFonts w:ascii="Arial" w:eastAsia="Times New Roman" w:hAnsi="Arial" w:cs="Arial"/>
                <w:color w:val="000080"/>
                <w:sz w:val="20"/>
                <w:szCs w:val="20"/>
                <w:lang w:eastAsia="es-ES"/>
              </w:rPr>
            </w:pPr>
          </w:p>
          <w:p w:rsidR="009D3D32" w:rsidRDefault="009D3D32" w:rsidP="009D3D32">
            <w:pPr>
              <w:spacing w:after="0"/>
              <w:ind w:left="738"/>
              <w:jc w:val="both"/>
              <w:rPr>
                <w:rFonts w:ascii="Arial" w:eastAsia="Times New Roman" w:hAnsi="Arial" w:cs="Arial"/>
                <w:color w:val="000080"/>
                <w:sz w:val="20"/>
                <w:szCs w:val="20"/>
                <w:lang w:eastAsia="es-ES"/>
              </w:rPr>
            </w:pPr>
            <w:r w:rsidRPr="009D3D32">
              <w:rPr>
                <w:rFonts w:ascii="Arial" w:eastAsia="Times New Roman" w:hAnsi="Arial" w:cs="Arial"/>
                <w:color w:val="000080"/>
                <w:sz w:val="20"/>
                <w:szCs w:val="20"/>
                <w:lang w:eastAsia="es-ES"/>
              </w:rPr>
              <w:t>Artículo 3.- La presente Resolución entrará en vigencia a partir de esta fecha, sin perjuicio de su publicación en el Registro Oficial.</w:t>
            </w:r>
          </w:p>
          <w:p w:rsidR="009D3D32" w:rsidRPr="009D3D32" w:rsidRDefault="009D3D32" w:rsidP="009D3D32">
            <w:pPr>
              <w:spacing w:after="0"/>
              <w:ind w:left="738"/>
              <w:jc w:val="both"/>
              <w:rPr>
                <w:rFonts w:ascii="Arial" w:eastAsia="Times New Roman" w:hAnsi="Arial" w:cs="Arial"/>
                <w:color w:val="000080"/>
                <w:sz w:val="20"/>
                <w:szCs w:val="20"/>
                <w:lang w:eastAsia="es-ES"/>
              </w:rPr>
            </w:pPr>
          </w:p>
          <w:p w:rsidR="001439CC" w:rsidRPr="009D3D32" w:rsidRDefault="009D3D32" w:rsidP="009D3D32">
            <w:pPr>
              <w:spacing w:after="0"/>
              <w:ind w:left="738"/>
              <w:jc w:val="both"/>
              <w:rPr>
                <w:rFonts w:ascii="Arial" w:eastAsia="Times New Roman" w:hAnsi="Arial" w:cs="Arial"/>
                <w:color w:val="000080"/>
                <w:sz w:val="20"/>
                <w:szCs w:val="20"/>
                <w:lang w:eastAsia="es-ES"/>
              </w:rPr>
            </w:pPr>
            <w:r w:rsidRPr="009D3D32">
              <w:rPr>
                <w:rFonts w:ascii="Arial" w:eastAsia="Times New Roman" w:hAnsi="Arial" w:cs="Arial"/>
                <w:color w:val="000080"/>
                <w:sz w:val="20"/>
                <w:szCs w:val="20"/>
                <w:lang w:eastAsia="es-ES"/>
              </w:rPr>
              <w:t>Dado y firmado en la ciudad de San Francisco de Quito, D.M., 28 de julio de 2015.</w:t>
            </w:r>
          </w:p>
        </w:tc>
      </w:tr>
    </w:tbl>
    <w:p w:rsidR="00243C0B" w:rsidRDefault="00243C0B" w:rsidP="003878ED">
      <w:pPr>
        <w:jc w:val="both"/>
      </w:pPr>
      <w:r w:rsidRPr="00A50F78">
        <w:rPr>
          <w:noProof/>
          <w:lang w:eastAsia="es-EC"/>
        </w:rPr>
        <w:lastRenderedPageBreak/>
        <mc:AlternateContent>
          <mc:Choice Requires="wps">
            <w:drawing>
              <wp:anchor distT="0" distB="0" distL="114300" distR="114300" simplePos="0" relativeHeight="251666432" behindDoc="0" locked="0" layoutInCell="1" allowOverlap="1" wp14:anchorId="7A8E2847" wp14:editId="3AAC1BD0">
                <wp:simplePos x="0" y="0"/>
                <wp:positionH relativeFrom="margin">
                  <wp:posOffset>-635</wp:posOffset>
                </wp:positionH>
                <wp:positionV relativeFrom="paragraph">
                  <wp:posOffset>20320</wp:posOffset>
                </wp:positionV>
                <wp:extent cx="1695450" cy="228600"/>
                <wp:effectExtent l="0" t="0" r="1905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28600"/>
                        </a:xfrm>
                        <a:prstGeom prst="rect">
                          <a:avLst/>
                        </a:prstGeom>
                        <a:solidFill>
                          <a:srgbClr val="000080"/>
                        </a:solidFill>
                        <a:ln w="9525">
                          <a:solidFill>
                            <a:srgbClr val="000080"/>
                          </a:solidFill>
                          <a:miter lim="800000"/>
                          <a:headEnd/>
                          <a:tailEnd/>
                        </a:ln>
                      </wps:spPr>
                      <wps:txbx>
                        <w:txbxContent>
                          <w:p w:rsidR="00062459" w:rsidRPr="00567E83" w:rsidRDefault="00062459" w:rsidP="00243C0B">
                            <w:pPr>
                              <w:jc w:val="both"/>
                              <w:rPr>
                                <w:rFonts w:ascii="Arial" w:hAnsi="Arial" w:cs="Arial"/>
                                <w:b/>
                                <w:color w:val="FFFFFF"/>
                                <w:sz w:val="20"/>
                                <w:szCs w:val="20"/>
                              </w:rPr>
                            </w:pPr>
                            <w:r>
                              <w:rPr>
                                <w:rFonts w:ascii="Arial" w:hAnsi="Arial" w:cs="Arial"/>
                                <w:b/>
                                <w:color w:val="FFFFFF"/>
                                <w:sz w:val="20"/>
                                <w:szCs w:val="20"/>
                              </w:rPr>
                              <w:t>Viernes 13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401CC" id="Cuadro de texto 4" o:spid="_x0000_s1029" type="#_x0000_t202" style="position:absolute;left:0;text-align:left;margin-left:-.05pt;margin-top:1.6pt;width:133.5pt;height: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DILAIAAF4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" fillcolor="navy" strokecolor="navy">
                <v:textbox>
                  <w:txbxContent>
                    <w:p w:rsidR="008F5093" w:rsidRPr="00567E83" w:rsidRDefault="008F5093" w:rsidP="00243C0B">
                      <w:pPr>
                        <w:jc w:val="both"/>
                        <w:rPr>
                          <w:rFonts w:ascii="Arial" w:hAnsi="Arial" w:cs="Arial"/>
                          <w:b/>
                          <w:color w:val="FFFFFF"/>
                          <w:sz w:val="20"/>
                          <w:szCs w:val="20"/>
                        </w:rPr>
                      </w:pPr>
                      <w:r>
                        <w:rPr>
                          <w:rFonts w:ascii="Arial" w:hAnsi="Arial" w:cs="Arial"/>
                          <w:b/>
                          <w:color w:val="FFFFFF"/>
                          <w:sz w:val="20"/>
                          <w:szCs w:val="20"/>
                        </w:rPr>
                        <w:t>Viernes 13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43C0B" w:rsidRPr="00610B20" w:rsidTr="008F5093">
        <w:trPr>
          <w:trHeight w:val="1380"/>
        </w:trPr>
        <w:tc>
          <w:tcPr>
            <w:tcW w:w="9257" w:type="dxa"/>
            <w:shd w:val="clear" w:color="auto" w:fill="E6F1DF"/>
          </w:tcPr>
          <w:p w:rsidR="00243C0B" w:rsidRPr="00610B20" w:rsidRDefault="00243C0B" w:rsidP="008F5093">
            <w:pPr>
              <w:spacing w:after="0"/>
              <w:jc w:val="left"/>
              <w:rPr>
                <w:rFonts w:ascii="Times New Roman" w:eastAsia="Times New Roman" w:hAnsi="Times New Roman" w:cs="Times New Roman"/>
                <w:sz w:val="24"/>
                <w:szCs w:val="24"/>
                <w:lang w:eastAsia="es-ES"/>
              </w:rPr>
            </w:pPr>
          </w:p>
          <w:p w:rsidR="000C4C33" w:rsidRDefault="000C4C33" w:rsidP="008F5093">
            <w:pPr>
              <w:spacing w:after="0"/>
              <w:rPr>
                <w:rFonts w:ascii="Arial" w:eastAsia="Times New Roman" w:hAnsi="Arial" w:cs="Arial"/>
                <w:b/>
                <w:color w:val="000080"/>
                <w:sz w:val="20"/>
                <w:szCs w:val="20"/>
                <w:lang w:val="es-ES_tradnl" w:eastAsia="es-ES"/>
              </w:rPr>
            </w:pPr>
            <w:r w:rsidRPr="000C4C33">
              <w:rPr>
                <w:rFonts w:ascii="Arial" w:eastAsia="Times New Roman" w:hAnsi="Arial" w:cs="Arial"/>
                <w:b/>
                <w:color w:val="000080"/>
                <w:sz w:val="20"/>
                <w:szCs w:val="20"/>
                <w:lang w:val="es-ES_tradnl" w:eastAsia="es-ES"/>
              </w:rPr>
              <w:t>LAS ENTIDADES DE LA</w:t>
            </w:r>
            <w:r>
              <w:rPr>
                <w:rFonts w:ascii="Arial" w:eastAsia="Times New Roman" w:hAnsi="Arial" w:cs="Arial"/>
                <w:b/>
                <w:color w:val="000080"/>
                <w:sz w:val="20"/>
                <w:szCs w:val="20"/>
                <w:lang w:val="es-ES_tradnl" w:eastAsia="es-ES"/>
              </w:rPr>
              <w:t xml:space="preserve"> ADMINISTRACIÓN PÚBLICA DEBERÁN</w:t>
            </w:r>
            <w:r w:rsidRPr="000C4C33">
              <w:rPr>
                <w:rFonts w:ascii="Arial" w:eastAsia="Times New Roman" w:hAnsi="Arial" w:cs="Arial"/>
                <w:b/>
                <w:color w:val="000080"/>
                <w:sz w:val="20"/>
                <w:szCs w:val="20"/>
                <w:lang w:val="es-ES_tradnl" w:eastAsia="es-ES"/>
              </w:rPr>
              <w:t xml:space="preserve"> PONER AL SERVICIO DE LOS USUARIOS</w:t>
            </w:r>
            <w:r>
              <w:rPr>
                <w:rFonts w:ascii="Arial" w:eastAsia="Times New Roman" w:hAnsi="Arial" w:cs="Arial"/>
                <w:b/>
                <w:color w:val="000080"/>
                <w:sz w:val="20"/>
                <w:szCs w:val="20"/>
                <w:lang w:val="es-ES_tradnl" w:eastAsia="es-ES"/>
              </w:rPr>
              <w:t>,</w:t>
            </w:r>
            <w:r w:rsidRPr="000C4C33">
              <w:rPr>
                <w:rFonts w:ascii="Arial" w:eastAsia="Times New Roman" w:hAnsi="Arial" w:cs="Arial"/>
                <w:b/>
                <w:color w:val="000080"/>
                <w:sz w:val="20"/>
                <w:szCs w:val="20"/>
                <w:lang w:val="es-ES_tradnl" w:eastAsia="es-ES"/>
              </w:rPr>
              <w:t xml:space="preserve"> MEDIOS ALTERNATIVOS DE PAG</w:t>
            </w:r>
            <w:r>
              <w:rPr>
                <w:rFonts w:ascii="Arial" w:eastAsia="Times New Roman" w:hAnsi="Arial" w:cs="Arial"/>
                <w:b/>
                <w:color w:val="000080"/>
                <w:sz w:val="20"/>
                <w:szCs w:val="20"/>
                <w:lang w:val="es-ES_tradnl" w:eastAsia="es-ES"/>
              </w:rPr>
              <w:t xml:space="preserve">O, </w:t>
            </w:r>
            <w:r w:rsidRPr="000C4C33">
              <w:rPr>
                <w:rFonts w:ascii="Arial" w:eastAsia="Times New Roman" w:hAnsi="Arial" w:cs="Arial"/>
                <w:b/>
                <w:color w:val="000080"/>
                <w:sz w:val="20"/>
                <w:szCs w:val="20"/>
                <w:lang w:val="es-ES_tradnl" w:eastAsia="es-ES"/>
              </w:rPr>
              <w:t xml:space="preserve">COMO EL DINERO ELECTRÓNICO </w:t>
            </w:r>
          </w:p>
          <w:p w:rsidR="00243C0B" w:rsidRPr="00610B20" w:rsidRDefault="000C4C33" w:rsidP="008F5093">
            <w:pPr>
              <w:spacing w:after="0"/>
              <w:rPr>
                <w:rFonts w:ascii="Arial" w:eastAsia="Times New Roman" w:hAnsi="Arial" w:cs="Arial"/>
                <w:b/>
                <w:color w:val="000080"/>
                <w:sz w:val="20"/>
                <w:szCs w:val="20"/>
                <w:lang w:eastAsia="es-ES"/>
              </w:rPr>
            </w:pPr>
            <w:r w:rsidRPr="000C4C33">
              <w:rPr>
                <w:rFonts w:ascii="Arial" w:eastAsia="Times New Roman" w:hAnsi="Arial" w:cs="Arial"/>
                <w:b/>
                <w:color w:val="000080"/>
                <w:sz w:val="20"/>
                <w:szCs w:val="20"/>
                <w:lang w:val="es-ES_tradnl" w:eastAsia="es-ES"/>
              </w:rPr>
              <w:t xml:space="preserve"> </w:t>
            </w:r>
          </w:p>
          <w:p w:rsidR="00243C0B" w:rsidRPr="00610B20" w:rsidRDefault="00243C0B"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del </w:t>
            </w:r>
            <w:r w:rsidR="000C4C33">
              <w:rPr>
                <w:rFonts w:ascii="Arial" w:eastAsia="Times New Roman" w:hAnsi="Arial" w:cs="Arial"/>
                <w:color w:val="000080"/>
                <w:sz w:val="20"/>
                <w:szCs w:val="20"/>
                <w:lang w:eastAsia="es-ES"/>
              </w:rPr>
              <w:t>Comité de Simplificación de Trámites 004</w:t>
            </w:r>
            <w:r w:rsidRPr="00610B20">
              <w:rPr>
                <w:rFonts w:ascii="Arial" w:eastAsia="Times New Roman" w:hAnsi="Arial" w:cs="Arial"/>
                <w:color w:val="000080"/>
                <w:sz w:val="20"/>
                <w:szCs w:val="20"/>
                <w:lang w:eastAsia="es-ES"/>
              </w:rPr>
              <w:t xml:space="preserve">, publicada en el </w:t>
            </w:r>
            <w:r w:rsidR="002C328E">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2C328E">
              <w:rPr>
                <w:rFonts w:ascii="Arial" w:eastAsia="Times New Roman" w:hAnsi="Arial" w:cs="Arial"/>
                <w:color w:val="000080"/>
                <w:sz w:val="20"/>
                <w:szCs w:val="20"/>
                <w:lang w:eastAsia="es-ES"/>
              </w:rPr>
              <w:t>627 de 13</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243C0B" w:rsidRDefault="00243C0B"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6"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0C4C33" w:rsidRDefault="000C4C33" w:rsidP="008F5093">
            <w:pPr>
              <w:spacing w:after="0"/>
              <w:jc w:val="both"/>
              <w:rPr>
                <w:rFonts w:ascii="Arial" w:eastAsia="Times New Roman" w:hAnsi="Arial" w:cs="Arial"/>
                <w:color w:val="000080"/>
                <w:sz w:val="20"/>
                <w:szCs w:val="20"/>
                <w:lang w:eastAsia="es-ES"/>
              </w:rPr>
            </w:pPr>
          </w:p>
          <w:p w:rsidR="000C4C33" w:rsidRDefault="000C4C33" w:rsidP="000C4C33">
            <w:pPr>
              <w:spacing w:after="0"/>
              <w:ind w:left="738"/>
              <w:jc w:val="both"/>
              <w:rPr>
                <w:rFonts w:ascii="Arial" w:eastAsia="Times New Roman" w:hAnsi="Arial" w:cs="Arial"/>
                <w:color w:val="000080"/>
                <w:sz w:val="20"/>
                <w:szCs w:val="20"/>
                <w:lang w:eastAsia="es-ES"/>
              </w:rPr>
            </w:pPr>
            <w:r w:rsidRPr="000C4C33">
              <w:rPr>
                <w:rFonts w:ascii="Arial" w:eastAsia="Times New Roman" w:hAnsi="Arial" w:cs="Arial"/>
                <w:color w:val="000080"/>
                <w:sz w:val="20"/>
                <w:szCs w:val="20"/>
                <w:lang w:eastAsia="es-ES"/>
              </w:rPr>
              <w:t>Artículo 1.- Las entidades de la Administración Pública central, institucional y las que dependen de la Función Ejecutiva, deberán, de manera obligatoria, en el plazo máximo de 60 días, poner al servicio de los usuarios medios alternativos de pago tales como el dinero electrónico y los demás que se establezcan a futuro, a efectos de facilitar la interacción entre el ciudadano y la Administración Pública en la prestación de los servicios a que está obligada.</w:t>
            </w:r>
          </w:p>
          <w:p w:rsidR="000C4C33" w:rsidRPr="000C4C33" w:rsidRDefault="000C4C33" w:rsidP="000C4C33">
            <w:pPr>
              <w:spacing w:after="0"/>
              <w:ind w:left="738"/>
              <w:jc w:val="both"/>
              <w:rPr>
                <w:rFonts w:ascii="Arial" w:eastAsia="Times New Roman" w:hAnsi="Arial" w:cs="Arial"/>
                <w:color w:val="000080"/>
                <w:sz w:val="20"/>
                <w:szCs w:val="20"/>
                <w:lang w:eastAsia="es-ES"/>
              </w:rPr>
            </w:pPr>
          </w:p>
          <w:p w:rsidR="000C4C33" w:rsidRDefault="000C4C33" w:rsidP="000C4C33">
            <w:pPr>
              <w:spacing w:after="0"/>
              <w:ind w:left="738"/>
              <w:jc w:val="both"/>
              <w:rPr>
                <w:rFonts w:ascii="Arial" w:eastAsia="Times New Roman" w:hAnsi="Arial" w:cs="Arial"/>
                <w:color w:val="000080"/>
                <w:sz w:val="20"/>
                <w:szCs w:val="20"/>
                <w:lang w:eastAsia="es-ES"/>
              </w:rPr>
            </w:pPr>
            <w:r w:rsidRPr="000C4C33">
              <w:rPr>
                <w:rFonts w:ascii="Arial" w:eastAsia="Times New Roman" w:hAnsi="Arial" w:cs="Arial"/>
                <w:color w:val="000080"/>
                <w:sz w:val="20"/>
                <w:szCs w:val="20"/>
                <w:lang w:eastAsia="es-ES"/>
              </w:rPr>
              <w:t>Artículo 2.- las instituciones referidas en el artículo anterior deberán presentar al Comité de Simplificación de Trámites la estrategia y cronograma de implementación de lo dispuesto en la presente resolución, en el plazo de 45 días contados a partir de su publicación en el Registro Oficial.</w:t>
            </w:r>
          </w:p>
          <w:p w:rsidR="000C4C33" w:rsidRPr="000C4C33" w:rsidRDefault="000C4C33" w:rsidP="000C4C33">
            <w:pPr>
              <w:spacing w:after="0"/>
              <w:ind w:left="738"/>
              <w:jc w:val="both"/>
              <w:rPr>
                <w:rFonts w:ascii="Arial" w:eastAsia="Times New Roman" w:hAnsi="Arial" w:cs="Arial"/>
                <w:color w:val="000080"/>
                <w:sz w:val="20"/>
                <w:szCs w:val="20"/>
                <w:lang w:eastAsia="es-ES"/>
              </w:rPr>
            </w:pPr>
          </w:p>
          <w:p w:rsidR="000C4C33" w:rsidRDefault="000C4C33" w:rsidP="000C4C33">
            <w:pPr>
              <w:spacing w:after="0"/>
              <w:ind w:left="738"/>
              <w:jc w:val="both"/>
              <w:rPr>
                <w:rFonts w:ascii="Arial" w:eastAsia="Times New Roman" w:hAnsi="Arial" w:cs="Arial"/>
                <w:color w:val="000080"/>
                <w:sz w:val="20"/>
                <w:szCs w:val="20"/>
                <w:lang w:eastAsia="es-ES"/>
              </w:rPr>
            </w:pPr>
            <w:r w:rsidRPr="000C4C33">
              <w:rPr>
                <w:rFonts w:ascii="Arial" w:eastAsia="Times New Roman" w:hAnsi="Arial" w:cs="Arial"/>
                <w:color w:val="000080"/>
                <w:sz w:val="20"/>
                <w:szCs w:val="20"/>
                <w:lang w:eastAsia="es-ES"/>
              </w:rPr>
              <w:t>Disposición Final.- Encárguese la notificación de la presente resolución a la Presidencia del Comité de Simplificación de Trámites Interinstitucional.</w:t>
            </w:r>
          </w:p>
          <w:p w:rsidR="000C4C33" w:rsidRPr="000C4C33" w:rsidRDefault="000C4C33" w:rsidP="000C4C33">
            <w:pPr>
              <w:spacing w:after="0"/>
              <w:ind w:left="738"/>
              <w:jc w:val="both"/>
              <w:rPr>
                <w:rFonts w:ascii="Arial" w:eastAsia="Times New Roman" w:hAnsi="Arial" w:cs="Arial"/>
                <w:color w:val="000080"/>
                <w:sz w:val="20"/>
                <w:szCs w:val="20"/>
                <w:lang w:eastAsia="es-ES"/>
              </w:rPr>
            </w:pPr>
          </w:p>
          <w:p w:rsidR="000C4C33" w:rsidRDefault="000C4C33" w:rsidP="000C4C33">
            <w:pPr>
              <w:spacing w:after="0"/>
              <w:ind w:left="738"/>
              <w:jc w:val="both"/>
              <w:rPr>
                <w:rFonts w:ascii="Arial" w:eastAsia="Times New Roman" w:hAnsi="Arial" w:cs="Arial"/>
                <w:color w:val="000080"/>
                <w:sz w:val="20"/>
                <w:szCs w:val="20"/>
                <w:lang w:eastAsia="es-ES"/>
              </w:rPr>
            </w:pPr>
            <w:r w:rsidRPr="000C4C33">
              <w:rPr>
                <w:rFonts w:ascii="Arial" w:eastAsia="Times New Roman" w:hAnsi="Arial" w:cs="Arial"/>
                <w:color w:val="000080"/>
                <w:sz w:val="20"/>
                <w:szCs w:val="20"/>
                <w:lang w:eastAsia="es-ES"/>
              </w:rPr>
              <w:t>Esta resolución entrará en vigencia a partir de la publicación en el Registro Oficial.</w:t>
            </w:r>
          </w:p>
          <w:p w:rsidR="00243C0B" w:rsidRPr="00610B20" w:rsidRDefault="00243C0B" w:rsidP="008F5093">
            <w:pPr>
              <w:spacing w:after="0"/>
              <w:ind w:left="738"/>
              <w:jc w:val="both"/>
              <w:rPr>
                <w:rFonts w:ascii="Arial" w:eastAsia="Times New Roman" w:hAnsi="Arial" w:cs="Arial"/>
                <w:b/>
                <w:color w:val="000080"/>
                <w:sz w:val="20"/>
                <w:szCs w:val="20"/>
                <w:lang w:eastAsia="es-ES"/>
              </w:rPr>
            </w:pPr>
          </w:p>
        </w:tc>
      </w:tr>
    </w:tbl>
    <w:p w:rsidR="0096103A" w:rsidRDefault="0096103A" w:rsidP="00243C0B">
      <w:pPr>
        <w:jc w:val="both"/>
      </w:pPr>
      <w:r w:rsidRPr="00A50F78">
        <w:rPr>
          <w:noProof/>
          <w:lang w:eastAsia="es-EC"/>
        </w:rPr>
        <mc:AlternateContent>
          <mc:Choice Requires="wps">
            <w:drawing>
              <wp:anchor distT="0" distB="0" distL="114300" distR="114300" simplePos="0" relativeHeight="251668480" behindDoc="0" locked="0" layoutInCell="1" allowOverlap="1" wp14:anchorId="048487E1" wp14:editId="6B5D6547">
                <wp:simplePos x="0" y="0"/>
                <wp:positionH relativeFrom="margin">
                  <wp:posOffset>0</wp:posOffset>
                </wp:positionH>
                <wp:positionV relativeFrom="paragraph">
                  <wp:posOffset>19050</wp:posOffset>
                </wp:positionV>
                <wp:extent cx="1695450" cy="228600"/>
                <wp:effectExtent l="0" t="0" r="1905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28600"/>
                        </a:xfrm>
                        <a:prstGeom prst="rect">
                          <a:avLst/>
                        </a:prstGeom>
                        <a:solidFill>
                          <a:srgbClr val="000080"/>
                        </a:solidFill>
                        <a:ln w="9525">
                          <a:solidFill>
                            <a:srgbClr val="000080"/>
                          </a:solidFill>
                          <a:miter lim="800000"/>
                          <a:headEnd/>
                          <a:tailEnd/>
                        </a:ln>
                      </wps:spPr>
                      <wps:txbx>
                        <w:txbxContent>
                          <w:p w:rsidR="00062459" w:rsidRPr="00567E83" w:rsidRDefault="00062459" w:rsidP="0096103A">
                            <w:pPr>
                              <w:jc w:val="both"/>
                              <w:rPr>
                                <w:rFonts w:ascii="Arial" w:hAnsi="Arial" w:cs="Arial"/>
                                <w:b/>
                                <w:color w:val="FFFFFF"/>
                                <w:sz w:val="20"/>
                                <w:szCs w:val="20"/>
                              </w:rPr>
                            </w:pPr>
                            <w:r>
                              <w:rPr>
                                <w:rFonts w:ascii="Arial" w:hAnsi="Arial" w:cs="Arial"/>
                                <w:b/>
                                <w:color w:val="FFFFFF"/>
                                <w:sz w:val="20"/>
                                <w:szCs w:val="20"/>
                              </w:rPr>
                              <w:t>Lunes 16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F2EDD" id="Cuadro de texto 5" o:spid="_x0000_s1030" type="#_x0000_t202" style="position:absolute;left:0;text-align:left;margin-left:0;margin-top:1.5pt;width:133.5pt;height: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" fillcolor="navy" strokecolor="navy">
                <v:textbox>
                  <w:txbxContent>
                    <w:p w:rsidR="008F5093" w:rsidRPr="00567E83" w:rsidRDefault="008F5093" w:rsidP="0096103A">
                      <w:pPr>
                        <w:jc w:val="both"/>
                        <w:rPr>
                          <w:rFonts w:ascii="Arial" w:hAnsi="Arial" w:cs="Arial"/>
                          <w:b/>
                          <w:color w:val="FFFFFF"/>
                          <w:sz w:val="20"/>
                          <w:szCs w:val="20"/>
                        </w:rPr>
                      </w:pPr>
                      <w:r>
                        <w:rPr>
                          <w:rFonts w:ascii="Arial" w:hAnsi="Arial" w:cs="Arial"/>
                          <w:b/>
                          <w:color w:val="FFFFFF"/>
                          <w:sz w:val="20"/>
                          <w:szCs w:val="20"/>
                        </w:rPr>
                        <w:t>Lunes 16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96103A" w:rsidRPr="00610B20" w:rsidTr="003F0455">
        <w:trPr>
          <w:trHeight w:val="552"/>
        </w:trPr>
        <w:tc>
          <w:tcPr>
            <w:tcW w:w="9257" w:type="dxa"/>
            <w:shd w:val="clear" w:color="auto" w:fill="DDFFFF"/>
          </w:tcPr>
          <w:p w:rsidR="0096103A" w:rsidRPr="00610B20" w:rsidRDefault="0096103A" w:rsidP="008F5093">
            <w:pPr>
              <w:spacing w:after="0"/>
              <w:jc w:val="left"/>
              <w:rPr>
                <w:rFonts w:ascii="Times New Roman" w:eastAsia="Times New Roman" w:hAnsi="Times New Roman" w:cs="Times New Roman"/>
                <w:sz w:val="24"/>
                <w:szCs w:val="24"/>
                <w:lang w:eastAsia="es-ES"/>
              </w:rPr>
            </w:pPr>
          </w:p>
          <w:p w:rsidR="0096103A" w:rsidRDefault="0096103A" w:rsidP="0096103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NORMAS QUE REGULAN LAS TASAS </w:t>
            </w:r>
            <w:r w:rsidRPr="0096103A">
              <w:rPr>
                <w:rFonts w:ascii="Arial" w:eastAsia="Times New Roman" w:hAnsi="Arial" w:cs="Arial"/>
                <w:b/>
                <w:color w:val="000080"/>
                <w:sz w:val="20"/>
                <w:szCs w:val="20"/>
                <w:lang w:val="es-ES_tradnl" w:eastAsia="es-ES"/>
              </w:rPr>
              <w:t xml:space="preserve">DE INTERÉS </w:t>
            </w:r>
          </w:p>
          <w:p w:rsidR="0096103A" w:rsidRPr="00610B20" w:rsidRDefault="0096103A" w:rsidP="0096103A">
            <w:pPr>
              <w:spacing w:after="0"/>
              <w:rPr>
                <w:rFonts w:ascii="Arial" w:eastAsia="Times New Roman" w:hAnsi="Arial" w:cs="Arial"/>
                <w:b/>
                <w:color w:val="000080"/>
                <w:sz w:val="20"/>
                <w:szCs w:val="20"/>
                <w:lang w:val="es-ES_tradnl" w:eastAsia="es-ES"/>
              </w:rPr>
            </w:pPr>
          </w:p>
          <w:p w:rsidR="0096103A" w:rsidRPr="00610B20" w:rsidRDefault="0096103A"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Junta de Política y Regulación Monetaria y Financiera 133</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628 de 16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96103A" w:rsidRDefault="0096103A"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7"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96103A" w:rsidRDefault="0096103A" w:rsidP="008F5093">
            <w:pPr>
              <w:spacing w:after="0"/>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1.- La tasa básica del Banco Central del Ecuador será determinada por la Junta de Política y Regulación Monetaria y Financiera, en forma trimestral o cuando se estime conveniente.</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 xml:space="preserve">ARTÍCULO 2.- La tasa pasiva referencial corresponde al promedio ponderado por monto, de las tasas de interés efectivas pasivas remitidas por las entidades del sistema financiero </w:t>
            </w:r>
            <w:r w:rsidRPr="0096103A">
              <w:rPr>
                <w:rFonts w:ascii="Arial" w:eastAsia="Times New Roman" w:hAnsi="Arial" w:cs="Arial"/>
                <w:color w:val="000080"/>
                <w:sz w:val="20"/>
                <w:szCs w:val="20"/>
                <w:lang w:eastAsia="es-ES"/>
              </w:rPr>
              <w:lastRenderedPageBreak/>
              <w:t>nacional al Banco Central del Ecuador, para todos los rangos de plazos, de acuerdo con el “Instructivo de Tasas de Interés”, que el Banco Central del Ecuador expida para el efecto, en adelante “el Instructivo”.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3.- La tasa activa referencial corresponde a la tasa de interés activa efectiva referencial para el segmento comercial prioritario corporativo.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4.- Las tasas de interés activas efectivas referenciales para cada uno de los segmentos de la cartera de crédito, corresponderán al promedio ponderado por monto de las tasas de interés efectivas pactadas en las operaciones de crédito concedidas por las entidades financieras obligadas a remitir dicha información al Banco Central del Ecuador, de acuerdo con el Instructivo elaborado para tal efecto.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Las tasas de interés efectivas pasivas referenciales para las captaciones de depósitos de plazo fijo para los siguientes rangos de plazo: de 30 a 60 días, de 61 a 90 días, de 91 a 120 días, de 121 a 180 días, de 181 a 360 días, y de más de 360 días, corresponderán al promedio ponderado por monto, de las tasas de interés efecti</w:t>
            </w:r>
            <w:r>
              <w:rPr>
                <w:rFonts w:ascii="Arial" w:eastAsia="Times New Roman" w:hAnsi="Arial" w:cs="Arial"/>
                <w:color w:val="000080"/>
                <w:sz w:val="20"/>
                <w:szCs w:val="20"/>
                <w:lang w:eastAsia="es-ES"/>
              </w:rPr>
              <w:t xml:space="preserve">vas aplicadas por las entidades </w:t>
            </w:r>
            <w:r w:rsidRPr="0096103A">
              <w:rPr>
                <w:rFonts w:ascii="Arial" w:eastAsia="Times New Roman" w:hAnsi="Arial" w:cs="Arial"/>
                <w:color w:val="000080"/>
                <w:sz w:val="20"/>
                <w:szCs w:val="20"/>
                <w:lang w:eastAsia="es-ES"/>
              </w:rPr>
              <w:t>financieras en sus operaciones pasivas que están obligadas a remitir al Banco Central del Ecuador de acuerdo con el Instructivo.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5.- Las tasas referenciales definidas en los artículos 2 al 4 del presente Capítulo tendrán una vigencia mensual y serán calculadas durante la última semana completa del mes anterior al de su vigencia por el Banco Central del Ecuador, y serán publicadas durante los últimos días del mes anterior a su vigencia en la página web del Banco Central del Ecuador y/o por cualquier otro medio que éste determine.</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La base de cálculo corresponderá a las tasas de interés efectivas convenidas en las operaciones realizadas en las cuatro (4) semanas precedentes a la última semana completa de cada mes, promedio que será ponderado por monto en dólares de los Estados Unidos de América. Los días de inicio y fin de la semana para el cómputo de las tasas referenciales serán los establecidos en el Instructivo.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En el caso que el Banco Central del Ecuador por fuerza mayor o caso fortuito no pudiere calcular o publicar las tasas referidas en los artículos 2 al 4 de este Capítulo, para el período mensual siguiente, regirán las últimas tasas publicadas por esta entidad.</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TASAS DE INTERÉS DE CUMPLIMIENTO OBLIGATORIO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6.- La tasa de interés legal corresponde a la tasa de interés activa efectiva referencial para el segmento comercial prioritario corporativo.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7.- Las tasas de interés activas efectivas máximas para cada uno de los segmentos de la cartera de crédito de las entidades financieras, serán determinadas por la Junta de Política y Regulación Monetaria y Financiera.</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No se podrá cobrar una tasa de interés nominal cuya tasa de interés efectiva anual equivalente, supere a la tasa activa efectiva máxima de su respectivo segmento. De hacerlo, el infractor estará sujeto a lo que determine la ley.</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8.- Las tasas de interés a que se refieren los artículos 6 y 7 de este Capítulo regirán por períodos mensuales y serán publicadas en la página web del Banco Central del Ecuador y/o por cualquier otro medio que éste defina. En caso de no determinarse las tasas referidas en los artículos precedentes para el período mensual siguiente, regirán las últimas tasas publicadas por el Banco Central del Ecuador.</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9.- La tasa de interés máxima convencional a la que hagan referencia normas legales y reglamentarias será igual a la tasa activa efectiva máxima del segmento comercial prioritario corporativo.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10.- La tasa de interés efectiva máxima del segmento correspondient</w:t>
            </w:r>
            <w:r>
              <w:rPr>
                <w:rFonts w:ascii="Arial" w:eastAsia="Times New Roman" w:hAnsi="Arial" w:cs="Arial"/>
                <w:color w:val="000080"/>
                <w:sz w:val="20"/>
                <w:szCs w:val="20"/>
                <w:lang w:eastAsia="es-ES"/>
              </w:rPr>
              <w:t xml:space="preserve">e que regirá </w:t>
            </w:r>
            <w:r>
              <w:rPr>
                <w:rFonts w:ascii="Arial" w:eastAsia="Times New Roman" w:hAnsi="Arial" w:cs="Arial"/>
                <w:color w:val="000080"/>
                <w:sz w:val="20"/>
                <w:szCs w:val="20"/>
                <w:lang w:eastAsia="es-ES"/>
              </w:rPr>
              <w:lastRenderedPageBreak/>
              <w:t xml:space="preserve">para una operación </w:t>
            </w:r>
            <w:r w:rsidRPr="0096103A">
              <w:rPr>
                <w:rFonts w:ascii="Arial" w:eastAsia="Times New Roman" w:hAnsi="Arial" w:cs="Arial"/>
                <w:color w:val="000080"/>
                <w:sz w:val="20"/>
                <w:szCs w:val="20"/>
                <w:lang w:eastAsia="es-ES"/>
              </w:rPr>
              <w:t>activa de crédito, será la del mes en que se haya efectuado el desembolso total o del primer desembolso parcial del monto del crédito.</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En aquellos casos en que exista diferencia entre la fecha de suscripción del pagaré o contrato de crédito y la fecha de desembolso, necesariamente en dicho documento deberá constar que los intereses de la obligación empezarán a correr a partir de la fecha del desembolso total o del primer desembolso parcial de los recursos.</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TASAS DE INTERÉS PARA OPERACIONES ACTIVAS Y PASIVAS</w:t>
            </w:r>
          </w:p>
          <w:p w:rsidR="0096103A" w:rsidRPr="0096103A" w:rsidRDefault="0096103A" w:rsidP="0096103A">
            <w:pPr>
              <w:spacing w:after="0"/>
              <w:ind w:left="738"/>
              <w:jc w:val="both"/>
              <w:rPr>
                <w:rFonts w:ascii="Arial" w:eastAsia="Times New Roman" w:hAnsi="Arial" w:cs="Arial"/>
                <w:color w:val="000080"/>
                <w:sz w:val="20"/>
                <w:szCs w:val="20"/>
                <w:lang w:eastAsia="es-ES"/>
              </w:rPr>
            </w:pPr>
          </w:p>
          <w:p w:rsidR="0096103A" w:rsidRDefault="0096103A" w:rsidP="0096103A">
            <w:pPr>
              <w:spacing w:after="0"/>
              <w:ind w:left="738"/>
              <w:jc w:val="both"/>
              <w:rPr>
                <w:rFonts w:ascii="Arial" w:eastAsia="Times New Roman" w:hAnsi="Arial" w:cs="Arial"/>
                <w:color w:val="000080"/>
                <w:sz w:val="20"/>
                <w:szCs w:val="20"/>
                <w:lang w:eastAsia="es-ES"/>
              </w:rPr>
            </w:pPr>
            <w:r w:rsidRPr="0096103A">
              <w:rPr>
                <w:rFonts w:ascii="Arial" w:eastAsia="Times New Roman" w:hAnsi="Arial" w:cs="Arial"/>
                <w:color w:val="000080"/>
                <w:sz w:val="20"/>
                <w:szCs w:val="20"/>
                <w:lang w:eastAsia="es-ES"/>
              </w:rPr>
              <w:t>ARTÍCULO 11.- Las tasas de interés para operaciones activas del Banco Central del Ecuador serán de libre contratación y no podrán superar la tasa activa efectiva máxima para el segmento comercial prioritario corporativo.</w:t>
            </w:r>
          </w:p>
          <w:p w:rsidR="000E37AA" w:rsidRDefault="000E37AA" w:rsidP="000E37AA">
            <w:pPr>
              <w:spacing w:after="0"/>
              <w:jc w:val="both"/>
              <w:rPr>
                <w:rFonts w:ascii="Arial" w:eastAsia="Times New Roman" w:hAnsi="Arial" w:cs="Arial"/>
                <w:color w:val="000080"/>
                <w:sz w:val="20"/>
                <w:szCs w:val="20"/>
                <w:lang w:eastAsia="es-ES"/>
              </w:rPr>
            </w:pPr>
          </w:p>
          <w:p w:rsidR="000E37AA" w:rsidRDefault="000E37AA" w:rsidP="000E37AA">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0E37AA" w:rsidRPr="000E37AA" w:rsidRDefault="000E37AA" w:rsidP="000E37AA">
            <w:pPr>
              <w:spacing w:after="0"/>
              <w:jc w:val="both"/>
              <w:rPr>
                <w:rFonts w:ascii="Arial" w:eastAsia="Times New Roman" w:hAnsi="Arial" w:cs="Arial"/>
                <w:b/>
                <w:color w:val="000080"/>
                <w:sz w:val="20"/>
                <w:szCs w:val="20"/>
                <w:lang w:eastAsia="es-ES"/>
              </w:rPr>
            </w:pPr>
          </w:p>
          <w:p w:rsidR="0096103A" w:rsidRPr="000E37AA" w:rsidRDefault="0096103A" w:rsidP="000E37AA">
            <w:pPr>
              <w:spacing w:after="0"/>
              <w:jc w:val="both"/>
              <w:rPr>
                <w:rFonts w:ascii="Times New Roman" w:eastAsia="Times New Roman" w:hAnsi="Times New Roman" w:cs="Times New Roman"/>
                <w:b/>
                <w:sz w:val="24"/>
                <w:szCs w:val="24"/>
                <w:lang w:eastAsia="es-ES"/>
              </w:rPr>
            </w:pPr>
          </w:p>
        </w:tc>
      </w:tr>
      <w:tr w:rsidR="0096103A" w:rsidRPr="00610B20" w:rsidTr="008F5093">
        <w:trPr>
          <w:trHeight w:val="1380"/>
        </w:trPr>
        <w:tc>
          <w:tcPr>
            <w:tcW w:w="9257" w:type="dxa"/>
            <w:shd w:val="clear" w:color="auto" w:fill="E6F1DF"/>
          </w:tcPr>
          <w:p w:rsidR="0096103A" w:rsidRPr="00610B20" w:rsidRDefault="0096103A" w:rsidP="008F5093">
            <w:pPr>
              <w:spacing w:after="0"/>
              <w:jc w:val="left"/>
              <w:rPr>
                <w:rFonts w:ascii="Times New Roman" w:eastAsia="Times New Roman" w:hAnsi="Times New Roman" w:cs="Times New Roman"/>
                <w:sz w:val="24"/>
                <w:szCs w:val="24"/>
                <w:lang w:eastAsia="es-ES"/>
              </w:rPr>
            </w:pPr>
          </w:p>
          <w:p w:rsidR="002B2D82" w:rsidRPr="002B2D82" w:rsidRDefault="002B2D82" w:rsidP="002B2D82">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RATIFICA LAS TABLAS DE SUS</w:t>
            </w:r>
            <w:r w:rsidRPr="002B2D82">
              <w:rPr>
                <w:rFonts w:ascii="Arial" w:eastAsia="Times New Roman" w:hAnsi="Arial" w:cs="Arial"/>
                <w:b/>
                <w:color w:val="000080"/>
                <w:sz w:val="20"/>
                <w:szCs w:val="20"/>
                <w:lang w:val="es-ES_tradnl" w:eastAsia="es-ES"/>
              </w:rPr>
              <w:t>TANCIAS ESTUPEFACIENTES Y PSICOTRÓPICAS PARA</w:t>
            </w:r>
          </w:p>
          <w:p w:rsidR="002B2D82" w:rsidRDefault="002B2D82" w:rsidP="002B2D82">
            <w:pPr>
              <w:spacing w:after="0"/>
              <w:rPr>
                <w:rFonts w:ascii="Arial" w:eastAsia="Times New Roman" w:hAnsi="Arial" w:cs="Arial"/>
                <w:b/>
                <w:color w:val="000080"/>
                <w:sz w:val="20"/>
                <w:szCs w:val="20"/>
                <w:lang w:val="es-ES_tradnl" w:eastAsia="es-ES"/>
              </w:rPr>
            </w:pPr>
            <w:r w:rsidRPr="002B2D82">
              <w:rPr>
                <w:rFonts w:ascii="Arial" w:eastAsia="Times New Roman" w:hAnsi="Arial" w:cs="Arial"/>
                <w:b/>
                <w:color w:val="000080"/>
                <w:sz w:val="20"/>
                <w:szCs w:val="20"/>
                <w:lang w:val="es-ES_tradnl" w:eastAsia="es-ES"/>
              </w:rPr>
              <w:t>SANCIONAR EL TRÁFICO ILÍCITO DE MÍNIMA, MEDIANA,</w:t>
            </w:r>
            <w:r>
              <w:rPr>
                <w:rFonts w:ascii="Arial" w:eastAsia="Times New Roman" w:hAnsi="Arial" w:cs="Arial"/>
                <w:b/>
                <w:color w:val="000080"/>
                <w:sz w:val="20"/>
                <w:szCs w:val="20"/>
                <w:lang w:val="es-ES_tradnl" w:eastAsia="es-ES"/>
              </w:rPr>
              <w:t xml:space="preserve"> </w:t>
            </w:r>
            <w:r w:rsidRPr="002B2D82">
              <w:rPr>
                <w:rFonts w:ascii="Arial" w:eastAsia="Times New Roman" w:hAnsi="Arial" w:cs="Arial"/>
                <w:b/>
                <w:color w:val="000080"/>
                <w:sz w:val="20"/>
                <w:szCs w:val="20"/>
                <w:lang w:val="es-ES_tradnl" w:eastAsia="es-ES"/>
              </w:rPr>
              <w:t>ALTA Y GRAN ESCALA</w:t>
            </w:r>
          </w:p>
          <w:p w:rsidR="0096103A" w:rsidRPr="00610B20" w:rsidRDefault="002B2D82" w:rsidP="002B2D82">
            <w:pPr>
              <w:spacing w:after="0"/>
              <w:rPr>
                <w:rFonts w:ascii="Arial" w:eastAsia="Times New Roman" w:hAnsi="Arial" w:cs="Arial"/>
                <w:b/>
                <w:color w:val="000080"/>
                <w:sz w:val="20"/>
                <w:szCs w:val="20"/>
                <w:lang w:eastAsia="es-ES"/>
              </w:rPr>
            </w:pPr>
            <w:r w:rsidRPr="002B2D82">
              <w:rPr>
                <w:rFonts w:ascii="Arial" w:eastAsia="Times New Roman" w:hAnsi="Arial" w:cs="Arial"/>
                <w:b/>
                <w:color w:val="000080"/>
                <w:sz w:val="20"/>
                <w:szCs w:val="20"/>
                <w:lang w:val="es-ES_tradnl" w:eastAsia="es-ES"/>
              </w:rPr>
              <w:t xml:space="preserve"> </w:t>
            </w:r>
          </w:p>
          <w:p w:rsidR="002B2D82" w:rsidRPr="00610B20" w:rsidRDefault="002B2D82" w:rsidP="002B2D82">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CONSEP 002</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628 de 16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96103A" w:rsidRDefault="0096103A"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8"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2B2D82" w:rsidRDefault="002B2D82" w:rsidP="008F5093">
            <w:pPr>
              <w:spacing w:after="0"/>
              <w:jc w:val="both"/>
              <w:rPr>
                <w:rFonts w:ascii="Arial" w:eastAsia="Times New Roman" w:hAnsi="Arial" w:cs="Arial"/>
                <w:color w:val="000080"/>
                <w:sz w:val="20"/>
                <w:szCs w:val="20"/>
                <w:lang w:eastAsia="es-ES"/>
              </w:rPr>
            </w:pPr>
          </w:p>
          <w:p w:rsid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Artículo 1.- Ratificar las tablas de sustancias estupefacientes y psicotrópicas para sancionar el tráfico ilícito de mínima, mediana, alta y gran escala, previsto en el artículo 220 del COIP, aprobadas mediante Resolución No. 001 CONSEP-CD-2015, de 9 de septiembre de 2015, publicada en el Segundo Suplemento del Registro Oficial No. 586 del 14 de septiembre de 2015, y su fe de erratas publicada en el Registro Oficial No. 597 del 29 de septiembre de 2015, cuyas cantidades son</w:t>
            </w:r>
            <w:r>
              <w:rPr>
                <w:rFonts w:ascii="Arial" w:eastAsia="Times New Roman" w:hAnsi="Arial" w:cs="Arial"/>
                <w:color w:val="000080"/>
                <w:sz w:val="20"/>
                <w:szCs w:val="20"/>
                <w:lang w:eastAsia="es-ES"/>
              </w:rPr>
              <w:t xml:space="preserve">: </w:t>
            </w:r>
          </w:p>
          <w:p w:rsidR="002B2D82" w:rsidRDefault="002B2D82" w:rsidP="002B2D82">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341"/>
              <w:gridCol w:w="829"/>
              <w:gridCol w:w="828"/>
              <w:gridCol w:w="824"/>
              <w:gridCol w:w="959"/>
              <w:gridCol w:w="958"/>
              <w:gridCol w:w="824"/>
              <w:gridCol w:w="843"/>
              <w:gridCol w:w="1579"/>
            </w:tblGrid>
            <w:tr w:rsidR="002B2D82" w:rsidTr="002B2D82">
              <w:trPr>
                <w:trHeight w:val="566"/>
              </w:trPr>
              <w:tc>
                <w:tcPr>
                  <w:tcW w:w="9300" w:type="dxa"/>
                  <w:gridSpan w:val="9"/>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374"/>
                  </w:pPr>
                  <w:r>
                    <w:rPr>
                      <w:b/>
                      <w:bCs/>
                      <w:sz w:val="18"/>
                      <w:szCs w:val="18"/>
                      <w:lang w:val="es-ES_tradnl"/>
                    </w:rPr>
                    <w:t>SUSTANCIAS ESTUPEFACIENTES</w:t>
                  </w:r>
                </w:p>
              </w:tc>
            </w:tr>
            <w:tr w:rsidR="002B2D82" w:rsidTr="002B2D82">
              <w:trPr>
                <w:trHeight w:hRule="exact" w:val="542"/>
              </w:trPr>
              <w:tc>
                <w:tcPr>
                  <w:tcW w:w="13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spacing w:line="221" w:lineRule="exact"/>
                    <w:ind w:left="211" w:right="202" w:firstLine="96"/>
                  </w:pPr>
                  <w:r>
                    <w:rPr>
                      <w:b/>
                      <w:bCs/>
                      <w:sz w:val="18"/>
                      <w:szCs w:val="18"/>
                      <w:lang w:val="es-ES_tradnl"/>
                    </w:rPr>
                    <w:t>Escala (gramos)</w:t>
                  </w:r>
                </w:p>
                <w:p w:rsidR="002B2D82" w:rsidRDefault="002B2D82" w:rsidP="002B2D82">
                  <w:pPr>
                    <w:shd w:val="clear" w:color="auto" w:fill="FFFFFF"/>
                    <w:ind w:left="211"/>
                  </w:pPr>
                  <w:r>
                    <w:rPr>
                      <w:b/>
                      <w:bCs/>
                      <w:sz w:val="18"/>
                      <w:szCs w:val="18"/>
                      <w:lang w:val="es-ES_tradnl"/>
                    </w:rPr>
                    <w:t>Peso neto</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422"/>
                  </w:pPr>
                  <w:r>
                    <w:rPr>
                      <w:b/>
                      <w:bCs/>
                      <w:sz w:val="18"/>
                      <w:szCs w:val="18"/>
                      <w:lang w:val="es-ES_tradnl"/>
                    </w:rPr>
                    <w:t>Hero</w:t>
                  </w:r>
                  <w:r>
                    <w:rPr>
                      <w:rFonts w:cs="Times New Roman"/>
                      <w:b/>
                      <w:bCs/>
                      <w:sz w:val="18"/>
                      <w:szCs w:val="18"/>
                      <w:lang w:val="es-ES_tradnl"/>
                    </w:rPr>
                    <w:t>í</w:t>
                  </w:r>
                  <w:r>
                    <w:rPr>
                      <w:b/>
                      <w:bCs/>
                      <w:sz w:val="18"/>
                      <w:szCs w:val="18"/>
                      <w:lang w:val="es-ES_tradnl"/>
                    </w:rPr>
                    <w:t>na</w:t>
                  </w:r>
                </w:p>
              </w:tc>
              <w:tc>
                <w:tcPr>
                  <w:tcW w:w="18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b/>
                      <w:bCs/>
                      <w:spacing w:val="-14"/>
                      <w:sz w:val="18"/>
                      <w:szCs w:val="18"/>
                      <w:lang w:val="es-ES_tradnl"/>
                    </w:rPr>
                    <w:t>Pasta base de coca</w:t>
                  </w:r>
                  <w:r>
                    <w:rPr>
                      <w:rFonts w:cs="Times New Roman"/>
                      <w:b/>
                      <w:bCs/>
                      <w:spacing w:val="-14"/>
                      <w:sz w:val="18"/>
                      <w:szCs w:val="18"/>
                      <w:lang w:val="es-ES_tradnl"/>
                    </w:rPr>
                    <w:t>í</w:t>
                  </w:r>
                  <w:r>
                    <w:rPr>
                      <w:b/>
                      <w:bCs/>
                      <w:spacing w:val="-14"/>
                      <w:sz w:val="18"/>
                      <w:szCs w:val="18"/>
                      <w:lang w:val="es-ES_tradnl"/>
                    </w:rPr>
                    <w:t>na</w:t>
                  </w:r>
                </w:p>
              </w:tc>
              <w:tc>
                <w:tcPr>
                  <w:tcW w:w="18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spacing w:line="206" w:lineRule="exact"/>
                    <w:ind w:left="235" w:right="230"/>
                  </w:pPr>
                  <w:r>
                    <w:rPr>
                      <w:b/>
                      <w:bCs/>
                      <w:spacing w:val="-7"/>
                      <w:sz w:val="18"/>
                      <w:szCs w:val="18"/>
                      <w:lang w:val="es-ES_tradnl"/>
                    </w:rPr>
                    <w:t xml:space="preserve">Clorhidrato de </w:t>
                  </w:r>
                  <w:r>
                    <w:rPr>
                      <w:b/>
                      <w:bCs/>
                      <w:sz w:val="18"/>
                      <w:szCs w:val="18"/>
                      <w:lang w:val="es-ES_tradnl"/>
                    </w:rPr>
                    <w:t>coca</w:t>
                  </w:r>
                  <w:r>
                    <w:rPr>
                      <w:rFonts w:cs="Times New Roman"/>
                      <w:b/>
                      <w:bCs/>
                      <w:sz w:val="18"/>
                      <w:szCs w:val="18"/>
                      <w:lang w:val="es-ES_tradnl"/>
                    </w:rPr>
                    <w:t>í</w:t>
                  </w:r>
                  <w:r>
                    <w:rPr>
                      <w:b/>
                      <w:bCs/>
                      <w:sz w:val="18"/>
                      <w:szCs w:val="18"/>
                      <w:lang w:val="es-ES_tradnl"/>
                    </w:rPr>
                    <w:t>na</w:t>
                  </w:r>
                </w:p>
              </w:tc>
              <w:tc>
                <w:tcPr>
                  <w:tcW w:w="25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720"/>
                  </w:pPr>
                  <w:r>
                    <w:rPr>
                      <w:b/>
                      <w:bCs/>
                      <w:sz w:val="18"/>
                      <w:szCs w:val="18"/>
                      <w:lang w:val="es-ES_tradnl"/>
                    </w:rPr>
                    <w:t>Marihuana</w:t>
                  </w:r>
                </w:p>
              </w:tc>
            </w:tr>
            <w:tr w:rsidR="002B2D82" w:rsidTr="002B2D82">
              <w:trPr>
                <w:trHeight w:hRule="exact" w:val="523"/>
              </w:trPr>
              <w:tc>
                <w:tcPr>
                  <w:tcW w:w="9300" w:type="dxa"/>
                  <w:vMerge/>
                  <w:tcBorders>
                    <w:top w:val="single" w:sz="6" w:space="0" w:color="auto"/>
                    <w:left w:val="single" w:sz="6" w:space="0" w:color="auto"/>
                    <w:bottom w:val="single" w:sz="6" w:space="0" w:color="auto"/>
                    <w:right w:val="single" w:sz="6" w:space="0" w:color="auto"/>
                  </w:tcBorders>
                  <w:vAlign w:val="center"/>
                  <w:hideMark/>
                </w:tcPr>
                <w:p w:rsidR="002B2D82" w:rsidRDefault="002B2D82" w:rsidP="002B2D82">
                  <w:pPr>
                    <w:rPr>
                      <w:rFonts w:ascii="Arial" w:hAnsi="Arial" w:cs="Arial"/>
                      <w:lang w:val="es-ES" w:eastAsia="es-E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 w:rsidR="002B2D82" w:rsidRDefault="002B2D82" w:rsidP="002B2D82">
                  <w:pPr>
                    <w:shd w:val="clear" w:color="auto" w:fill="FFFFFF"/>
                    <w:ind w:left="48"/>
                  </w:pPr>
                  <w:r>
                    <w:rPr>
                      <w:spacing w:val="-3"/>
                      <w:sz w:val="18"/>
                      <w:szCs w:val="18"/>
                      <w:lang w:val="es-ES_tradnl"/>
                    </w:rPr>
                    <w:t>M</w:t>
                  </w:r>
                  <w:r>
                    <w:rPr>
                      <w:rFonts w:cs="Times New Roman"/>
                      <w:spacing w:val="-3"/>
                      <w:sz w:val="18"/>
                      <w:szCs w:val="18"/>
                      <w:lang w:val="es-ES_tradnl"/>
                    </w:rPr>
                    <w:t>í</w:t>
                  </w:r>
                  <w:r>
                    <w:rPr>
                      <w:spacing w:val="-3"/>
                      <w:sz w:val="18"/>
                      <w:szCs w:val="18"/>
                      <w:lang w:val="es-ES_tradnl"/>
                    </w:rPr>
                    <w:t>nimo</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4"/>
                  </w:pPr>
                  <w:r>
                    <w:rPr>
                      <w:spacing w:val="-5"/>
                      <w:sz w:val="18"/>
                      <w:szCs w:val="18"/>
                      <w:lang w:val="es-ES_tradnl"/>
                    </w:rPr>
                    <w:t>M</w:t>
                  </w:r>
                  <w:r>
                    <w:rPr>
                      <w:rFonts w:cs="Times New Roman"/>
                      <w:spacing w:val="-5"/>
                      <w:sz w:val="18"/>
                      <w:szCs w:val="18"/>
                      <w:lang w:val="es-ES_tradnl"/>
                    </w:rPr>
                    <w:t>á</w:t>
                  </w:r>
                  <w:r>
                    <w:rPr>
                      <w:spacing w:val="-5"/>
                      <w:sz w:val="18"/>
                      <w:szCs w:val="18"/>
                      <w:lang w:val="es-ES_tradnl"/>
                    </w:rPr>
                    <w:t>ximo</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4"/>
                  </w:pPr>
                  <w:r>
                    <w:rPr>
                      <w:spacing w:val="-3"/>
                      <w:sz w:val="18"/>
                      <w:szCs w:val="18"/>
                      <w:lang w:val="es-ES_tradnl"/>
                    </w:rPr>
                    <w:t>M</w:t>
                  </w:r>
                  <w:r>
                    <w:rPr>
                      <w:rFonts w:cs="Times New Roman"/>
                      <w:spacing w:val="-3"/>
                      <w:sz w:val="18"/>
                      <w:szCs w:val="18"/>
                      <w:lang w:val="es-ES_tradnl"/>
                    </w:rPr>
                    <w:t>í</w:t>
                  </w:r>
                  <w:r>
                    <w:rPr>
                      <w:spacing w:val="-3"/>
                      <w:sz w:val="18"/>
                      <w:szCs w:val="18"/>
                      <w:lang w:val="es-ES_tradnl"/>
                    </w:rPr>
                    <w:t>nimo</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82"/>
                  </w:pPr>
                  <w:r>
                    <w:rPr>
                      <w:spacing w:val="-5"/>
                      <w:sz w:val="18"/>
                      <w:szCs w:val="18"/>
                      <w:lang w:val="es-ES_tradnl"/>
                    </w:rPr>
                    <w:t>M</w:t>
                  </w:r>
                  <w:r>
                    <w:rPr>
                      <w:rFonts w:cs="Times New Roman"/>
                      <w:spacing w:val="-5"/>
                      <w:sz w:val="18"/>
                      <w:szCs w:val="18"/>
                      <w:lang w:val="es-ES_tradnl"/>
                    </w:rPr>
                    <w:t>á</w:t>
                  </w:r>
                  <w:r>
                    <w:rPr>
                      <w:spacing w:val="-5"/>
                      <w:sz w:val="18"/>
                      <w:szCs w:val="18"/>
                      <w:lang w:val="es-ES_tradnl"/>
                    </w:rPr>
                    <w:t>ximo</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91"/>
                  </w:pPr>
                  <w:r>
                    <w:rPr>
                      <w:spacing w:val="-3"/>
                      <w:sz w:val="18"/>
                      <w:szCs w:val="18"/>
                      <w:lang w:val="es-ES_tradnl"/>
                    </w:rPr>
                    <w:t>M</w:t>
                  </w:r>
                  <w:r>
                    <w:rPr>
                      <w:rFonts w:cs="Times New Roman"/>
                      <w:spacing w:val="-3"/>
                      <w:sz w:val="18"/>
                      <w:szCs w:val="18"/>
                      <w:lang w:val="es-ES_tradnl"/>
                    </w:rPr>
                    <w:t>í</w:t>
                  </w:r>
                  <w:r>
                    <w:rPr>
                      <w:spacing w:val="-3"/>
                      <w:sz w:val="18"/>
                      <w:szCs w:val="18"/>
                      <w:lang w:val="es-ES_tradnl"/>
                    </w:rPr>
                    <w:t>nimo</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5"/>
                  </w:pPr>
                  <w:r>
                    <w:rPr>
                      <w:spacing w:val="-5"/>
                      <w:sz w:val="18"/>
                      <w:szCs w:val="18"/>
                      <w:lang w:val="es-ES_tradnl"/>
                    </w:rPr>
                    <w:t>M</w:t>
                  </w:r>
                  <w:r>
                    <w:rPr>
                      <w:rFonts w:cs="Times New Roman"/>
                      <w:spacing w:val="-5"/>
                      <w:sz w:val="18"/>
                      <w:szCs w:val="18"/>
                      <w:lang w:val="es-ES_tradnl"/>
                    </w:rPr>
                    <w:t>á</w:t>
                  </w:r>
                  <w:r>
                    <w:rPr>
                      <w:spacing w:val="-5"/>
                      <w:sz w:val="18"/>
                      <w:szCs w:val="18"/>
                      <w:lang w:val="es-ES_tradnl"/>
                    </w:rPr>
                    <w:t>ximo</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9"/>
                  </w:pPr>
                  <w:r>
                    <w:rPr>
                      <w:spacing w:val="-3"/>
                      <w:sz w:val="18"/>
                      <w:szCs w:val="18"/>
                      <w:lang w:val="es-ES_tradnl"/>
                    </w:rPr>
                    <w:t>M</w:t>
                  </w:r>
                  <w:r>
                    <w:rPr>
                      <w:rFonts w:cs="Times New Roman"/>
                      <w:spacing w:val="-3"/>
                      <w:sz w:val="18"/>
                      <w:szCs w:val="18"/>
                      <w:lang w:val="es-ES_tradnl"/>
                    </w:rPr>
                    <w:t>í</w:t>
                  </w:r>
                  <w:r>
                    <w:rPr>
                      <w:spacing w:val="-3"/>
                      <w:sz w:val="18"/>
                      <w:szCs w:val="18"/>
                      <w:lang w:val="es-ES_tradnl"/>
                    </w:rPr>
                    <w:t>nimo</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M</w:t>
                  </w:r>
                  <w:r>
                    <w:rPr>
                      <w:rFonts w:cs="Times New Roman"/>
                      <w:sz w:val="18"/>
                      <w:szCs w:val="18"/>
                      <w:lang w:val="es-ES_tradnl"/>
                    </w:rPr>
                    <w:t>á</w:t>
                  </w:r>
                  <w:r>
                    <w:rPr>
                      <w:sz w:val="18"/>
                      <w:szCs w:val="18"/>
                      <w:lang w:val="es-ES_tradnl"/>
                    </w:rPr>
                    <w:t>ximo</w:t>
                  </w:r>
                </w:p>
              </w:tc>
            </w:tr>
            <w:tr w:rsidR="002B2D82" w:rsidTr="002B2D82">
              <w:trPr>
                <w:trHeight w:hRule="exact" w:val="437"/>
              </w:trPr>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pacing w:val="-9"/>
                      <w:sz w:val="18"/>
                      <w:szCs w:val="18"/>
                      <w:lang w:val="es-ES_tradnl"/>
                    </w:rPr>
                    <w:t>M</w:t>
                  </w:r>
                  <w:r>
                    <w:rPr>
                      <w:rFonts w:cs="Times New Roman"/>
                      <w:spacing w:val="-9"/>
                      <w:sz w:val="18"/>
                      <w:szCs w:val="18"/>
                      <w:lang w:val="es-ES_tradnl"/>
                    </w:rPr>
                    <w:t>í</w:t>
                  </w:r>
                  <w:r>
                    <w:rPr>
                      <w:spacing w:val="-9"/>
                      <w:sz w:val="18"/>
                      <w:szCs w:val="18"/>
                      <w:lang w:val="es-ES_tradnl"/>
                    </w:rPr>
                    <w:t>nima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16"/>
                  </w:pPr>
                  <w:r>
                    <w:rPr>
                      <w:sz w:val="18"/>
                      <w:szCs w:val="18"/>
                      <w:lang w:val="es-ES_tradnl"/>
                    </w:rPr>
                    <w:t>&gt;0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97"/>
                  </w:pPr>
                  <w:r>
                    <w:rPr>
                      <w:sz w:val="18"/>
                      <w:szCs w:val="18"/>
                      <w:lang w:val="es-ES_tradnl"/>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16"/>
                  </w:pPr>
                  <w:r>
                    <w:rPr>
                      <w:sz w:val="18"/>
                      <w:szCs w:val="18"/>
                      <w:lang w:val="es-ES_tradnl"/>
                    </w:rPr>
                    <w:t>&gt;0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41"/>
                  </w:pPr>
                  <w:r>
                    <w:rPr>
                      <w:sz w:val="18"/>
                      <w:szCs w:val="18"/>
                      <w:lang w:val="es-ES_tradnl"/>
                    </w:rPr>
                    <w:t>2</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88"/>
                  </w:pPr>
                  <w:r>
                    <w:rPr>
                      <w:sz w:val="18"/>
                      <w:szCs w:val="18"/>
                      <w:lang w:val="es-ES_tradnl"/>
                    </w:rPr>
                    <w:t>&gt;0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64"/>
                  </w:pPr>
                  <w:r>
                    <w:rPr>
                      <w:sz w:val="18"/>
                      <w:szCs w:val="18"/>
                      <w:lang w:val="es-ES_tradnl"/>
                    </w:rPr>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16"/>
                  </w:pPr>
                  <w:r>
                    <w:rPr>
                      <w:sz w:val="18"/>
                      <w:szCs w:val="18"/>
                      <w:lang w:val="es-ES_tradnl"/>
                    </w:rPr>
                    <w:t>&gt;0</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20</w:t>
                  </w:r>
                </w:p>
              </w:tc>
            </w:tr>
            <w:tr w:rsidR="002B2D82" w:rsidTr="002B2D82">
              <w:trPr>
                <w:trHeight w:hRule="exact" w:val="456"/>
              </w:trPr>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pacing w:val="-11"/>
                      <w:sz w:val="18"/>
                      <w:szCs w:val="18"/>
                      <w:lang w:val="es-ES_tradnl"/>
                    </w:rPr>
                    <w:t>Mediana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49"/>
                  </w:pPr>
                  <w:r>
                    <w:rPr>
                      <w:sz w:val="18"/>
                      <w:szCs w:val="18"/>
                      <w:lang w:val="es-ES_tradnl"/>
                    </w:rPr>
                    <w:t>&gt;0,1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97"/>
                  </w:pPr>
                  <w:r>
                    <w:rPr>
                      <w:sz w:val="18"/>
                      <w:szCs w:val="18"/>
                      <w:lang w:val="es-ES_tradnl"/>
                    </w:rPr>
                    <w:t>0,2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16"/>
                  </w:pPr>
                  <w:r>
                    <w:rPr>
                      <w:sz w:val="18"/>
                      <w:szCs w:val="18"/>
                      <w:lang w:val="es-ES_tradnl"/>
                    </w:rPr>
                    <w:t>&gt;2</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93"/>
                  </w:pPr>
                  <w:r>
                    <w:rPr>
                      <w:sz w:val="18"/>
                      <w:szCs w:val="18"/>
                      <w:lang w:val="es-ES_tradnl"/>
                    </w:rPr>
                    <w:t>50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88"/>
                  </w:pPr>
                  <w:r>
                    <w:rPr>
                      <w:sz w:val="18"/>
                      <w:szCs w:val="18"/>
                      <w:lang w:val="es-ES_tradnl"/>
                    </w:rPr>
                    <w:t>&gt;1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21"/>
                  </w:pPr>
                  <w:r>
                    <w:rPr>
                      <w:sz w:val="18"/>
                      <w:szCs w:val="18"/>
                      <w:lang w:val="es-ES_tradnl"/>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73"/>
                  </w:pPr>
                  <w:r>
                    <w:rPr>
                      <w:sz w:val="18"/>
                      <w:szCs w:val="18"/>
                      <w:lang w:val="es-ES_tradnl"/>
                    </w:rPr>
                    <w:t>&gt;20</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300</w:t>
                  </w:r>
                </w:p>
              </w:tc>
            </w:tr>
            <w:tr w:rsidR="002B2D82" w:rsidTr="002B2D82">
              <w:trPr>
                <w:trHeight w:hRule="exact" w:val="360"/>
              </w:trPr>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Alta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49"/>
                  </w:pPr>
                  <w:r>
                    <w:rPr>
                      <w:sz w:val="18"/>
                      <w:szCs w:val="18"/>
                      <w:lang w:val="es-ES_tradnl"/>
                    </w:rPr>
                    <w:t>&gt;0,2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21"/>
                  </w:pPr>
                  <w:r>
                    <w:rPr>
                      <w:sz w:val="18"/>
                      <w:szCs w:val="18"/>
                      <w:lang w:val="es-ES_tradnl"/>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73"/>
                  </w:pPr>
                  <w:r>
                    <w:rPr>
                      <w:sz w:val="18"/>
                      <w:szCs w:val="18"/>
                      <w:lang w:val="es-ES_tradnl"/>
                    </w:rPr>
                    <w:t>&gt;50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82"/>
                  </w:pPr>
                  <w:r>
                    <w:rPr>
                      <w:sz w:val="18"/>
                      <w:szCs w:val="18"/>
                      <w:lang w:val="es-ES_tradnl"/>
                    </w:rPr>
                    <w:t>2.000</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40"/>
                  </w:pPr>
                  <w:r>
                    <w:rPr>
                      <w:sz w:val="18"/>
                      <w:szCs w:val="18"/>
                      <w:lang w:val="es-ES_tradnl"/>
                    </w:rPr>
                    <w:t>&gt;50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06"/>
                  </w:pPr>
                  <w:r>
                    <w:rPr>
                      <w:spacing w:val="-9"/>
                      <w:sz w:val="18"/>
                      <w:szCs w:val="18"/>
                      <w:lang w:val="es-ES_tradnl"/>
                    </w:rPr>
                    <w:t>5.000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25"/>
                  </w:pPr>
                  <w:r>
                    <w:rPr>
                      <w:sz w:val="18"/>
                      <w:szCs w:val="18"/>
                      <w:lang w:val="es-ES_tradnl"/>
                    </w:rPr>
                    <w:t>&gt;300</w:t>
                  </w:r>
                </w:p>
              </w:tc>
              <w:tc>
                <w:tcPr>
                  <w:tcW w:w="16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10.000</w:t>
                  </w:r>
                </w:p>
              </w:tc>
            </w:tr>
            <w:tr w:rsidR="002B2D82" w:rsidTr="002B2D82">
              <w:trPr>
                <w:trHeight w:hRule="exact" w:val="374"/>
              </w:trPr>
              <w:tc>
                <w:tcPr>
                  <w:tcW w:w="13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Gran escala</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68"/>
                  </w:pPr>
                  <w:r>
                    <w:rPr>
                      <w:sz w:val="18"/>
                      <w:szCs w:val="18"/>
                      <w:lang w:val="es-ES_tradnl"/>
                    </w:rPr>
                    <w:t>&gt;20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58"/>
                  </w:pPr>
                  <w:r>
                    <w:rPr>
                      <w:sz w:val="18"/>
                      <w:szCs w:val="18"/>
                      <w:lang w:val="es-ES_tradnl"/>
                    </w:rPr>
                    <w:t>&gt;2.000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30"/>
                  </w:pPr>
                  <w:r>
                    <w:rPr>
                      <w:sz w:val="18"/>
                      <w:szCs w:val="18"/>
                      <w:lang w:val="es-ES_tradnl"/>
                    </w:rPr>
                    <w:t>&gt;5.000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4"/>
                  </w:pPr>
                  <w:r>
                    <w:rPr>
                      <w:spacing w:val="-11"/>
                      <w:sz w:val="18"/>
                      <w:szCs w:val="18"/>
                      <w:lang w:val="es-ES_tradnl"/>
                    </w:rPr>
                    <w:t>&gt;10.000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r>
          </w:tbl>
          <w:p w:rsidR="002B2D82" w:rsidRDefault="002B2D82" w:rsidP="002B2D82">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333"/>
              <w:gridCol w:w="1069"/>
              <w:gridCol w:w="1064"/>
              <w:gridCol w:w="1277"/>
              <w:gridCol w:w="1192"/>
              <w:gridCol w:w="1133"/>
              <w:gridCol w:w="1917"/>
            </w:tblGrid>
            <w:tr w:rsidR="002B2D82" w:rsidTr="002B2D82">
              <w:trPr>
                <w:trHeight w:val="456"/>
              </w:trPr>
              <w:tc>
                <w:tcPr>
                  <w:tcW w:w="930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331"/>
                  </w:pPr>
                  <w:r>
                    <w:rPr>
                      <w:b/>
                      <w:bCs/>
                      <w:sz w:val="18"/>
                      <w:szCs w:val="18"/>
                      <w:lang w:val="es-ES_tradnl"/>
                    </w:rPr>
                    <w:t>SUSTANCIAS PSICOTR</w:t>
                  </w:r>
                  <w:r>
                    <w:rPr>
                      <w:rFonts w:cs="Times New Roman"/>
                      <w:b/>
                      <w:bCs/>
                      <w:sz w:val="18"/>
                      <w:szCs w:val="18"/>
                      <w:lang w:val="es-ES_tradnl"/>
                    </w:rPr>
                    <w:t>Ó</w:t>
                  </w:r>
                  <w:r>
                    <w:rPr>
                      <w:b/>
                      <w:bCs/>
                      <w:sz w:val="18"/>
                      <w:szCs w:val="18"/>
                      <w:lang w:val="es-ES_tradnl"/>
                    </w:rPr>
                    <w:t>PICAS</w:t>
                  </w:r>
                </w:p>
              </w:tc>
            </w:tr>
            <w:tr w:rsidR="002B2D82" w:rsidTr="002B2D82">
              <w:trPr>
                <w:trHeight w:hRule="exact" w:val="653"/>
              </w:trPr>
              <w:tc>
                <w:tcPr>
                  <w:tcW w:w="138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spacing w:line="221" w:lineRule="exact"/>
                    <w:ind w:left="221" w:right="206" w:firstLine="96"/>
                  </w:pPr>
                  <w:r>
                    <w:rPr>
                      <w:b/>
                      <w:bCs/>
                      <w:sz w:val="18"/>
                      <w:szCs w:val="18"/>
                      <w:lang w:val="es-ES_tradnl"/>
                    </w:rPr>
                    <w:t>Escala (gramos)</w:t>
                  </w:r>
                </w:p>
                <w:p w:rsidR="002B2D82" w:rsidRDefault="002B2D82" w:rsidP="002B2D82">
                  <w:pPr>
                    <w:shd w:val="clear" w:color="auto" w:fill="FFFFFF"/>
                    <w:ind w:left="221"/>
                  </w:pPr>
                  <w:r>
                    <w:rPr>
                      <w:b/>
                      <w:bCs/>
                      <w:sz w:val="18"/>
                      <w:szCs w:val="18"/>
                      <w:lang w:val="es-ES_tradnl"/>
                    </w:rPr>
                    <w:t>Peso neto</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533"/>
                  </w:pPr>
                  <w:r>
                    <w:rPr>
                      <w:b/>
                      <w:bCs/>
                      <w:sz w:val="18"/>
                      <w:szCs w:val="18"/>
                      <w:lang w:val="es-ES_tradnl"/>
                    </w:rPr>
                    <w:t>Anfetaminas</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spacing w:line="250" w:lineRule="exact"/>
                    <w:ind w:left="202" w:right="192"/>
                  </w:pPr>
                  <w:proofErr w:type="spellStart"/>
                  <w:r>
                    <w:rPr>
                      <w:b/>
                      <w:bCs/>
                      <w:spacing w:val="-8"/>
                      <w:sz w:val="18"/>
                      <w:szCs w:val="18"/>
                      <w:lang w:val="es-ES_tradnl"/>
                    </w:rPr>
                    <w:t>Metilendioxifenetilam</w:t>
                  </w:r>
                  <w:r>
                    <w:rPr>
                      <w:rFonts w:cs="Times New Roman"/>
                      <w:b/>
                      <w:bCs/>
                      <w:spacing w:val="-8"/>
                      <w:sz w:val="18"/>
                      <w:szCs w:val="18"/>
                      <w:lang w:val="es-ES_tradnl"/>
                    </w:rPr>
                    <w:t>í</w:t>
                  </w:r>
                  <w:r>
                    <w:rPr>
                      <w:b/>
                      <w:bCs/>
                      <w:spacing w:val="-8"/>
                      <w:sz w:val="18"/>
                      <w:szCs w:val="18"/>
                      <w:lang w:val="es-ES_tradnl"/>
                    </w:rPr>
                    <w:t>na</w:t>
                  </w:r>
                  <w:proofErr w:type="spellEnd"/>
                  <w:r>
                    <w:rPr>
                      <w:b/>
                      <w:bCs/>
                      <w:spacing w:val="-8"/>
                      <w:sz w:val="18"/>
                      <w:szCs w:val="18"/>
                      <w:lang w:val="es-ES_tradnl"/>
                    </w:rPr>
                    <w:t xml:space="preserve"> </w:t>
                  </w:r>
                  <w:r>
                    <w:rPr>
                      <w:b/>
                      <w:bCs/>
                      <w:sz w:val="18"/>
                      <w:szCs w:val="18"/>
                      <w:lang w:val="es-ES_tradnl"/>
                    </w:rPr>
                    <w:t>(MDA)</w:t>
                  </w:r>
                </w:p>
              </w:tc>
              <w:tc>
                <w:tcPr>
                  <w:tcW w:w="31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spacing w:line="250" w:lineRule="exact"/>
                    <w:ind w:left="1070" w:right="1080"/>
                  </w:pPr>
                  <w:r>
                    <w:rPr>
                      <w:rFonts w:cs="Times New Roman"/>
                      <w:b/>
                      <w:bCs/>
                      <w:sz w:val="18"/>
                      <w:szCs w:val="18"/>
                      <w:lang w:val="es-ES_tradnl"/>
                    </w:rPr>
                    <w:t>É</w:t>
                  </w:r>
                  <w:r>
                    <w:rPr>
                      <w:b/>
                      <w:bCs/>
                      <w:sz w:val="18"/>
                      <w:szCs w:val="18"/>
                      <w:lang w:val="es-ES_tradnl"/>
                    </w:rPr>
                    <w:t>xtasis (MDMA)</w:t>
                  </w:r>
                </w:p>
              </w:tc>
            </w:tr>
            <w:tr w:rsidR="002B2D82" w:rsidTr="002B2D82">
              <w:trPr>
                <w:trHeight w:hRule="exact" w:val="398"/>
              </w:trPr>
              <w:tc>
                <w:tcPr>
                  <w:tcW w:w="9303" w:type="dxa"/>
                  <w:vMerge/>
                  <w:tcBorders>
                    <w:top w:val="single" w:sz="6" w:space="0" w:color="auto"/>
                    <w:left w:val="single" w:sz="6" w:space="0" w:color="auto"/>
                    <w:bottom w:val="single" w:sz="6" w:space="0" w:color="auto"/>
                    <w:right w:val="single" w:sz="6" w:space="0" w:color="auto"/>
                  </w:tcBorders>
                  <w:vAlign w:val="center"/>
                  <w:hideMark/>
                </w:tcPr>
                <w:p w:rsidR="002B2D82" w:rsidRDefault="002B2D82" w:rsidP="002B2D82">
                  <w:pPr>
                    <w:rPr>
                      <w:rFonts w:ascii="Arial" w:hAnsi="Arial" w:cs="Arial"/>
                      <w:lang w:val="es-ES" w:eastAsia="es-ES"/>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 w:rsidR="002B2D82" w:rsidRDefault="002B2D82" w:rsidP="002B2D82">
                  <w:pPr>
                    <w:shd w:val="clear" w:color="auto" w:fill="FFFFFF"/>
                    <w:ind w:left="226"/>
                  </w:pPr>
                  <w:r>
                    <w:rPr>
                      <w:spacing w:val="-3"/>
                      <w:sz w:val="18"/>
                      <w:szCs w:val="18"/>
                      <w:lang w:val="es-ES_tradnl"/>
                    </w:rPr>
                    <w:t>M</w:t>
                  </w:r>
                  <w:r>
                    <w:rPr>
                      <w:rFonts w:cs="Times New Roman"/>
                      <w:spacing w:val="-3"/>
                      <w:sz w:val="18"/>
                      <w:szCs w:val="18"/>
                      <w:lang w:val="es-ES_tradnl"/>
                    </w:rPr>
                    <w:t>í</w:t>
                  </w:r>
                  <w:r>
                    <w:rPr>
                      <w:spacing w:val="-3"/>
                      <w:sz w:val="18"/>
                      <w:szCs w:val="18"/>
                      <w:lang w:val="es-ES_tradnl"/>
                    </w:rPr>
                    <w:t>nimo</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154"/>
                  </w:pPr>
                  <w:r>
                    <w:rPr>
                      <w:sz w:val="18"/>
                      <w:szCs w:val="18"/>
                      <w:lang w:val="es-ES_tradnl"/>
                    </w:rPr>
                    <w:t>M</w:t>
                  </w:r>
                  <w:r>
                    <w:rPr>
                      <w:rFonts w:cs="Times New Roman"/>
                      <w:sz w:val="18"/>
                      <w:szCs w:val="18"/>
                      <w:lang w:val="es-ES_tradnl"/>
                    </w:rPr>
                    <w:t>á</w:t>
                  </w:r>
                  <w:r>
                    <w:rPr>
                      <w:sz w:val="18"/>
                      <w:szCs w:val="18"/>
                      <w:lang w:val="es-ES_tradnl"/>
                    </w:rPr>
                    <w:t>ximo</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M</w:t>
                  </w:r>
                  <w:r>
                    <w:rPr>
                      <w:rFonts w:cs="Times New Roman"/>
                      <w:sz w:val="18"/>
                      <w:szCs w:val="18"/>
                      <w:lang w:val="es-ES_tradnl"/>
                    </w:rPr>
                    <w:t>í</w:t>
                  </w:r>
                  <w:r>
                    <w:rPr>
                      <w:sz w:val="18"/>
                      <w:szCs w:val="18"/>
                      <w:lang w:val="es-ES_tradnl"/>
                    </w:rPr>
                    <w:t>nimo</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M</w:t>
                  </w:r>
                  <w:r>
                    <w:rPr>
                      <w:rFonts w:cs="Times New Roman"/>
                      <w:sz w:val="18"/>
                      <w:szCs w:val="18"/>
                      <w:lang w:val="es-ES_tradnl"/>
                    </w:rPr>
                    <w:t>á</w:t>
                  </w:r>
                  <w:r>
                    <w:rPr>
                      <w:sz w:val="18"/>
                      <w:szCs w:val="18"/>
                      <w:lang w:val="es-ES_tradnl"/>
                    </w:rPr>
                    <w:t>ximo</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M</w:t>
                  </w:r>
                  <w:r>
                    <w:rPr>
                      <w:rFonts w:cs="Times New Roman"/>
                      <w:sz w:val="18"/>
                      <w:szCs w:val="18"/>
                      <w:lang w:val="es-ES_tradnl"/>
                    </w:rPr>
                    <w:t>í</w:t>
                  </w:r>
                  <w:r>
                    <w:rPr>
                      <w:sz w:val="18"/>
                      <w:szCs w:val="18"/>
                      <w:lang w:val="es-ES_tradnl"/>
                    </w:rPr>
                    <w:t>nimo</w:t>
                  </w:r>
                </w:p>
              </w:tc>
              <w:tc>
                <w:tcPr>
                  <w:tcW w:w="19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M</w:t>
                  </w:r>
                  <w:r>
                    <w:rPr>
                      <w:rFonts w:cs="Times New Roman"/>
                      <w:sz w:val="18"/>
                      <w:szCs w:val="18"/>
                      <w:lang w:val="es-ES_tradnl"/>
                    </w:rPr>
                    <w:t>á</w:t>
                  </w:r>
                  <w:r>
                    <w:rPr>
                      <w:sz w:val="18"/>
                      <w:szCs w:val="18"/>
                      <w:lang w:val="es-ES_tradnl"/>
                    </w:rPr>
                    <w:t>ximo</w:t>
                  </w:r>
                </w:p>
              </w:tc>
            </w:tr>
            <w:tr w:rsidR="002B2D82" w:rsidTr="002B2D82">
              <w:trPr>
                <w:trHeight w:hRule="exact" w:val="437"/>
              </w:trPr>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pacing w:val="-9"/>
                      <w:sz w:val="18"/>
                      <w:szCs w:val="18"/>
                      <w:lang w:val="es-ES_tradnl"/>
                    </w:rPr>
                    <w:t>M</w:t>
                  </w:r>
                  <w:r>
                    <w:rPr>
                      <w:rFonts w:cs="Times New Roman"/>
                      <w:spacing w:val="-9"/>
                      <w:sz w:val="18"/>
                      <w:szCs w:val="18"/>
                      <w:lang w:val="es-ES_tradnl"/>
                    </w:rPr>
                    <w:t>í</w:t>
                  </w:r>
                  <w:r>
                    <w:rPr>
                      <w:spacing w:val="-9"/>
                      <w:sz w:val="18"/>
                      <w:szCs w:val="18"/>
                      <w:lang w:val="es-ES_tradnl"/>
                    </w:rPr>
                    <w:t>nima escala</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60"/>
                  </w:pPr>
                  <w:r>
                    <w:rPr>
                      <w:sz w:val="18"/>
                      <w:szCs w:val="18"/>
                      <w:lang w:val="es-ES_tradnl"/>
                    </w:rPr>
                    <w:t>&gt;0</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54"/>
                  </w:pPr>
                  <w:r>
                    <w:rPr>
                      <w:sz w:val="18"/>
                      <w:szCs w:val="18"/>
                      <w:lang w:val="es-ES_tradnl"/>
                    </w:rPr>
                    <w:t>0,090</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&gt;0</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0,090</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&gt;0</w:t>
                  </w:r>
                </w:p>
              </w:tc>
              <w:tc>
                <w:tcPr>
                  <w:tcW w:w="19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0,090</w:t>
                  </w:r>
                </w:p>
              </w:tc>
            </w:tr>
            <w:tr w:rsidR="002B2D82" w:rsidTr="002B2D82">
              <w:trPr>
                <w:trHeight w:hRule="exact" w:val="398"/>
              </w:trPr>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pacing w:val="-11"/>
                      <w:sz w:val="18"/>
                      <w:szCs w:val="18"/>
                      <w:lang w:val="es-ES_tradnl"/>
                    </w:rPr>
                    <w:t>Mediana escala</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02"/>
                  </w:pPr>
                  <w:r>
                    <w:rPr>
                      <w:sz w:val="18"/>
                      <w:szCs w:val="18"/>
                      <w:lang w:val="es-ES_tradnl"/>
                    </w:rPr>
                    <w:t>&gt;0,090</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41"/>
                  </w:pPr>
                  <w:r>
                    <w:rPr>
                      <w:sz w:val="18"/>
                      <w:szCs w:val="18"/>
                      <w:lang w:val="es-ES_tradnl"/>
                    </w:rPr>
                    <w:t>2,5</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&gt;0,090</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2,5</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&gt;0,090</w:t>
                  </w:r>
                </w:p>
              </w:tc>
              <w:tc>
                <w:tcPr>
                  <w:tcW w:w="19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2,5</w:t>
                  </w:r>
                </w:p>
              </w:tc>
            </w:tr>
            <w:tr w:rsidR="002B2D82" w:rsidTr="002B2D82">
              <w:trPr>
                <w:trHeight w:hRule="exact" w:val="523"/>
              </w:trPr>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lastRenderedPageBreak/>
                    <w:t>Alta escala</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93"/>
                  </w:pPr>
                  <w:r>
                    <w:rPr>
                      <w:sz w:val="18"/>
                      <w:szCs w:val="18"/>
                      <w:lang w:val="es-ES_tradnl"/>
                    </w:rPr>
                    <w:t>&gt;2,5</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98"/>
                  </w:pPr>
                  <w:r>
                    <w:rPr>
                      <w:sz w:val="18"/>
                      <w:szCs w:val="18"/>
                      <w:lang w:val="es-ES_tradnl"/>
                    </w:rPr>
                    <w:t>12,5</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&gt;2,5</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12,5</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&gt;2,5</w:t>
                  </w:r>
                </w:p>
              </w:tc>
              <w:tc>
                <w:tcPr>
                  <w:tcW w:w="1968"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12,5</w:t>
                  </w:r>
                </w:p>
              </w:tc>
            </w:tr>
            <w:tr w:rsidR="002B2D82" w:rsidTr="002B2D82">
              <w:trPr>
                <w:trHeight w:hRule="exact" w:val="432"/>
              </w:trPr>
              <w:tc>
                <w:tcPr>
                  <w:tcW w:w="1382"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pPr>
                  <w:r>
                    <w:rPr>
                      <w:sz w:val="18"/>
                      <w:szCs w:val="18"/>
                      <w:lang w:val="es-ES_tradnl"/>
                    </w:rPr>
                    <w:t>Gran escala</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93"/>
                  </w:pPr>
                  <w:r>
                    <w:rPr>
                      <w:sz w:val="18"/>
                      <w:szCs w:val="18"/>
                      <w:lang w:val="es-ES_tradnl"/>
                    </w:rPr>
                    <w:t>&gt;12,5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365"/>
                  </w:pPr>
                  <w:r>
                    <w:rPr>
                      <w:sz w:val="18"/>
                      <w:szCs w:val="18"/>
                      <w:lang w:val="es-ES_tradnl"/>
                    </w:rPr>
                    <w:t>&gt;12,5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2B2D82" w:rsidRDefault="002B2D82" w:rsidP="002B2D82">
                  <w:pPr>
                    <w:shd w:val="clear" w:color="auto" w:fill="FFFFFF"/>
                    <w:ind w:left="293"/>
                  </w:pPr>
                  <w:r>
                    <w:rPr>
                      <w:sz w:val="18"/>
                      <w:szCs w:val="18"/>
                      <w:lang w:val="es-ES_tradnl"/>
                    </w:rPr>
                    <w:t>&gt;12,5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2B2D82" w:rsidRDefault="002B2D82" w:rsidP="002B2D82">
                  <w:pPr>
                    <w:shd w:val="clear" w:color="auto" w:fill="FFFFFF"/>
                  </w:pPr>
                </w:p>
              </w:tc>
            </w:tr>
          </w:tbl>
          <w:p w:rsidR="002B2D82" w:rsidRDefault="002B2D82" w:rsidP="002B2D82">
            <w:pPr>
              <w:spacing w:after="0"/>
              <w:ind w:left="738"/>
              <w:jc w:val="both"/>
              <w:rPr>
                <w:rFonts w:ascii="Arial" w:eastAsia="Times New Roman" w:hAnsi="Arial" w:cs="Arial"/>
                <w:color w:val="000080"/>
                <w:sz w:val="20"/>
                <w:szCs w:val="20"/>
                <w:lang w:eastAsia="es-ES"/>
              </w:rPr>
            </w:pPr>
          </w:p>
          <w:p w:rsid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Artículo 2.- Poner en conocimiento de la Asamblea Nacional y de la Función Judicial el contenido de la presente resolución.</w:t>
            </w:r>
          </w:p>
          <w:p w:rsidR="002B2D82" w:rsidRPr="002B2D82" w:rsidRDefault="002B2D82" w:rsidP="002B2D82">
            <w:pPr>
              <w:spacing w:after="0"/>
              <w:ind w:left="738"/>
              <w:jc w:val="both"/>
              <w:rPr>
                <w:rFonts w:ascii="Arial" w:eastAsia="Times New Roman" w:hAnsi="Arial" w:cs="Arial"/>
                <w:color w:val="000080"/>
                <w:sz w:val="20"/>
                <w:szCs w:val="20"/>
                <w:lang w:eastAsia="es-ES"/>
              </w:rPr>
            </w:pPr>
          </w:p>
          <w:p w:rsidR="002B2D82" w:rsidRP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La presente resolución entrará en vigencia a partir de su publicación en el Registro Oficial.</w:t>
            </w:r>
          </w:p>
          <w:p w:rsid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Quito, D.M., 09 de noviembre del 2015.</w:t>
            </w:r>
          </w:p>
          <w:p w:rsidR="002B2D82" w:rsidRPr="002B2D82" w:rsidRDefault="002B2D82" w:rsidP="002B2D82">
            <w:pPr>
              <w:spacing w:after="0"/>
              <w:ind w:left="738"/>
              <w:jc w:val="both"/>
              <w:rPr>
                <w:rFonts w:ascii="Arial" w:eastAsia="Times New Roman" w:hAnsi="Arial" w:cs="Arial"/>
                <w:color w:val="000080"/>
                <w:sz w:val="20"/>
                <w:szCs w:val="20"/>
                <w:lang w:eastAsia="es-ES"/>
              </w:rPr>
            </w:pPr>
          </w:p>
          <w:p w:rsid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f.) Dr. Rafael Parreño Navas, Procurador General del Estado, Subrogante, Presidente del Consejo Directivo del CONSEP.</w:t>
            </w:r>
          </w:p>
          <w:p w:rsidR="002B2D82" w:rsidRPr="002B2D82" w:rsidRDefault="002B2D82" w:rsidP="002B2D82">
            <w:pPr>
              <w:spacing w:after="0"/>
              <w:ind w:left="738"/>
              <w:jc w:val="both"/>
              <w:rPr>
                <w:rFonts w:ascii="Arial" w:eastAsia="Times New Roman" w:hAnsi="Arial" w:cs="Arial"/>
                <w:color w:val="000080"/>
                <w:sz w:val="20"/>
                <w:szCs w:val="20"/>
                <w:lang w:eastAsia="es-ES"/>
              </w:rPr>
            </w:pPr>
          </w:p>
          <w:p w:rsidR="002B2D82" w:rsidRDefault="002B2D82" w:rsidP="002B2D82">
            <w:pPr>
              <w:spacing w:after="0"/>
              <w:ind w:left="738"/>
              <w:jc w:val="both"/>
              <w:rPr>
                <w:rFonts w:ascii="Arial" w:eastAsia="Times New Roman" w:hAnsi="Arial" w:cs="Arial"/>
                <w:color w:val="000080"/>
                <w:sz w:val="20"/>
                <w:szCs w:val="20"/>
                <w:lang w:eastAsia="es-ES"/>
              </w:rPr>
            </w:pPr>
            <w:r w:rsidRPr="002B2D82">
              <w:rPr>
                <w:rFonts w:ascii="Arial" w:eastAsia="Times New Roman" w:hAnsi="Arial" w:cs="Arial"/>
                <w:color w:val="000080"/>
                <w:sz w:val="20"/>
                <w:szCs w:val="20"/>
                <w:lang w:eastAsia="es-ES"/>
              </w:rPr>
              <w:t xml:space="preserve">f.) Sr. Rodrigo Vélez </w:t>
            </w:r>
            <w:proofErr w:type="spellStart"/>
            <w:r w:rsidRPr="002B2D82">
              <w:rPr>
                <w:rFonts w:ascii="Arial" w:eastAsia="Times New Roman" w:hAnsi="Arial" w:cs="Arial"/>
                <w:color w:val="000080"/>
                <w:sz w:val="20"/>
                <w:szCs w:val="20"/>
                <w:lang w:eastAsia="es-ES"/>
              </w:rPr>
              <w:t>Valarezo</w:t>
            </w:r>
            <w:proofErr w:type="spellEnd"/>
            <w:r w:rsidRPr="002B2D82">
              <w:rPr>
                <w:rFonts w:ascii="Arial" w:eastAsia="Times New Roman" w:hAnsi="Arial" w:cs="Arial"/>
                <w:color w:val="000080"/>
                <w:sz w:val="20"/>
                <w:szCs w:val="20"/>
                <w:lang w:eastAsia="es-ES"/>
              </w:rPr>
              <w:t>, Secretario Ejecutivo, Secretario del Consejo Directivo del CONSEP.</w:t>
            </w:r>
          </w:p>
          <w:p w:rsidR="0096103A" w:rsidRPr="00610B20" w:rsidRDefault="0096103A" w:rsidP="002B2D82">
            <w:pPr>
              <w:spacing w:after="0"/>
              <w:jc w:val="both"/>
              <w:rPr>
                <w:rFonts w:ascii="Arial" w:eastAsia="Times New Roman" w:hAnsi="Arial" w:cs="Arial"/>
                <w:b/>
                <w:color w:val="000080"/>
                <w:sz w:val="20"/>
                <w:szCs w:val="20"/>
                <w:lang w:eastAsia="es-ES"/>
              </w:rPr>
            </w:pPr>
          </w:p>
        </w:tc>
      </w:tr>
    </w:tbl>
    <w:p w:rsidR="003878ED" w:rsidRDefault="003878ED" w:rsidP="003878ED">
      <w:pPr>
        <w:jc w:val="both"/>
      </w:pPr>
    </w:p>
    <w:p w:rsidR="008907BA" w:rsidRDefault="008907BA" w:rsidP="003878ED">
      <w:pPr>
        <w:jc w:val="both"/>
      </w:pPr>
      <w:r w:rsidRPr="00A50F78">
        <w:rPr>
          <w:noProof/>
          <w:lang w:eastAsia="es-EC"/>
        </w:rPr>
        <mc:AlternateContent>
          <mc:Choice Requires="wps">
            <w:drawing>
              <wp:anchor distT="0" distB="0" distL="114300" distR="114300" simplePos="0" relativeHeight="251670528" behindDoc="0" locked="0" layoutInCell="1" allowOverlap="1" wp14:anchorId="24D0A0EF" wp14:editId="72BABEAC">
                <wp:simplePos x="0" y="0"/>
                <wp:positionH relativeFrom="margin">
                  <wp:posOffset>0</wp:posOffset>
                </wp:positionH>
                <wp:positionV relativeFrom="paragraph">
                  <wp:posOffset>-635</wp:posOffset>
                </wp:positionV>
                <wp:extent cx="1695450" cy="228600"/>
                <wp:effectExtent l="0" t="0" r="1905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28600"/>
                        </a:xfrm>
                        <a:prstGeom prst="rect">
                          <a:avLst/>
                        </a:prstGeom>
                        <a:solidFill>
                          <a:srgbClr val="000080"/>
                        </a:solidFill>
                        <a:ln w="9525">
                          <a:solidFill>
                            <a:srgbClr val="000080"/>
                          </a:solidFill>
                          <a:miter lim="800000"/>
                          <a:headEnd/>
                          <a:tailEnd/>
                        </a:ln>
                      </wps:spPr>
                      <wps:txbx>
                        <w:txbxContent>
                          <w:p w:rsidR="00062459" w:rsidRPr="00567E83" w:rsidRDefault="00062459" w:rsidP="008907BA">
                            <w:pPr>
                              <w:jc w:val="both"/>
                              <w:rPr>
                                <w:rFonts w:ascii="Arial" w:hAnsi="Arial" w:cs="Arial"/>
                                <w:b/>
                                <w:color w:val="FFFFFF"/>
                                <w:sz w:val="20"/>
                                <w:szCs w:val="20"/>
                              </w:rPr>
                            </w:pPr>
                            <w:r>
                              <w:rPr>
                                <w:rFonts w:ascii="Arial" w:hAnsi="Arial" w:cs="Arial"/>
                                <w:b/>
                                <w:color w:val="FFFFFF"/>
                                <w:sz w:val="20"/>
                                <w:szCs w:val="20"/>
                              </w:rPr>
                              <w:t>Martes 17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12E2D" id="Cuadro de texto 6" o:spid="_x0000_s1031" type="#_x0000_t202" style="position:absolute;left:0;text-align:left;margin-left:0;margin-top:-.05pt;width:133.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" fillcolor="navy" strokecolor="navy">
                <v:textbox>
                  <w:txbxContent>
                    <w:p w:rsidR="008F5093" w:rsidRPr="00567E83" w:rsidRDefault="008F5093" w:rsidP="008907BA">
                      <w:pPr>
                        <w:jc w:val="both"/>
                        <w:rPr>
                          <w:rFonts w:ascii="Arial" w:hAnsi="Arial" w:cs="Arial"/>
                          <w:b/>
                          <w:color w:val="FFFFFF"/>
                          <w:sz w:val="20"/>
                          <w:szCs w:val="20"/>
                        </w:rPr>
                      </w:pPr>
                      <w:r>
                        <w:rPr>
                          <w:rFonts w:ascii="Arial" w:hAnsi="Arial" w:cs="Arial"/>
                          <w:b/>
                          <w:color w:val="FFFFFF"/>
                          <w:sz w:val="20"/>
                          <w:szCs w:val="20"/>
                        </w:rPr>
                        <w:t>Martes 17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907BA" w:rsidRPr="00610B20" w:rsidTr="008F5093">
        <w:trPr>
          <w:trHeight w:val="1380"/>
        </w:trPr>
        <w:tc>
          <w:tcPr>
            <w:tcW w:w="9257" w:type="dxa"/>
            <w:shd w:val="clear" w:color="auto" w:fill="DDFFFF"/>
          </w:tcPr>
          <w:p w:rsidR="008907BA" w:rsidRPr="00610B20" w:rsidRDefault="008907BA" w:rsidP="008F5093">
            <w:pPr>
              <w:spacing w:after="0"/>
              <w:jc w:val="left"/>
              <w:rPr>
                <w:rFonts w:ascii="Times New Roman" w:eastAsia="Times New Roman" w:hAnsi="Times New Roman" w:cs="Times New Roman"/>
                <w:sz w:val="24"/>
                <w:szCs w:val="24"/>
                <w:lang w:eastAsia="es-ES"/>
              </w:rPr>
            </w:pPr>
          </w:p>
          <w:p w:rsidR="008907BA" w:rsidRPr="00E93945" w:rsidRDefault="008907BA"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DECLARA LA INCONSTITUCIONALIDAD SUSTITUTIVA</w:t>
            </w:r>
          </w:p>
          <w:p w:rsidR="008907BA" w:rsidRDefault="008907BA"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DE LOS</w:t>
            </w:r>
            <w:r w:rsidRPr="00E93945">
              <w:rPr>
                <w:rFonts w:ascii="Arial" w:eastAsia="Times New Roman" w:hAnsi="Arial" w:cs="Arial"/>
                <w:b/>
                <w:color w:val="000080"/>
                <w:sz w:val="20"/>
                <w:szCs w:val="20"/>
                <w:lang w:val="es-ES_tradnl" w:eastAsia="es-ES"/>
              </w:rPr>
              <w:t xml:space="preserve"> ARTÍCULO</w:t>
            </w:r>
            <w:r>
              <w:rPr>
                <w:rFonts w:ascii="Arial" w:eastAsia="Times New Roman" w:hAnsi="Arial" w:cs="Arial"/>
                <w:b/>
                <w:color w:val="000080"/>
                <w:sz w:val="20"/>
                <w:szCs w:val="20"/>
                <w:lang w:val="es-ES_tradnl" w:eastAsia="es-ES"/>
              </w:rPr>
              <w:t>S</w:t>
            </w:r>
            <w:r w:rsidRPr="00E93945">
              <w:rPr>
                <w:rFonts w:ascii="Arial" w:eastAsia="Times New Roman" w:hAnsi="Arial" w:cs="Arial"/>
                <w:b/>
                <w:color w:val="000080"/>
                <w:sz w:val="20"/>
                <w:szCs w:val="20"/>
                <w:lang w:val="es-ES_tradnl" w:eastAsia="es-ES"/>
              </w:rPr>
              <w:t xml:space="preserve"> 151</w:t>
            </w:r>
            <w:r>
              <w:rPr>
                <w:rFonts w:ascii="Arial" w:eastAsia="Times New Roman" w:hAnsi="Arial" w:cs="Arial"/>
                <w:b/>
                <w:color w:val="000080"/>
                <w:sz w:val="20"/>
                <w:szCs w:val="20"/>
                <w:lang w:val="es-ES_tradnl" w:eastAsia="es-ES"/>
              </w:rPr>
              <w:t xml:space="preserve"> Y 152</w:t>
            </w:r>
            <w:r w:rsidRPr="00E93945">
              <w:rPr>
                <w:rFonts w:ascii="Arial" w:eastAsia="Times New Roman" w:hAnsi="Arial" w:cs="Arial"/>
                <w:b/>
                <w:color w:val="000080"/>
                <w:sz w:val="20"/>
                <w:szCs w:val="20"/>
                <w:lang w:val="es-ES_tradnl" w:eastAsia="es-ES"/>
              </w:rPr>
              <w:t xml:space="preserve"> DEL REGLAMENTO GENERAL PARA LA APLICACIÓN DE LA LEY ORGÁNICA DE TRANSPORTE TERRESTRE</w:t>
            </w:r>
          </w:p>
          <w:p w:rsidR="008907BA" w:rsidRDefault="008907BA" w:rsidP="008F5093">
            <w:pPr>
              <w:spacing w:after="0"/>
              <w:jc w:val="both"/>
              <w:rPr>
                <w:rFonts w:ascii="Arial" w:eastAsia="Times New Roman" w:hAnsi="Arial" w:cs="Arial"/>
                <w:b/>
                <w:color w:val="000080"/>
                <w:sz w:val="20"/>
                <w:szCs w:val="20"/>
                <w:lang w:val="es-ES_tradnl" w:eastAsia="es-ES"/>
              </w:rPr>
            </w:pPr>
          </w:p>
          <w:p w:rsidR="008907BA" w:rsidRPr="00610B20" w:rsidRDefault="008907BA"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E93945">
              <w:rPr>
                <w:rFonts w:ascii="Arial" w:eastAsia="Times New Roman" w:hAnsi="Arial" w:cs="Arial"/>
                <w:color w:val="000080"/>
                <w:sz w:val="20"/>
                <w:szCs w:val="20"/>
                <w:lang w:eastAsia="es-ES"/>
              </w:rPr>
              <w:t>S</w:t>
            </w:r>
            <w:r>
              <w:rPr>
                <w:rFonts w:ascii="Arial" w:eastAsia="Times New Roman" w:hAnsi="Arial" w:cs="Arial"/>
                <w:color w:val="000080"/>
                <w:sz w:val="20"/>
                <w:szCs w:val="20"/>
                <w:lang w:eastAsia="es-ES"/>
              </w:rPr>
              <w:t>entencia de la Corte Constitucional N</w:t>
            </w:r>
            <w:r w:rsidRPr="00E93945">
              <w:rPr>
                <w:rFonts w:ascii="Arial" w:eastAsia="Times New Roman" w:hAnsi="Arial" w:cs="Arial"/>
                <w:color w:val="000080"/>
                <w:sz w:val="20"/>
                <w:szCs w:val="20"/>
                <w:lang w:eastAsia="es-ES"/>
              </w:rPr>
              <w:t>º 015-15-SIN-CC</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629 de 17</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8907BA" w:rsidRDefault="008907BA"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19" w:history="1">
              <w:r w:rsidR="00062459" w:rsidRPr="00F10419">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8907BA" w:rsidRDefault="008907BA" w:rsidP="008F5093">
            <w:pPr>
              <w:spacing w:after="0"/>
              <w:jc w:val="both"/>
              <w:rPr>
                <w:rFonts w:ascii="Arial" w:eastAsia="Times New Roman" w:hAnsi="Arial" w:cs="Arial"/>
                <w:color w:val="000080"/>
                <w:sz w:val="20"/>
                <w:szCs w:val="20"/>
                <w:lang w:eastAsia="es-ES"/>
              </w:rPr>
            </w:pPr>
          </w:p>
          <w:p w:rsidR="008907BA" w:rsidRPr="00E93945"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SENTENCIA</w:t>
            </w:r>
          </w:p>
          <w:p w:rsidR="008907BA" w:rsidRPr="00E93945" w:rsidRDefault="008907BA" w:rsidP="008F5093">
            <w:pPr>
              <w:pStyle w:val="Prrafodelista"/>
              <w:numPr>
                <w:ilvl w:val="2"/>
                <w:numId w:val="13"/>
              </w:numPr>
              <w:spacing w:after="0"/>
              <w:ind w:left="1447" w:hanging="284"/>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Se acepta parcialmente la demanda de acción pública de inconstitucionalidad por el fondo.</w:t>
            </w:r>
          </w:p>
          <w:p w:rsidR="008907BA" w:rsidRPr="00E93945" w:rsidRDefault="008907BA" w:rsidP="008F5093">
            <w:pPr>
              <w:pStyle w:val="Prrafodelista"/>
              <w:numPr>
                <w:ilvl w:val="2"/>
                <w:numId w:val="13"/>
              </w:numPr>
              <w:spacing w:after="0"/>
              <w:ind w:left="1447" w:hanging="284"/>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En atención al principio de conservación del derecho se declaran las siguientes inconstitucionalidades sustitutivas:</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a)</w:t>
            </w:r>
            <w:r w:rsidRPr="00E93945">
              <w:rPr>
                <w:rFonts w:ascii="Arial" w:eastAsia="Times New Roman" w:hAnsi="Arial" w:cs="Arial"/>
                <w:color w:val="000080"/>
                <w:sz w:val="20"/>
                <w:szCs w:val="20"/>
                <w:lang w:eastAsia="es-ES"/>
              </w:rPr>
              <w:tab/>
              <w:t xml:space="preserve">En el artículo 151 del Reglamento General para la aplicación de la Ley Orgánica de Transporte Terrestre, se sustituye la siguiente frase: “…a más de las pruebas médicas, </w:t>
            </w:r>
            <w:proofErr w:type="spellStart"/>
            <w:r w:rsidRPr="00E93945">
              <w:rPr>
                <w:rFonts w:ascii="Arial" w:eastAsia="Times New Roman" w:hAnsi="Arial" w:cs="Arial"/>
                <w:color w:val="000080"/>
                <w:sz w:val="20"/>
                <w:szCs w:val="20"/>
                <w:lang w:eastAsia="es-ES"/>
              </w:rPr>
              <w:t>psicosensométricas</w:t>
            </w:r>
            <w:proofErr w:type="spellEnd"/>
            <w:r w:rsidRPr="00E93945">
              <w:rPr>
                <w:rFonts w:ascii="Arial" w:eastAsia="Times New Roman" w:hAnsi="Arial" w:cs="Arial"/>
                <w:color w:val="000080"/>
                <w:sz w:val="20"/>
                <w:szCs w:val="20"/>
                <w:lang w:eastAsia="es-ES"/>
              </w:rPr>
              <w:t xml:space="preserve"> y teórico-prácticas, a una exhaustiva evaluación médica y psicológica en las cuáles se determinará su idoneidad para conducir”. Por la siguiente: “…deberá aprobar los exámenes médicos, </w:t>
            </w:r>
            <w:proofErr w:type="spellStart"/>
            <w:r w:rsidRPr="00E93945">
              <w:rPr>
                <w:rFonts w:ascii="Arial" w:eastAsia="Times New Roman" w:hAnsi="Arial" w:cs="Arial"/>
                <w:color w:val="000080"/>
                <w:sz w:val="20"/>
                <w:szCs w:val="20"/>
                <w:lang w:eastAsia="es-ES"/>
              </w:rPr>
              <w:t>psicosensométricos</w:t>
            </w:r>
            <w:proofErr w:type="spellEnd"/>
            <w:r w:rsidRPr="00E93945">
              <w:rPr>
                <w:rFonts w:ascii="Arial" w:eastAsia="Times New Roman" w:hAnsi="Arial" w:cs="Arial"/>
                <w:color w:val="000080"/>
                <w:sz w:val="20"/>
                <w:szCs w:val="20"/>
                <w:lang w:eastAsia="es-ES"/>
              </w:rPr>
              <w:t>, teóricos y prácticos, que establece el numeral 2 del artículo 130 de este Reglamento”.</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En consecuencia, el texto definitivo del artículo 151 del Reglamento General para la aplicación de la Ley Orgánica de Transporte Terrestre, será el siguiente:</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1447"/>
              <w:jc w:val="both"/>
              <w:rPr>
                <w:rFonts w:ascii="Arial" w:eastAsia="Times New Roman" w:hAnsi="Arial" w:cs="Arial"/>
                <w:color w:val="000080"/>
                <w:sz w:val="20"/>
                <w:szCs w:val="20"/>
                <w:lang w:eastAsia="es-ES"/>
              </w:rPr>
            </w:pPr>
            <w:r w:rsidRPr="00E93945">
              <w:rPr>
                <w:rFonts w:ascii="Arial" w:eastAsia="Times New Roman" w:hAnsi="Arial" w:cs="Arial"/>
                <w:b/>
                <w:color w:val="000080"/>
                <w:sz w:val="20"/>
                <w:szCs w:val="20"/>
                <w:lang w:eastAsia="es-ES"/>
              </w:rPr>
              <w:t>Art. 151.-</w:t>
            </w:r>
            <w:r w:rsidRPr="00E93945">
              <w:rPr>
                <w:rFonts w:ascii="Arial" w:eastAsia="Times New Roman" w:hAnsi="Arial" w:cs="Arial"/>
                <w:color w:val="000080"/>
                <w:sz w:val="20"/>
                <w:szCs w:val="20"/>
                <w:lang w:eastAsia="es-ES"/>
              </w:rPr>
              <w:t xml:space="preserve"> En el caso de que un ciudadano adulto mayor de 65 años o más, tenga la necesidad de obtener o renovar una licencia de conducir tanto profesional como no profesional, deberá aprobar los exámenes médicos, </w:t>
            </w:r>
            <w:proofErr w:type="spellStart"/>
            <w:r w:rsidRPr="00E93945">
              <w:rPr>
                <w:rFonts w:ascii="Arial" w:eastAsia="Times New Roman" w:hAnsi="Arial" w:cs="Arial"/>
                <w:color w:val="000080"/>
                <w:sz w:val="20"/>
                <w:szCs w:val="20"/>
                <w:lang w:eastAsia="es-ES"/>
              </w:rPr>
              <w:t>psicosensométricos</w:t>
            </w:r>
            <w:proofErr w:type="spellEnd"/>
            <w:r w:rsidRPr="00E93945">
              <w:rPr>
                <w:rFonts w:ascii="Arial" w:eastAsia="Times New Roman" w:hAnsi="Arial" w:cs="Arial"/>
                <w:color w:val="000080"/>
                <w:sz w:val="20"/>
                <w:szCs w:val="20"/>
                <w:lang w:eastAsia="es-ES"/>
              </w:rPr>
              <w:t>, teóricos y prácticos que establece el numeral 2 del artículo 130 de este Reglamento.</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b)</w:t>
            </w:r>
            <w:r w:rsidRPr="00E93945">
              <w:rPr>
                <w:rFonts w:ascii="Arial" w:eastAsia="Times New Roman" w:hAnsi="Arial" w:cs="Arial"/>
                <w:color w:val="000080"/>
                <w:sz w:val="20"/>
                <w:szCs w:val="20"/>
                <w:lang w:eastAsia="es-ES"/>
              </w:rPr>
              <w:tab/>
              <w:t>En el artículo 152 del Reglamento General para la aplicación de la Ley Orgánica de Transporte Terrestre, se sustituye la siguiente frase: “…en concordancia a lo dispuesto en el inciso anterior, deberá someterse a una evaluación médica y psicológica por parte del Consejo Nacional de Discapacidades (CONADIS), en la que se determinará el porcentaje de discapacidad y su idoneidad o no para la obtención de la licencia tipo F”. Por la siguiente: “…una vez que las autoridades sanitarias nacionales competentes califiquen   la   di</w:t>
            </w:r>
            <w:r>
              <w:rPr>
                <w:rFonts w:ascii="Arial" w:eastAsia="Times New Roman" w:hAnsi="Arial" w:cs="Arial"/>
                <w:color w:val="000080"/>
                <w:sz w:val="20"/>
                <w:szCs w:val="20"/>
                <w:lang w:eastAsia="es-ES"/>
              </w:rPr>
              <w:t xml:space="preserve">scapacidad,   las   autoridades </w:t>
            </w:r>
            <w:r w:rsidRPr="00E93945">
              <w:rPr>
                <w:rFonts w:ascii="Arial" w:eastAsia="Times New Roman" w:hAnsi="Arial" w:cs="Arial"/>
                <w:color w:val="000080"/>
                <w:sz w:val="20"/>
                <w:szCs w:val="20"/>
                <w:lang w:eastAsia="es-ES"/>
              </w:rPr>
              <w:t xml:space="preserve">competentes de tránsito, transporte terrestre y seguridad </w:t>
            </w:r>
            <w:r w:rsidRPr="00E93945">
              <w:rPr>
                <w:rFonts w:ascii="Arial" w:eastAsia="Times New Roman" w:hAnsi="Arial" w:cs="Arial"/>
                <w:color w:val="000080"/>
                <w:sz w:val="20"/>
                <w:szCs w:val="20"/>
                <w:lang w:eastAsia="es-ES"/>
              </w:rPr>
              <w:lastRenderedPageBreak/>
              <w:t>vial tomarán el respectivo examen especializado de conducción, contrastando la calificación con la discapacidad de la persona y el vehículo adaptado a su condición, a fin de constatar su capacidad para conducir”.</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En consecuencia, el texto definitivo del artículo 152 del Reglamento General para la aplicación de la Ley Orgánica de Transporte Terrestre será el siguiente:</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1447"/>
              <w:jc w:val="both"/>
              <w:rPr>
                <w:rFonts w:ascii="Arial" w:eastAsia="Times New Roman" w:hAnsi="Arial" w:cs="Arial"/>
                <w:color w:val="000080"/>
                <w:sz w:val="20"/>
                <w:szCs w:val="20"/>
                <w:lang w:eastAsia="es-ES"/>
              </w:rPr>
            </w:pPr>
            <w:r w:rsidRPr="00966691">
              <w:rPr>
                <w:rFonts w:ascii="Arial" w:eastAsia="Times New Roman" w:hAnsi="Arial" w:cs="Arial"/>
                <w:b/>
                <w:color w:val="000080"/>
                <w:sz w:val="20"/>
                <w:szCs w:val="20"/>
                <w:lang w:eastAsia="es-ES"/>
              </w:rPr>
              <w:t>Art. 152.-</w:t>
            </w:r>
            <w:r w:rsidRPr="00E93945">
              <w:rPr>
                <w:rFonts w:ascii="Arial" w:eastAsia="Times New Roman" w:hAnsi="Arial" w:cs="Arial"/>
                <w:color w:val="000080"/>
                <w:sz w:val="20"/>
                <w:szCs w:val="20"/>
                <w:lang w:eastAsia="es-ES"/>
              </w:rPr>
              <w:t xml:space="preserve"> En caso de que un ciudadano posea algún tipo de discapacidad que requiera de la obtención de una licencia de conducir tipo F, una vez</w:t>
            </w:r>
            <w:r>
              <w:rPr>
                <w:rFonts w:ascii="Arial" w:eastAsia="Times New Roman" w:hAnsi="Arial" w:cs="Arial"/>
                <w:color w:val="000080"/>
                <w:sz w:val="20"/>
                <w:szCs w:val="20"/>
                <w:lang w:eastAsia="es-ES"/>
              </w:rPr>
              <w:t xml:space="preserve"> que las autoridades sanitarias nacionales competentes </w:t>
            </w:r>
            <w:r w:rsidRPr="00E93945">
              <w:rPr>
                <w:rFonts w:ascii="Arial" w:eastAsia="Times New Roman" w:hAnsi="Arial" w:cs="Arial"/>
                <w:color w:val="000080"/>
                <w:sz w:val="20"/>
                <w:szCs w:val="20"/>
                <w:lang w:eastAsia="es-ES"/>
              </w:rPr>
              <w:t>califiquen la discapacidad, las autoridades competentes de tránsito, transporte terrestre y seguridad vial tomarán el respectivo examen especializado de conducción, contrastando la calificación con la discapacidad de la persona y el vehículo adaptado a su condición, a fin de constatar su capacidad para conducir.</w:t>
            </w:r>
          </w:p>
          <w:p w:rsidR="008907BA" w:rsidRPr="00E93945" w:rsidRDefault="008907BA" w:rsidP="008F5093">
            <w:pPr>
              <w:spacing w:after="0"/>
              <w:ind w:left="738"/>
              <w:jc w:val="both"/>
              <w:rPr>
                <w:rFonts w:ascii="Arial" w:eastAsia="Times New Roman" w:hAnsi="Arial" w:cs="Arial"/>
                <w:color w:val="000080"/>
                <w:sz w:val="20"/>
                <w:szCs w:val="20"/>
                <w:lang w:eastAsia="es-ES"/>
              </w:rPr>
            </w:pPr>
          </w:p>
          <w:p w:rsidR="008907BA" w:rsidRDefault="008907BA" w:rsidP="008F5093">
            <w:pPr>
              <w:spacing w:after="0"/>
              <w:ind w:left="738"/>
              <w:jc w:val="both"/>
              <w:rPr>
                <w:rFonts w:ascii="Arial" w:eastAsia="Times New Roman" w:hAnsi="Arial" w:cs="Arial"/>
                <w:color w:val="000080"/>
                <w:sz w:val="20"/>
                <w:szCs w:val="20"/>
                <w:lang w:eastAsia="es-ES"/>
              </w:rPr>
            </w:pPr>
            <w:r w:rsidRPr="00E93945">
              <w:rPr>
                <w:rFonts w:ascii="Arial" w:eastAsia="Times New Roman" w:hAnsi="Arial" w:cs="Arial"/>
                <w:color w:val="000080"/>
                <w:sz w:val="20"/>
                <w:szCs w:val="20"/>
                <w:lang w:eastAsia="es-ES"/>
              </w:rPr>
              <w:t>3.   Notifíquese, publíquese y cúmplase.</w:t>
            </w:r>
          </w:p>
          <w:p w:rsidR="008907BA" w:rsidRPr="00610B20" w:rsidRDefault="008907BA" w:rsidP="008F5093">
            <w:pPr>
              <w:spacing w:after="0"/>
              <w:jc w:val="both"/>
              <w:rPr>
                <w:rFonts w:ascii="Times New Roman" w:eastAsia="Times New Roman" w:hAnsi="Times New Roman" w:cs="Times New Roman"/>
                <w:sz w:val="24"/>
                <w:szCs w:val="24"/>
                <w:lang w:eastAsia="es-ES"/>
              </w:rPr>
            </w:pPr>
          </w:p>
        </w:tc>
      </w:tr>
    </w:tbl>
    <w:p w:rsidR="008907BA" w:rsidRDefault="008907BA" w:rsidP="003878ED">
      <w:pPr>
        <w:jc w:val="both"/>
      </w:pPr>
    </w:p>
    <w:p w:rsidR="00CA3175" w:rsidRDefault="00CA3175" w:rsidP="003878ED">
      <w:pPr>
        <w:jc w:val="both"/>
      </w:pPr>
    </w:p>
    <w:p w:rsidR="00CA3175" w:rsidRDefault="00CA3175" w:rsidP="003878ED">
      <w:pPr>
        <w:jc w:val="both"/>
      </w:pPr>
      <w:r w:rsidRPr="00A50F78">
        <w:rPr>
          <w:noProof/>
          <w:lang w:eastAsia="es-EC"/>
        </w:rPr>
        <mc:AlternateContent>
          <mc:Choice Requires="wps">
            <w:drawing>
              <wp:anchor distT="0" distB="0" distL="114300" distR="114300" simplePos="0" relativeHeight="251672576" behindDoc="0" locked="0" layoutInCell="1" allowOverlap="1" wp14:anchorId="28B0D815" wp14:editId="235E76A5">
                <wp:simplePos x="0" y="0"/>
                <wp:positionH relativeFrom="margin">
                  <wp:posOffset>0</wp:posOffset>
                </wp:positionH>
                <wp:positionV relativeFrom="paragraph">
                  <wp:posOffset>-635</wp:posOffset>
                </wp:positionV>
                <wp:extent cx="1695450" cy="228600"/>
                <wp:effectExtent l="0" t="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28600"/>
                        </a:xfrm>
                        <a:prstGeom prst="rect">
                          <a:avLst/>
                        </a:prstGeom>
                        <a:solidFill>
                          <a:srgbClr val="000080"/>
                        </a:solidFill>
                        <a:ln w="9525">
                          <a:solidFill>
                            <a:srgbClr val="000080"/>
                          </a:solidFill>
                          <a:miter lim="800000"/>
                          <a:headEnd/>
                          <a:tailEnd/>
                        </a:ln>
                      </wps:spPr>
                      <wps:txbx>
                        <w:txbxContent>
                          <w:p w:rsidR="00062459" w:rsidRPr="00567E83" w:rsidRDefault="00062459" w:rsidP="00CA3175">
                            <w:pPr>
                              <w:jc w:val="both"/>
                              <w:rPr>
                                <w:rFonts w:ascii="Arial" w:hAnsi="Arial" w:cs="Arial"/>
                                <w:b/>
                                <w:color w:val="FFFFFF"/>
                                <w:sz w:val="20"/>
                                <w:szCs w:val="20"/>
                              </w:rPr>
                            </w:pPr>
                            <w:r>
                              <w:rPr>
                                <w:rFonts w:ascii="Arial" w:hAnsi="Arial" w:cs="Arial"/>
                                <w:b/>
                                <w:color w:val="FFFFFF"/>
                                <w:sz w:val="20"/>
                                <w:szCs w:val="20"/>
                              </w:rPr>
                              <w:t>Viernes 20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5B61EF" id="Cuadro de texto 7" o:spid="_x0000_s1032" type="#_x0000_t202" style="position:absolute;left:0;text-align:left;margin-left:0;margin-top:-.05pt;width:133.5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" fillcolor="navy" strokecolor="navy">
                <v:textbox>
                  <w:txbxContent>
                    <w:p w:rsidR="008F5093" w:rsidRPr="00567E83" w:rsidRDefault="008F5093" w:rsidP="00CA3175">
                      <w:pPr>
                        <w:jc w:val="both"/>
                        <w:rPr>
                          <w:rFonts w:ascii="Arial" w:hAnsi="Arial" w:cs="Arial"/>
                          <w:b/>
                          <w:color w:val="FFFFFF"/>
                          <w:sz w:val="20"/>
                          <w:szCs w:val="20"/>
                        </w:rPr>
                      </w:pPr>
                      <w:r>
                        <w:rPr>
                          <w:rFonts w:ascii="Arial" w:hAnsi="Arial" w:cs="Arial"/>
                          <w:b/>
                          <w:color w:val="FFFFFF"/>
                          <w:sz w:val="20"/>
                          <w:szCs w:val="20"/>
                        </w:rPr>
                        <w:t>Viernes 20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A3175" w:rsidRPr="00610B20" w:rsidTr="008F5093">
        <w:trPr>
          <w:trHeight w:val="1380"/>
        </w:trPr>
        <w:tc>
          <w:tcPr>
            <w:tcW w:w="9257" w:type="dxa"/>
            <w:shd w:val="clear" w:color="auto" w:fill="E6F1DF"/>
          </w:tcPr>
          <w:p w:rsidR="00CA3175" w:rsidRPr="00610B20" w:rsidRDefault="00CA3175" w:rsidP="008F5093">
            <w:pPr>
              <w:spacing w:after="0"/>
              <w:jc w:val="left"/>
              <w:rPr>
                <w:rFonts w:ascii="Times New Roman" w:eastAsia="Times New Roman" w:hAnsi="Times New Roman" w:cs="Times New Roman"/>
                <w:sz w:val="24"/>
                <w:szCs w:val="24"/>
                <w:lang w:eastAsia="es-ES"/>
              </w:rPr>
            </w:pPr>
          </w:p>
          <w:p w:rsidR="00CA3175" w:rsidRDefault="00CA3175"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 DE CONSULTAS ABSUELTAS POR LA PGE</w:t>
            </w:r>
          </w:p>
          <w:p w:rsidR="00CA3175" w:rsidRPr="00610B20" w:rsidRDefault="00CA3175"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Septiembre del 2015</w:t>
            </w:r>
          </w:p>
          <w:p w:rsidR="00CA3175" w:rsidRPr="00610B20" w:rsidRDefault="00CA3175" w:rsidP="008F5093">
            <w:pPr>
              <w:spacing w:after="0"/>
              <w:rPr>
                <w:rFonts w:ascii="Arial" w:eastAsia="Times New Roman" w:hAnsi="Arial" w:cs="Arial"/>
                <w:b/>
                <w:color w:val="000080"/>
                <w:sz w:val="20"/>
                <w:szCs w:val="20"/>
                <w:lang w:eastAsia="es-ES"/>
              </w:rPr>
            </w:pPr>
          </w:p>
          <w:p w:rsidR="00CA3175" w:rsidRPr="00610B20" w:rsidRDefault="00CA3175" w:rsidP="00CA3175">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PGE s/n</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632 de 20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CA3175" w:rsidRDefault="00CA3175"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20" w:history="1">
              <w:r w:rsidR="00062459" w:rsidRPr="00F10419">
                <w:rPr>
                  <w:rStyle w:val="Hipervnculo"/>
                  <w:rFonts w:ascii="Arial" w:eastAsia="Times New Roman" w:hAnsi="Arial" w:cs="Arial"/>
                  <w:b/>
                  <w:sz w:val="20"/>
                  <w:szCs w:val="20"/>
                  <w:lang w:eastAsia="es-ES"/>
                </w:rPr>
                <w:t>Ver pronunciamiento</w:t>
              </w:r>
            </w:hyperlink>
          </w:p>
          <w:p w:rsidR="00062459" w:rsidRDefault="00062459" w:rsidP="008F5093">
            <w:pPr>
              <w:spacing w:after="0"/>
              <w:jc w:val="both"/>
              <w:rPr>
                <w:rFonts w:ascii="Arial" w:eastAsia="Times New Roman" w:hAnsi="Arial" w:cs="Arial"/>
                <w:color w:val="000080"/>
                <w:sz w:val="20"/>
                <w:szCs w:val="20"/>
                <w:lang w:eastAsia="es-ES"/>
              </w:rPr>
            </w:pPr>
          </w:p>
          <w:p w:rsidR="00CA3175" w:rsidRPr="00610B20" w:rsidRDefault="00CA3175" w:rsidP="008F5093">
            <w:pPr>
              <w:spacing w:after="0"/>
              <w:ind w:left="738"/>
              <w:jc w:val="both"/>
              <w:rPr>
                <w:rFonts w:ascii="Arial" w:eastAsia="Times New Roman" w:hAnsi="Arial" w:cs="Arial"/>
                <w:b/>
                <w:color w:val="000080"/>
                <w:sz w:val="20"/>
                <w:szCs w:val="20"/>
                <w:lang w:eastAsia="es-ES"/>
              </w:rPr>
            </w:pPr>
          </w:p>
        </w:tc>
      </w:tr>
      <w:tr w:rsidR="00CA3175" w:rsidRPr="00610B20" w:rsidTr="008F5093">
        <w:trPr>
          <w:trHeight w:val="1380"/>
        </w:trPr>
        <w:tc>
          <w:tcPr>
            <w:tcW w:w="9257" w:type="dxa"/>
            <w:shd w:val="clear" w:color="auto" w:fill="DDFFFF"/>
          </w:tcPr>
          <w:p w:rsidR="00CA3175" w:rsidRPr="00610B20" w:rsidRDefault="00CA3175" w:rsidP="008F5093">
            <w:pPr>
              <w:spacing w:after="0"/>
              <w:jc w:val="left"/>
              <w:rPr>
                <w:rFonts w:ascii="Times New Roman" w:eastAsia="Times New Roman" w:hAnsi="Times New Roman" w:cs="Times New Roman"/>
                <w:sz w:val="24"/>
                <w:szCs w:val="24"/>
                <w:lang w:eastAsia="es-ES"/>
              </w:rPr>
            </w:pPr>
          </w:p>
          <w:p w:rsidR="00CA3175" w:rsidRDefault="00CA3175" w:rsidP="00CA3175">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 DE CONSULTAS ABSUELTAS POR LA PGE</w:t>
            </w:r>
          </w:p>
          <w:p w:rsidR="00CA3175" w:rsidRPr="00610B20" w:rsidRDefault="00CA3175" w:rsidP="00CA3175">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Octubre del 2015</w:t>
            </w:r>
          </w:p>
          <w:p w:rsidR="00CA3175" w:rsidRPr="00610B20" w:rsidRDefault="00CA3175" w:rsidP="008F5093">
            <w:pPr>
              <w:spacing w:after="0"/>
              <w:rPr>
                <w:rFonts w:ascii="Arial" w:eastAsia="Times New Roman" w:hAnsi="Arial" w:cs="Arial"/>
                <w:b/>
                <w:color w:val="000080"/>
                <w:sz w:val="20"/>
                <w:szCs w:val="20"/>
                <w:lang w:val="es-ES_tradnl" w:eastAsia="es-ES"/>
              </w:rPr>
            </w:pPr>
          </w:p>
          <w:p w:rsidR="00CA3175" w:rsidRPr="00610B20" w:rsidRDefault="00CA3175" w:rsidP="00CA3175">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PGE s/n</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632 de 20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CA3175" w:rsidRDefault="00CA3175"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F10419" w:rsidP="00062459">
            <w:pPr>
              <w:spacing w:after="0"/>
              <w:jc w:val="both"/>
              <w:rPr>
                <w:rFonts w:ascii="Arial" w:eastAsia="Times New Roman" w:hAnsi="Arial" w:cs="Arial"/>
                <w:b/>
                <w:color w:val="000080"/>
                <w:sz w:val="20"/>
                <w:szCs w:val="20"/>
                <w:lang w:eastAsia="es-ES"/>
              </w:rPr>
            </w:pPr>
            <w:hyperlink r:id="rId21" w:history="1">
              <w:r w:rsidR="00062459" w:rsidRPr="00F10419">
                <w:rPr>
                  <w:rStyle w:val="Hipervnculo"/>
                  <w:rFonts w:ascii="Arial" w:eastAsia="Times New Roman" w:hAnsi="Arial" w:cs="Arial"/>
                  <w:b/>
                  <w:sz w:val="20"/>
                  <w:szCs w:val="20"/>
                  <w:lang w:eastAsia="es-ES"/>
                </w:rPr>
                <w:t>Ver pronunciamiento</w:t>
              </w:r>
            </w:hyperlink>
          </w:p>
          <w:p w:rsidR="00062459" w:rsidRDefault="00062459" w:rsidP="008F5093">
            <w:pPr>
              <w:spacing w:after="0"/>
              <w:jc w:val="both"/>
              <w:rPr>
                <w:rFonts w:ascii="Arial" w:eastAsia="Times New Roman" w:hAnsi="Arial" w:cs="Arial"/>
                <w:color w:val="000080"/>
                <w:sz w:val="20"/>
                <w:szCs w:val="20"/>
                <w:lang w:eastAsia="es-ES"/>
              </w:rPr>
            </w:pPr>
          </w:p>
          <w:p w:rsidR="00CA3175" w:rsidRPr="00610B20" w:rsidRDefault="00CA3175" w:rsidP="008F5093">
            <w:pPr>
              <w:spacing w:after="0"/>
              <w:jc w:val="both"/>
              <w:rPr>
                <w:rFonts w:ascii="Times New Roman" w:eastAsia="Times New Roman" w:hAnsi="Times New Roman" w:cs="Times New Roman"/>
                <w:sz w:val="24"/>
                <w:szCs w:val="24"/>
                <w:lang w:eastAsia="es-ES"/>
              </w:rPr>
            </w:pPr>
          </w:p>
        </w:tc>
      </w:tr>
    </w:tbl>
    <w:p w:rsidR="003878ED" w:rsidRDefault="00C96112" w:rsidP="003878ED">
      <w:pPr>
        <w:jc w:val="both"/>
      </w:pPr>
      <w:r w:rsidRPr="00A50F78">
        <w:rPr>
          <w:noProof/>
          <w:lang w:eastAsia="es-EC"/>
        </w:rPr>
        <mc:AlternateContent>
          <mc:Choice Requires="wps">
            <w:drawing>
              <wp:anchor distT="0" distB="0" distL="114300" distR="114300" simplePos="0" relativeHeight="251674624" behindDoc="0" locked="0" layoutInCell="1" allowOverlap="1" wp14:anchorId="5265B4C7" wp14:editId="22D512C2">
                <wp:simplePos x="0" y="0"/>
                <wp:positionH relativeFrom="margin">
                  <wp:posOffset>-635</wp:posOffset>
                </wp:positionH>
                <wp:positionV relativeFrom="paragraph">
                  <wp:posOffset>24130</wp:posOffset>
                </wp:positionV>
                <wp:extent cx="1803400" cy="228600"/>
                <wp:effectExtent l="0" t="0" r="2540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28600"/>
                        </a:xfrm>
                        <a:prstGeom prst="rect">
                          <a:avLst/>
                        </a:prstGeom>
                        <a:solidFill>
                          <a:srgbClr val="000080"/>
                        </a:solidFill>
                        <a:ln w="9525">
                          <a:solidFill>
                            <a:srgbClr val="000080"/>
                          </a:solidFill>
                          <a:miter lim="800000"/>
                          <a:headEnd/>
                          <a:tailEnd/>
                        </a:ln>
                      </wps:spPr>
                      <wps:txbx>
                        <w:txbxContent>
                          <w:p w:rsidR="00062459" w:rsidRPr="00567E83" w:rsidRDefault="00062459" w:rsidP="00C96112">
                            <w:pPr>
                              <w:jc w:val="both"/>
                              <w:rPr>
                                <w:rFonts w:ascii="Arial" w:hAnsi="Arial" w:cs="Arial"/>
                                <w:b/>
                                <w:color w:val="FFFFFF"/>
                                <w:sz w:val="20"/>
                                <w:szCs w:val="20"/>
                              </w:rPr>
                            </w:pPr>
                            <w:r>
                              <w:rPr>
                                <w:rFonts w:ascii="Arial" w:hAnsi="Arial" w:cs="Arial"/>
                                <w:b/>
                                <w:color w:val="FFFFFF"/>
                                <w:sz w:val="20"/>
                                <w:szCs w:val="20"/>
                              </w:rPr>
                              <w:t>Miércoles 25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BD50D" id="Cuadro de texto 8" o:spid="_x0000_s1033" type="#_x0000_t202" style="position:absolute;left:0;text-align:left;margin-left:-.05pt;margin-top:1.9pt;width:142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" fillcolor="navy" strokecolor="navy">
                <v:textbox>
                  <w:txbxContent>
                    <w:p w:rsidR="008F5093" w:rsidRPr="00567E83" w:rsidRDefault="008F5093" w:rsidP="00C96112">
                      <w:pPr>
                        <w:jc w:val="both"/>
                        <w:rPr>
                          <w:rFonts w:ascii="Arial" w:hAnsi="Arial" w:cs="Arial"/>
                          <w:b/>
                          <w:color w:val="FFFFFF"/>
                          <w:sz w:val="20"/>
                          <w:szCs w:val="20"/>
                        </w:rPr>
                      </w:pPr>
                      <w:r>
                        <w:rPr>
                          <w:rFonts w:ascii="Arial" w:hAnsi="Arial" w:cs="Arial"/>
                          <w:b/>
                          <w:color w:val="FFFFFF"/>
                          <w:sz w:val="20"/>
                          <w:szCs w:val="20"/>
                        </w:rPr>
                        <w:t>Miércoles 25 de 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96112" w:rsidRPr="00610B20" w:rsidTr="00700DC3">
        <w:trPr>
          <w:trHeight w:val="841"/>
        </w:trPr>
        <w:tc>
          <w:tcPr>
            <w:tcW w:w="9257" w:type="dxa"/>
            <w:shd w:val="clear" w:color="auto" w:fill="E6F1DF"/>
          </w:tcPr>
          <w:p w:rsidR="00C96112" w:rsidRPr="00610B20" w:rsidRDefault="00C96112" w:rsidP="008F5093">
            <w:pPr>
              <w:spacing w:after="0"/>
              <w:jc w:val="left"/>
              <w:rPr>
                <w:rFonts w:ascii="Times New Roman" w:eastAsia="Times New Roman" w:hAnsi="Times New Roman" w:cs="Times New Roman"/>
                <w:sz w:val="24"/>
                <w:szCs w:val="24"/>
                <w:lang w:eastAsia="es-ES"/>
              </w:rPr>
            </w:pPr>
          </w:p>
          <w:p w:rsidR="008F5093" w:rsidRPr="008F5093" w:rsidRDefault="008F5093" w:rsidP="008F5093">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CREA</w:t>
            </w:r>
            <w:r w:rsidRPr="008F5093">
              <w:rPr>
                <w:rFonts w:ascii="Arial" w:eastAsia="Times New Roman" w:hAnsi="Arial" w:cs="Arial"/>
                <w:b/>
                <w:color w:val="000080"/>
                <w:sz w:val="20"/>
                <w:szCs w:val="20"/>
                <w:lang w:val="es-ES_tradnl" w:eastAsia="es-ES"/>
              </w:rPr>
              <w:t xml:space="preserve"> EL SERVICIO PÚBLICO PARA PAGO DE ACCIDENTES</w:t>
            </w:r>
          </w:p>
          <w:p w:rsidR="00C96112" w:rsidRDefault="008F5093" w:rsidP="008F5093">
            <w:pPr>
              <w:spacing w:after="0"/>
              <w:rPr>
                <w:rFonts w:ascii="Arial" w:eastAsia="Times New Roman" w:hAnsi="Arial" w:cs="Arial"/>
                <w:b/>
                <w:color w:val="000080"/>
                <w:sz w:val="20"/>
                <w:szCs w:val="20"/>
                <w:lang w:val="es-ES_tradnl" w:eastAsia="es-ES"/>
              </w:rPr>
            </w:pPr>
            <w:r w:rsidRPr="008F5093">
              <w:rPr>
                <w:rFonts w:ascii="Arial" w:eastAsia="Times New Roman" w:hAnsi="Arial" w:cs="Arial"/>
                <w:b/>
                <w:color w:val="000080"/>
                <w:sz w:val="20"/>
                <w:szCs w:val="20"/>
                <w:lang w:val="es-ES_tradnl" w:eastAsia="es-ES"/>
              </w:rPr>
              <w:t>DE TRÁNSITO, SPPAT</w:t>
            </w:r>
          </w:p>
          <w:p w:rsidR="008F5093" w:rsidRPr="00610B20" w:rsidRDefault="008F5093" w:rsidP="008F5093">
            <w:pPr>
              <w:spacing w:after="0"/>
              <w:rPr>
                <w:rFonts w:ascii="Arial" w:eastAsia="Times New Roman" w:hAnsi="Arial" w:cs="Arial"/>
                <w:b/>
                <w:color w:val="000080"/>
                <w:sz w:val="20"/>
                <w:szCs w:val="20"/>
                <w:lang w:eastAsia="es-ES"/>
              </w:rPr>
            </w:pPr>
          </w:p>
          <w:p w:rsidR="00C96112" w:rsidRPr="00610B20"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8F5093">
              <w:rPr>
                <w:rFonts w:ascii="Arial" w:eastAsia="Times New Roman" w:hAnsi="Arial" w:cs="Arial"/>
                <w:color w:val="000080"/>
                <w:sz w:val="20"/>
                <w:szCs w:val="20"/>
                <w:lang w:eastAsia="es-ES"/>
              </w:rPr>
              <w:t>Decreto Ejecutivo 805, publicado</w:t>
            </w:r>
            <w:r w:rsidRPr="00610B20">
              <w:rPr>
                <w:rFonts w:ascii="Arial" w:eastAsia="Times New Roman" w:hAnsi="Arial" w:cs="Arial"/>
                <w:color w:val="000080"/>
                <w:sz w:val="20"/>
                <w:szCs w:val="20"/>
                <w:lang w:eastAsia="es-ES"/>
              </w:rPr>
              <w:t xml:space="preserve"> en el Registro Oficial </w:t>
            </w:r>
            <w:r w:rsidR="008F5093">
              <w:rPr>
                <w:rFonts w:ascii="Arial" w:eastAsia="Times New Roman" w:hAnsi="Arial" w:cs="Arial"/>
                <w:color w:val="000080"/>
                <w:sz w:val="20"/>
                <w:szCs w:val="20"/>
                <w:lang w:eastAsia="es-ES"/>
              </w:rPr>
              <w:t>635 de 25</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C96112"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977067" w:rsidP="00062459">
            <w:pPr>
              <w:spacing w:after="0"/>
              <w:jc w:val="both"/>
              <w:rPr>
                <w:rFonts w:ascii="Arial" w:eastAsia="Times New Roman" w:hAnsi="Arial" w:cs="Arial"/>
                <w:b/>
                <w:color w:val="000080"/>
                <w:sz w:val="20"/>
                <w:szCs w:val="20"/>
                <w:lang w:eastAsia="es-ES"/>
              </w:rPr>
            </w:pPr>
            <w:hyperlink r:id="rId22" w:history="1">
              <w:r w:rsidR="00062459" w:rsidRPr="00977067">
                <w:rPr>
                  <w:rStyle w:val="Hipervnculo"/>
                  <w:rFonts w:ascii="Arial" w:eastAsia="Times New Roman" w:hAnsi="Arial" w:cs="Arial"/>
                  <w:b/>
                  <w:sz w:val="20"/>
                  <w:szCs w:val="20"/>
                  <w:lang w:eastAsia="es-ES"/>
                </w:rPr>
                <w:t>Ver vigencia</w:t>
              </w:r>
            </w:hyperlink>
          </w:p>
          <w:p w:rsidR="008F5093" w:rsidRDefault="008F5093" w:rsidP="008F5093">
            <w:pPr>
              <w:spacing w:after="0"/>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1.- Créase el Servicio Público para Pago de Accidentes de Tránsito, SPPAT, orientado a garantizar la protección de las personas que se trasladan de un lugar a otro a través de la red vial del Ecuador por parte del Sistema Público para Pago de Accidentes de Tránsito, servicio que estará adscrito al Ministerio de Transporte y Obras Públicas.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P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 xml:space="preserve">Artículo 2.- El Directorio del Servicio Público para Pago de Accidentes de Tránsito estará </w:t>
            </w:r>
            <w:r w:rsidRPr="00700DC3">
              <w:rPr>
                <w:rFonts w:ascii="Arial" w:eastAsia="Times New Roman" w:hAnsi="Arial" w:cs="Arial"/>
                <w:color w:val="000080"/>
                <w:sz w:val="20"/>
                <w:szCs w:val="20"/>
                <w:lang w:eastAsia="es-ES"/>
              </w:rPr>
              <w:lastRenderedPageBreak/>
              <w:t>conformado por:</w:t>
            </w:r>
          </w:p>
          <w:p w:rsidR="00700DC3" w:rsidRPr="00700DC3" w:rsidRDefault="00700DC3" w:rsidP="00700DC3">
            <w:pPr>
              <w:pStyle w:val="Prrafodelista"/>
              <w:numPr>
                <w:ilvl w:val="0"/>
                <w:numId w:val="14"/>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Ministro de Transporte y Obras Públicas, quien lo presidirá;</w:t>
            </w:r>
          </w:p>
          <w:p w:rsidR="00700DC3" w:rsidRPr="00700DC3" w:rsidRDefault="00700DC3" w:rsidP="00700DC3">
            <w:pPr>
              <w:pStyle w:val="Prrafodelista"/>
              <w:numPr>
                <w:ilvl w:val="0"/>
                <w:numId w:val="14"/>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Director de la Agencia Nacional de Regulación y Control del Transporte Terrestre, Tránsito y Seguridad Vial; y,</w:t>
            </w:r>
          </w:p>
          <w:p w:rsidR="00700DC3" w:rsidRPr="00700DC3" w:rsidRDefault="00700DC3" w:rsidP="00700DC3">
            <w:pPr>
              <w:pStyle w:val="Prrafodelista"/>
              <w:numPr>
                <w:ilvl w:val="0"/>
                <w:numId w:val="14"/>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Un delegado permanente del Ministro de Salud.</w:t>
            </w:r>
          </w:p>
          <w:p w:rsid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3.- Para el cumplimiento de sus fines, el Servicio Público para Pago de Accidentes de Tránsito, contará con un Director Ejecutivo, de libre nombramiento y remoción, quien será designado por el Ministro de Transporte y Obras Públicas.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Director Ejecutivo ejercerá la representación judicial y extrajudicial del Servicio y ejercerá sus funciones por un periodo de 2 años, pudiendo ser reelegido.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4.- Para poder circular en el territorio nacional, todo propietario de un vehículo automotor, sin restricción de ninguna naturaleza y de ser el caso remolques o acoplados, deberá cancelar anualmente la tasa que, por el servicio que se preste a través del Servicio Público para Pago de Accidentes de Tránsito, establezca el Directorio de la entidad.</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Los vehículos automotores matriculados en otros países y de paso por el territorio nacional estarán sujetos a las disposiciones que para el efecto establezca el Servicio Público para Pago de Accidentes de Tránsito.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Los automotores pertenecientes a misiones diplomáticas, consulares y organismos internacionales que se encuentren dentro del territorio del estado ecuatoriano al amparo de convenios internacionales vigentes, se sujetarán a las normas previstas en aquellos bajo el principio de reciprocidad.</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P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Servicio Público para Pago de Accidentes de Tránsito cubrirá además el transporte a través de ferrocarriles y/o auto carriles en las vías férreas.</w:t>
            </w:r>
          </w:p>
          <w:p w:rsidR="00700DC3" w:rsidRP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 xml:space="preserve"> </w:t>
            </w: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La vigencia de la cobertura de prestaciones otorgada por el Servicio Público para Pago de Accidentes de Tránsito será de un año.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5.- El Sistema Público para Pago de Accidentes de Tránsito ampara a cualquier persona, sea esta conductor, pasajero o peatón, que sufra lesiones corporales, funcionales u orgánicas, o que falleciere o quedare discapacitada a causa de o como consecuencia de un accidente de tránsito.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Los desembolsos por prestaciones referentes a daños corporales, funcionales u orgánicos, incluida la muerte o discapacidad, producidos como consecuencia de los accidentes de tránsito, haya sido o no pagada la tasa por parte del propietario del vehículo o si se desconociere al causante del accidente, se sujetarán a las siguientes condiciones: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Pr="00700DC3" w:rsidRDefault="00700DC3" w:rsidP="00700DC3">
            <w:pPr>
              <w:pStyle w:val="Prrafodelista"/>
              <w:numPr>
                <w:ilvl w:val="0"/>
                <w:numId w:val="15"/>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Al pago, por cada persona, por muerte sobrevenida dentro de los doce meses siguientes al accidente y a consecuencia del mismo;</w:t>
            </w:r>
          </w:p>
          <w:p w:rsidR="00700DC3" w:rsidRPr="00700DC3" w:rsidRDefault="00700DC3" w:rsidP="00700DC3">
            <w:pPr>
              <w:pStyle w:val="Prrafodelista"/>
              <w:numPr>
                <w:ilvl w:val="0"/>
                <w:numId w:val="15"/>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Al pago, por discapacidad permanente, total o parcial, sobrevenida dentro de los doce meses siguientes al accidente, conforme al daño comprobado y la incapacidad establecida en la tabla emitida por la autoridad competente;</w:t>
            </w:r>
          </w:p>
          <w:p w:rsidR="00700DC3" w:rsidRPr="00700DC3" w:rsidRDefault="00700DC3" w:rsidP="00700DC3">
            <w:pPr>
              <w:pStyle w:val="Prrafodelista"/>
              <w:numPr>
                <w:ilvl w:val="0"/>
                <w:numId w:val="15"/>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Al pago, por persona, por gastos médicos;</w:t>
            </w:r>
          </w:p>
          <w:p w:rsidR="00700DC3" w:rsidRPr="00700DC3" w:rsidRDefault="00700DC3" w:rsidP="00700DC3">
            <w:pPr>
              <w:pStyle w:val="Prrafodelista"/>
              <w:numPr>
                <w:ilvl w:val="0"/>
                <w:numId w:val="15"/>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Al pago, por persona, por gastos funerarios; y,</w:t>
            </w:r>
          </w:p>
          <w:p w:rsidR="00700DC3" w:rsidRPr="00700DC3" w:rsidRDefault="00700DC3" w:rsidP="00700DC3">
            <w:pPr>
              <w:pStyle w:val="Prrafodelista"/>
              <w:numPr>
                <w:ilvl w:val="0"/>
                <w:numId w:val="15"/>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Al pago, por persona, de gastos de transporte y movilización de los heridos.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servicio público para pago de accidentes de tránsito no tiene límites en cuanto al número de víctimas afectadas en un mismo accidente de tránsito.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Para el pago de protecciones por gastos médicos y movilización de víctimas, el Servicio Público para Pago de Accidentes de Tránsito se sujetará al tarifario de prestaciones de salud aprobado por el Ministerio de Salud Pública.</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 xml:space="preserve">El Directorio del Servicio Público para Pago de Accidentes de Tránsito expedirá las </w:t>
            </w:r>
            <w:r w:rsidRPr="00700DC3">
              <w:rPr>
                <w:rFonts w:ascii="Arial" w:eastAsia="Times New Roman" w:hAnsi="Arial" w:cs="Arial"/>
                <w:color w:val="000080"/>
                <w:sz w:val="20"/>
                <w:szCs w:val="20"/>
                <w:lang w:eastAsia="es-ES"/>
              </w:rPr>
              <w:lastRenderedPageBreak/>
              <w:t>correspondientes normas técnicas, con respecto al monto de la tasa a ser cancelada por los propietarios de vehículos al momento de la matriculación; así como establecerá los montos de las protecciones antes indicadas.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De ser pertinente, las tasas serán revisadas cada año y modificadas en los casos que amerite, en función del análisis del costo del servicio, las variables económicas que se produzcan en el país y, las normas técnicas establecidas por el Directorio del Servicio Público para Pago de Accidentes de Tránsito.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6.- El Servicio Público para Pago de Accidentes de Tránsito tendrá derecho a:</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Pr="00700DC3" w:rsidRDefault="00700DC3" w:rsidP="00700DC3">
            <w:pPr>
              <w:pStyle w:val="Prrafodelista"/>
              <w:numPr>
                <w:ilvl w:val="0"/>
                <w:numId w:val="16"/>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Repetir contra el responsable causante del accidente de tránsito y/o propietario del vehículo o beneficiarios por la cantidad que se haya pagado como prestación por parte del Servicio Público para Pago de Accidentes de Tránsito;</w:t>
            </w:r>
          </w:p>
          <w:p w:rsidR="00700DC3" w:rsidRPr="00700DC3" w:rsidRDefault="00700DC3" w:rsidP="00700DC3">
            <w:pPr>
              <w:pStyle w:val="Prrafodelista"/>
              <w:numPr>
                <w:ilvl w:val="0"/>
                <w:numId w:val="16"/>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Examinar a la víctima, por intermedio de un profesional que al efecto se designe, pudiendo adoptar todas las medidas tendientes a la mejor y más completa investigación de aquellos puntos que estime necesarios para establecer el origen, naturaleza y gravedad de las lesiones, así como la muerte en caso de haberla;</w:t>
            </w:r>
          </w:p>
          <w:p w:rsidR="00700DC3" w:rsidRPr="00700DC3" w:rsidRDefault="00700DC3" w:rsidP="00700DC3">
            <w:pPr>
              <w:pStyle w:val="Prrafodelista"/>
              <w:numPr>
                <w:ilvl w:val="0"/>
                <w:numId w:val="16"/>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 verificar los documentos que sean necesarios para justificar la procedencia del pago de la prestación, así como a solicitar toda clase de declaraciones, antecedentes, consultas y exámenes que se estimen pertinentes, tanto al damnificado como al profesional o a la institución que atendieron al paciente;</w:t>
            </w:r>
          </w:p>
          <w:p w:rsidR="00700DC3" w:rsidRPr="00700DC3" w:rsidRDefault="00700DC3" w:rsidP="00700DC3">
            <w:pPr>
              <w:pStyle w:val="Prrafodelista"/>
              <w:numPr>
                <w:ilvl w:val="0"/>
                <w:numId w:val="16"/>
              </w:numPr>
              <w:spacing w:after="0"/>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De ser necesario, podrá realizar análisis e informes de campo in situ a los prestadores de salud, a fin de determinar y verificar las condiciones físicas y equipamiento para la prestación del servicio de salud. En caso de determinarse inconsistencias se pondrá en conocimiento de las mismas al Ministerio de Salud para que proceda con las sanciones previstas en la ley, de ser el caso, independientemente de las acciones legales que deberá iniciar por el posible dolo o fraude.</w:t>
            </w:r>
          </w:p>
          <w:p w:rsid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Artículo 7.- Los siniestros cubiertos, atención de salud, prestaciones, exclusiones, pagos y acciones de cobro en el Servicio Público para Pago de Accidentes de Tránsito serán determinados por el Directorio.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DISPOSICION GENERAL</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La Superintendencia de Bancos, en un plazo de hasta 90 días, determinará y recaudará los valores por concepto de multas del 15% por no haber obtenido el SOAT correspondiente al anterior sistema y generadas hasta el 31 de diciembre de 2014, fecha de publicación de la ley reformatoria las mismas que deberán ser transferidas al Servicio Público para el Pago de Accidentes de Tránsito dentro del mismo plazo;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Servicio Público para el Pago de Accidentes de Tránsito podrá repetir contra las aseguradoras por pagos que se encontraban cubiertos por el SOAT y no fueron reconocidos por las mismas.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tiempo en que se gestione la obtención de la información no será imputable al administrado.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DISPOSICIONES TRANSITORIAS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P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PRIMERA.- Hasta que el Servicio Público para el Pago de Accidentes de Tránsito expida las correspondientes normas técnicas, el monto de la tasa a ser cancelada por los propietarios de automotores al momento de la matriculación será similar al valor de las primas por seguros vigente antes de la expedición de la Ley reformatoria a la Ley Orgánica de Transporte Terrestre, Tránsito y Seguridad Vial.</w:t>
            </w:r>
          </w:p>
          <w:p w:rsidR="00700DC3" w:rsidRP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 xml:space="preserve"> </w:t>
            </w: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 xml:space="preserve">De igual manera, los montos de la protección por accidentes de tránsito a ser cancelados por el Servicio Público para el Pago de Accidentes de Tránsito serán similares al monto vigente hasta antes de la expedición de la Ley reformatoria a la Ley Orgánica de Transporte </w:t>
            </w:r>
            <w:r w:rsidRPr="00700DC3">
              <w:rPr>
                <w:rFonts w:ascii="Arial" w:eastAsia="Times New Roman" w:hAnsi="Arial" w:cs="Arial"/>
                <w:color w:val="000080"/>
                <w:sz w:val="20"/>
                <w:szCs w:val="20"/>
                <w:lang w:eastAsia="es-ES"/>
              </w:rPr>
              <w:lastRenderedPageBreak/>
              <w:t>Terrestre, Tránsito y Seguridad Vial.</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SEGUNDA.- Las pólizas de seguro obligatorio de accidentes de tránsito emitidas hasta la fecha de promulgación de la Ley reformatoria a la Ley Orgánica de Transporte Terrestre, Tránsito y Seguridad Vial se mantendrán vigentes y cubrirán la totalidad de la misma y sus coberturas hasta la fecha de su vencimiento, para lo cual la Superintendencia de Bancos, mientras se encuentre a su cargo el control del sistema de seguros, ejercerá un control permanente sobre su observancia y cumplimiento.</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TERCERA.- Los recursos humanos, tecnológicos, materiales, presupuestarios y financieros del Fondo de Accidentes de Tránsito FONSAT serán transferidos al Servicio Público para el Pago de Accidentes de Tránsito en el plazo máximo de 90 días contados a partir de la fecha de expedición del presente reglamento. El traspaso implicará todos los procesos, programas, compromisos adquiridos sea por disposición legal, reglamentaria o por convenios suscritos.</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CUARTA.- Una vez realizado el traspaso previsto en la Disposición Transitoria inmediatamente anterior, el FONSAT se extinguirá.</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DISPOSICION DEROGATORIA</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proofErr w:type="spellStart"/>
            <w:r w:rsidRPr="00700DC3">
              <w:rPr>
                <w:rFonts w:ascii="Arial" w:eastAsia="Times New Roman" w:hAnsi="Arial" w:cs="Arial"/>
                <w:color w:val="000080"/>
                <w:sz w:val="20"/>
                <w:szCs w:val="20"/>
                <w:lang w:eastAsia="es-ES"/>
              </w:rPr>
              <w:t>Derógase</w:t>
            </w:r>
            <w:proofErr w:type="spellEnd"/>
            <w:r w:rsidRPr="00700DC3">
              <w:rPr>
                <w:rFonts w:ascii="Arial" w:eastAsia="Times New Roman" w:hAnsi="Arial" w:cs="Arial"/>
                <w:color w:val="000080"/>
                <w:sz w:val="20"/>
                <w:szCs w:val="20"/>
                <w:lang w:eastAsia="es-ES"/>
              </w:rPr>
              <w:t xml:space="preserve"> el Decreto Ejecutivo No. 581 contentivo de las Normas de Transición al Sistema Público para Pago de Accidentes de Tránsito, publicado en el Registro Oficial No. 453 de 6 de marzo del 2015.</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700DC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El presente Decreto Ejecutivo entrará en vigencia a partir de la presente fecha, sin perjuicio de su publicación en el Registro Oficial.</w:t>
            </w:r>
          </w:p>
          <w:p w:rsidR="00700DC3" w:rsidRPr="00700DC3" w:rsidRDefault="00700DC3" w:rsidP="00700DC3">
            <w:pPr>
              <w:spacing w:after="0"/>
              <w:ind w:left="738"/>
              <w:jc w:val="both"/>
              <w:rPr>
                <w:rFonts w:ascii="Arial" w:eastAsia="Times New Roman" w:hAnsi="Arial" w:cs="Arial"/>
                <w:color w:val="000080"/>
                <w:sz w:val="20"/>
                <w:szCs w:val="20"/>
                <w:lang w:eastAsia="es-ES"/>
              </w:rPr>
            </w:pPr>
          </w:p>
          <w:p w:rsidR="008F5093" w:rsidRDefault="00700DC3" w:rsidP="00700DC3">
            <w:pPr>
              <w:spacing w:after="0"/>
              <w:ind w:left="738"/>
              <w:jc w:val="both"/>
              <w:rPr>
                <w:rFonts w:ascii="Arial" w:eastAsia="Times New Roman" w:hAnsi="Arial" w:cs="Arial"/>
                <w:color w:val="000080"/>
                <w:sz w:val="20"/>
                <w:szCs w:val="20"/>
                <w:lang w:eastAsia="es-ES"/>
              </w:rPr>
            </w:pPr>
            <w:r w:rsidRPr="00700DC3">
              <w:rPr>
                <w:rFonts w:ascii="Arial" w:eastAsia="Times New Roman" w:hAnsi="Arial" w:cs="Arial"/>
                <w:color w:val="000080"/>
                <w:sz w:val="20"/>
                <w:szCs w:val="20"/>
                <w:lang w:eastAsia="es-ES"/>
              </w:rPr>
              <w:t>Dado en el Palacio Nacional, en Quito a 22 de octubre de 2015.</w:t>
            </w:r>
          </w:p>
          <w:p w:rsidR="00C96112" w:rsidRPr="00610B20" w:rsidRDefault="00C96112" w:rsidP="008F5093">
            <w:pPr>
              <w:spacing w:after="0"/>
              <w:ind w:left="738"/>
              <w:jc w:val="both"/>
              <w:rPr>
                <w:rFonts w:ascii="Arial" w:eastAsia="Times New Roman" w:hAnsi="Arial" w:cs="Arial"/>
                <w:b/>
                <w:color w:val="000080"/>
                <w:sz w:val="20"/>
                <w:szCs w:val="20"/>
                <w:lang w:eastAsia="es-ES"/>
              </w:rPr>
            </w:pPr>
          </w:p>
        </w:tc>
      </w:tr>
      <w:tr w:rsidR="00C96112" w:rsidRPr="00610B20" w:rsidTr="008F5093">
        <w:trPr>
          <w:trHeight w:val="1380"/>
        </w:trPr>
        <w:tc>
          <w:tcPr>
            <w:tcW w:w="9257" w:type="dxa"/>
            <w:shd w:val="clear" w:color="auto" w:fill="DDFFFF"/>
          </w:tcPr>
          <w:p w:rsidR="00C96112" w:rsidRPr="00610B20" w:rsidRDefault="00C96112" w:rsidP="008F5093">
            <w:pPr>
              <w:spacing w:after="0"/>
              <w:jc w:val="left"/>
              <w:rPr>
                <w:rFonts w:ascii="Times New Roman" w:eastAsia="Times New Roman" w:hAnsi="Times New Roman" w:cs="Times New Roman"/>
                <w:sz w:val="24"/>
                <w:szCs w:val="24"/>
                <w:lang w:eastAsia="es-ES"/>
              </w:rPr>
            </w:pPr>
          </w:p>
          <w:p w:rsidR="00C96112" w:rsidRPr="00610B20" w:rsidRDefault="002237BE" w:rsidP="002237BE">
            <w:pPr>
              <w:spacing w:after="0"/>
              <w:rPr>
                <w:rFonts w:ascii="Arial" w:eastAsia="Times New Roman" w:hAnsi="Arial" w:cs="Arial"/>
                <w:b/>
                <w:color w:val="000080"/>
                <w:sz w:val="20"/>
                <w:szCs w:val="20"/>
                <w:lang w:val="es-ES_tradnl" w:eastAsia="es-ES"/>
              </w:rPr>
            </w:pPr>
            <w:r w:rsidRPr="002237BE">
              <w:rPr>
                <w:rFonts w:ascii="Arial" w:eastAsia="Times New Roman" w:hAnsi="Arial" w:cs="Arial"/>
                <w:b/>
                <w:color w:val="000080"/>
                <w:sz w:val="20"/>
                <w:szCs w:val="20"/>
                <w:lang w:val="es-ES_tradnl" w:eastAsia="es-ES"/>
              </w:rPr>
              <w:t>REGLAMENTO PARA LA AUTORIZACIÓN Y EL CONTROL DE LAS ACTIVIDADES DE REFINACIÓN E INDUSTRIALIZACIÓN DE HIDROCARBUROS</w:t>
            </w:r>
          </w:p>
          <w:p w:rsidR="00C96112" w:rsidRPr="00610B20" w:rsidRDefault="00C96112" w:rsidP="008F5093">
            <w:pPr>
              <w:spacing w:after="0"/>
              <w:rPr>
                <w:rFonts w:ascii="Arial" w:eastAsia="Times New Roman" w:hAnsi="Arial" w:cs="Arial"/>
                <w:b/>
                <w:color w:val="000080"/>
                <w:sz w:val="20"/>
                <w:szCs w:val="20"/>
                <w:lang w:val="es-ES_tradnl" w:eastAsia="es-ES"/>
              </w:rPr>
            </w:pPr>
          </w:p>
          <w:p w:rsidR="00C96112" w:rsidRPr="00610B20"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 la </w:t>
            </w:r>
            <w:r w:rsidR="002237BE">
              <w:rPr>
                <w:rFonts w:ascii="Arial" w:eastAsia="Times New Roman" w:hAnsi="Arial" w:cs="Arial"/>
                <w:color w:val="000080"/>
                <w:sz w:val="20"/>
                <w:szCs w:val="20"/>
                <w:lang w:eastAsia="es-ES"/>
              </w:rPr>
              <w:t>ARCH 001-005</w:t>
            </w:r>
            <w:r w:rsidRPr="00610B20">
              <w:rPr>
                <w:rFonts w:ascii="Arial" w:eastAsia="Times New Roman" w:hAnsi="Arial" w:cs="Arial"/>
                <w:color w:val="000080"/>
                <w:sz w:val="20"/>
                <w:szCs w:val="20"/>
                <w:lang w:eastAsia="es-ES"/>
              </w:rPr>
              <w:t xml:space="preserve">, publicada en el Registro Oficial </w:t>
            </w:r>
            <w:r w:rsidR="002237BE">
              <w:rPr>
                <w:rFonts w:ascii="Arial" w:eastAsia="Times New Roman" w:hAnsi="Arial" w:cs="Arial"/>
                <w:color w:val="000080"/>
                <w:sz w:val="20"/>
                <w:szCs w:val="20"/>
                <w:lang w:eastAsia="es-ES"/>
              </w:rPr>
              <w:t>635 de 25</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C96112"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62459" w:rsidRPr="00062459" w:rsidRDefault="00977067" w:rsidP="00062459">
            <w:pPr>
              <w:spacing w:after="0"/>
              <w:jc w:val="both"/>
              <w:rPr>
                <w:rFonts w:ascii="Arial" w:eastAsia="Times New Roman" w:hAnsi="Arial" w:cs="Arial"/>
                <w:b/>
                <w:color w:val="000080"/>
                <w:sz w:val="20"/>
                <w:szCs w:val="20"/>
                <w:lang w:eastAsia="es-ES"/>
              </w:rPr>
            </w:pPr>
            <w:hyperlink r:id="rId23" w:history="1">
              <w:r w:rsidR="00062459" w:rsidRPr="00977067">
                <w:rPr>
                  <w:rStyle w:val="Hipervnculo"/>
                  <w:rFonts w:ascii="Arial" w:eastAsia="Times New Roman" w:hAnsi="Arial" w:cs="Arial"/>
                  <w:b/>
                  <w:sz w:val="20"/>
                  <w:szCs w:val="20"/>
                  <w:lang w:eastAsia="es-ES"/>
                </w:rPr>
                <w:t>Ver vigencia</w:t>
              </w:r>
            </w:hyperlink>
          </w:p>
          <w:p w:rsidR="00062459" w:rsidRDefault="00062459" w:rsidP="008F5093">
            <w:pPr>
              <w:spacing w:after="0"/>
              <w:jc w:val="both"/>
              <w:rPr>
                <w:rFonts w:ascii="Arial" w:eastAsia="Times New Roman" w:hAnsi="Arial" w:cs="Arial"/>
                <w:color w:val="000080"/>
                <w:sz w:val="20"/>
                <w:szCs w:val="20"/>
                <w:lang w:eastAsia="es-ES"/>
              </w:rPr>
            </w:pPr>
          </w:p>
          <w:p w:rsidR="002237BE" w:rsidRDefault="002237BE" w:rsidP="008F5093">
            <w:pPr>
              <w:spacing w:after="0"/>
              <w:jc w:val="both"/>
              <w:rPr>
                <w:rFonts w:ascii="Arial" w:eastAsia="Times New Roman" w:hAnsi="Arial" w:cs="Arial"/>
                <w:color w:val="000080"/>
                <w:sz w:val="20"/>
                <w:szCs w:val="20"/>
                <w:lang w:eastAsia="es-ES"/>
              </w:rPr>
            </w:pPr>
          </w:p>
          <w:p w:rsidR="002237BE" w:rsidRP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1.- Alcance: El presente Reglamento se aplicará a nivel nacional a las personas jurídicas, públicas, privadas o mixtas, nacionales o extranjeras, que adquieran la calidad de sujetos de control para realizar actividades de refinación e industrialización de hidrocarburos, incluido el gas natural y/o gas producido en instalaciones </w:t>
            </w:r>
            <w:proofErr w:type="spellStart"/>
            <w:r w:rsidRPr="002237BE">
              <w:rPr>
                <w:rFonts w:ascii="Arial" w:eastAsia="Times New Roman" w:hAnsi="Arial" w:cs="Arial"/>
                <w:color w:val="000080"/>
                <w:sz w:val="20"/>
                <w:szCs w:val="20"/>
                <w:lang w:eastAsia="es-ES"/>
              </w:rPr>
              <w:t>hidrocarburíferas</w:t>
            </w:r>
            <w:proofErr w:type="spellEnd"/>
            <w:r w:rsidRPr="002237BE">
              <w:rPr>
                <w:rFonts w:ascii="Arial" w:eastAsia="Times New Roman" w:hAnsi="Arial" w:cs="Arial"/>
                <w:color w:val="000080"/>
                <w:sz w:val="20"/>
                <w:szCs w:val="20"/>
                <w:lang w:eastAsia="es-ES"/>
              </w:rPr>
              <w:t>; para las etapas de: construcción, ampliación, rehabilitación y funcionamiento de las instalaciones y para el control de la operación.</w:t>
            </w:r>
          </w:p>
          <w:p w:rsidR="002237BE" w:rsidRP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 </w:t>
            </w: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2.- Siglas y Definiciones: Las siglas y definiciones del presente Reglamento se encuentran establecidas en el Anexo A.</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3.- Autorización: La autorización para ejercer las actividades de refinación y/o industrialización de hidrocarburos (refinación e industrialización de petróleo y gas natural que pueden incluir en su infraestructura, plantas petroquímicas) por parte de personas jurídicas y de economía mixta, será expedida por el Ministro de Hidrocarburos.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4.- Regulación y Control: Las actividades de refinación y/o industrialización de hidrocarburos están sujetas al control y fiscalización de la ARCH.</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5.- Responsabilidad y riesgo: Las empresas privadas autorizadas, ejercerán las actividades de refinación e industrialización de hidrocarburos asumiendo la responsabilidad y riesgo de la inversión, sin comprometer recursos públicos, esto es, sin que el Estado o sus </w:t>
            </w:r>
            <w:r w:rsidRPr="002237BE">
              <w:rPr>
                <w:rFonts w:ascii="Arial" w:eastAsia="Times New Roman" w:hAnsi="Arial" w:cs="Arial"/>
                <w:color w:val="000080"/>
                <w:sz w:val="20"/>
                <w:szCs w:val="20"/>
                <w:lang w:eastAsia="es-ES"/>
              </w:rPr>
              <w:lastRenderedPageBreak/>
              <w:t>instituciones tengan que realizar inversiones de capital o financiar o garantizar créditos requeridos para tales efectos y estarán sujetas al régimen tributario común. La responsabilidad y riesgo de la inversión comprende la gestión, administración y control de todas las actividades autorizadas, así como la obligación de pagar todos los costos y gastos relacionados y el derecho a percibir y administrar los ingresos provenientes de esas actividades.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6.- Pólizas de Seguros: Los sujetos de control deberán contar y mantener vigentes una póliza de seguro de responsabilidad civil extracontractual que cubra daños a terceros, a sus bienes y al ambiente que pudieren ocurrir por el ejercicio de las actividades de refinación e industrialización de hidrocarburos, expedida por una compañía de seguros establecida legalmente en el país, sin perjuicio de los seguros adicionales que la empresa pudiera tener, cuyo monto se sujetará al Reglamento expedido para el efecto.</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Pr="00DD26B8" w:rsidRDefault="002237BE" w:rsidP="00DD26B8">
            <w:pPr>
              <w:spacing w:after="0"/>
              <w:ind w:left="738"/>
              <w:rPr>
                <w:rFonts w:ascii="Arial" w:eastAsia="Times New Roman" w:hAnsi="Arial" w:cs="Arial"/>
                <w:b/>
                <w:color w:val="000080"/>
                <w:sz w:val="20"/>
                <w:szCs w:val="20"/>
                <w:lang w:eastAsia="es-ES"/>
              </w:rPr>
            </w:pPr>
            <w:r w:rsidRPr="00DD26B8">
              <w:rPr>
                <w:rFonts w:ascii="Arial" w:eastAsia="Times New Roman" w:hAnsi="Arial" w:cs="Arial"/>
                <w:b/>
                <w:color w:val="000080"/>
                <w:sz w:val="20"/>
                <w:szCs w:val="20"/>
                <w:lang w:eastAsia="es-ES"/>
              </w:rPr>
              <w:t>De la autorizació</w:t>
            </w:r>
            <w:r w:rsidR="00DD26B8" w:rsidRPr="00DD26B8">
              <w:rPr>
                <w:rFonts w:ascii="Arial" w:eastAsia="Times New Roman" w:hAnsi="Arial" w:cs="Arial"/>
                <w:b/>
                <w:color w:val="000080"/>
                <w:sz w:val="20"/>
                <w:szCs w:val="20"/>
                <w:lang w:eastAsia="es-ES"/>
              </w:rPr>
              <w:t xml:space="preserve">n de las empresas privadas y de </w:t>
            </w:r>
            <w:r w:rsidRPr="00DD26B8">
              <w:rPr>
                <w:rFonts w:ascii="Arial" w:eastAsia="Times New Roman" w:hAnsi="Arial" w:cs="Arial"/>
                <w:b/>
                <w:color w:val="000080"/>
                <w:sz w:val="20"/>
                <w:szCs w:val="20"/>
                <w:lang w:eastAsia="es-ES"/>
              </w:rPr>
              <w:t>economía</w:t>
            </w:r>
            <w:r w:rsidR="00DD26B8" w:rsidRPr="00DD26B8">
              <w:rPr>
                <w:rFonts w:ascii="Arial" w:eastAsia="Times New Roman" w:hAnsi="Arial" w:cs="Arial"/>
                <w:b/>
                <w:color w:val="000080"/>
                <w:sz w:val="20"/>
                <w:szCs w:val="20"/>
                <w:lang w:eastAsia="es-ES"/>
              </w:rPr>
              <w:t xml:space="preserve"> mixta para ejercer actividades </w:t>
            </w:r>
            <w:r w:rsidRPr="00DD26B8">
              <w:rPr>
                <w:rFonts w:ascii="Arial" w:eastAsia="Times New Roman" w:hAnsi="Arial" w:cs="Arial"/>
                <w:b/>
                <w:color w:val="000080"/>
                <w:sz w:val="20"/>
                <w:szCs w:val="20"/>
                <w:lang w:eastAsia="es-ES"/>
              </w:rPr>
              <w:t>de refinación e industrialización</w:t>
            </w:r>
          </w:p>
          <w:p w:rsidR="00DD26B8" w:rsidRPr="002237BE" w:rsidRDefault="00DD26B8" w:rsidP="00DD26B8">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7.- Requisitos: Las empresas interesadas en realizar actividades de refinación e industrialización de hidrocarburos, presentarán una solicitud en tal sentido al Ministro de Hidrocarburos, en el formulario de registro de datos diseñado por la ARCH para el efecto y los originales o copias notariadas de los siguientes documentos: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Pr="00DD26B8" w:rsidRDefault="002237BE" w:rsidP="00DD26B8">
            <w:pPr>
              <w:pStyle w:val="Prrafodelista"/>
              <w:numPr>
                <w:ilvl w:val="3"/>
                <w:numId w:val="5"/>
              </w:numPr>
              <w:spacing w:after="0"/>
              <w:ind w:left="2014"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Contrato suscrito entre la solicitante y la Secretaría de Hidrocarburos.</w:t>
            </w:r>
          </w:p>
          <w:p w:rsidR="002237BE" w:rsidRPr="00DD26B8" w:rsidRDefault="002237BE" w:rsidP="00DD26B8">
            <w:pPr>
              <w:pStyle w:val="Prrafodelista"/>
              <w:numPr>
                <w:ilvl w:val="3"/>
                <w:numId w:val="5"/>
              </w:numPr>
              <w:spacing w:after="0"/>
              <w:ind w:left="2014"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Informe técnico de uso de suelo otorgado por los Gobiernos Autónomos Descentralizados y/o de las autoridades pertinentes.</w:t>
            </w:r>
          </w:p>
          <w:p w:rsidR="002237BE" w:rsidRPr="00DD26B8" w:rsidRDefault="002237BE" w:rsidP="00DD26B8">
            <w:pPr>
              <w:pStyle w:val="Prrafodelista"/>
              <w:numPr>
                <w:ilvl w:val="3"/>
                <w:numId w:val="5"/>
              </w:numPr>
              <w:spacing w:after="0"/>
              <w:ind w:left="2014"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Información técnica y económica que contenga:</w:t>
            </w:r>
          </w:p>
          <w:p w:rsidR="002237BE" w:rsidRPr="00DD26B8" w:rsidRDefault="002237BE" w:rsidP="00DD26B8">
            <w:pPr>
              <w:pStyle w:val="Prrafodelista"/>
              <w:numPr>
                <w:ilvl w:val="0"/>
                <w:numId w:val="18"/>
              </w:numPr>
              <w:spacing w:after="0"/>
              <w:ind w:left="2297" w:hanging="250"/>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Memoria descriptiva del proyecto conforme lo establezca la ARCH.</w:t>
            </w:r>
          </w:p>
          <w:p w:rsidR="002237BE" w:rsidRPr="00DD26B8" w:rsidRDefault="002237BE" w:rsidP="00DD26B8">
            <w:pPr>
              <w:pStyle w:val="Prrafodelista"/>
              <w:numPr>
                <w:ilvl w:val="0"/>
                <w:numId w:val="18"/>
              </w:numPr>
              <w:spacing w:after="0"/>
              <w:ind w:left="2297" w:hanging="250"/>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Cronograma propuesto para el desarrollo integral del proyecto.</w:t>
            </w:r>
          </w:p>
          <w:p w:rsidR="002237BE" w:rsidRPr="00DD26B8" w:rsidRDefault="002237BE" w:rsidP="00DD26B8">
            <w:pPr>
              <w:pStyle w:val="Prrafodelista"/>
              <w:numPr>
                <w:ilvl w:val="0"/>
                <w:numId w:val="18"/>
              </w:numPr>
              <w:spacing w:after="0"/>
              <w:ind w:left="2297" w:hanging="250"/>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Certificación de un organismo de inspección de que el proyecto propuesto se apega a las normas internacionales de calidad API o DIN y a las normas de seguridad industrial vigentes en el Ecuador a la fecha de la solicitud.</w:t>
            </w:r>
          </w:p>
          <w:p w:rsidR="002237BE" w:rsidRPr="00DD26B8" w:rsidRDefault="002237BE" w:rsidP="00DD26B8">
            <w:pPr>
              <w:pStyle w:val="Prrafodelista"/>
              <w:numPr>
                <w:ilvl w:val="0"/>
                <w:numId w:val="18"/>
              </w:numPr>
              <w:spacing w:after="0"/>
              <w:ind w:left="2297" w:hanging="250"/>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Permiso ambiental del proyecto, emitido por la autoridad competente.</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P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Las solicitantes obtendrán, las demás autorizaciones, permisos o licencias que requieran para la ejecución del proyecto.</w:t>
            </w:r>
          </w:p>
          <w:p w:rsidR="00DD26B8"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8.- Análisis: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xml:space="preserve"> a solicitud del Ministerio de Hidrocarburos, analizará técnica y jurídicamente los requisitos establecidos en este Reglamento, para que dentro del plazo de veinte (20) días presente el informe respecto de su cumplimiento y se pronuncie respecto de la viabilidad técnica y operativa del proyecto objeto de la solicitud.</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En el caso de que se formulasen observaciones sobre los requisitos presentados,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xml:space="preserve"> las pondrá en conocimiento de la solicitante para que haga las aclaraciones o presente la documentación adicional requerida, dentro del plazo de diez (10) días.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De no absolverse las observaciones dentro del plazo señalado, la ARCH declarará en abandono la solicitud, en cuyo caso, la solicitante deberá realizar nuevamente el trámite respectivo.</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Con las aclaraciones o información adicional,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emitirá su informe en un plazo no mayor de quince (15) días.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9.- Autorización: El </w:t>
            </w:r>
            <w:r w:rsidR="00DD26B8" w:rsidRPr="002237BE">
              <w:rPr>
                <w:rFonts w:ascii="Arial" w:eastAsia="Times New Roman" w:hAnsi="Arial" w:cs="Arial"/>
                <w:color w:val="000080"/>
                <w:sz w:val="20"/>
                <w:szCs w:val="20"/>
                <w:lang w:eastAsia="es-ES"/>
              </w:rPr>
              <w:t>Ministro</w:t>
            </w:r>
            <w:r w:rsidRPr="002237BE">
              <w:rPr>
                <w:rFonts w:ascii="Arial" w:eastAsia="Times New Roman" w:hAnsi="Arial" w:cs="Arial"/>
                <w:color w:val="000080"/>
                <w:sz w:val="20"/>
                <w:szCs w:val="20"/>
                <w:lang w:eastAsia="es-ES"/>
              </w:rPr>
              <w:t xml:space="preserve"> de Hidrocarburos, mediante Acuerdo Ministerial autorizará a la solicitante el ejercicio de las actividades específicas de refinación y/o industrialización de hidrocarburos, en un plazo no mayor a quince (15) días a partir de la recepción del informe presentado por la ARCH.</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Del permiso de construcción de instalaciones para refinación y/o industrialización</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P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10.- Requisitos: Las personas jurídicas autorizadas a ejercer las actividades de refinación y/o industrialización deberán solicitar al Director Ejecutivo de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xml:space="preserve"> el permiso de construcción de instalaciones para refinación y/o industrialización, el mismo que será expedido mediante Resolución motivada, para lo cual adjuntarán el formulario diseñado para el efecto, y la siguiente información.</w:t>
            </w:r>
          </w:p>
          <w:p w:rsidR="002237BE" w:rsidRP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 </w:t>
            </w:r>
          </w:p>
          <w:p w:rsidR="002237BE" w:rsidRPr="00DD26B8" w:rsidRDefault="002237BE" w:rsidP="00DD26B8">
            <w:pPr>
              <w:pStyle w:val="Prrafodelista"/>
              <w:numPr>
                <w:ilvl w:val="0"/>
                <w:numId w:val="20"/>
              </w:numPr>
              <w:spacing w:after="0"/>
              <w:ind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Póliza de seguro conforme el artículo 6 del presente Reglamento.</w:t>
            </w:r>
          </w:p>
          <w:p w:rsidR="002237BE" w:rsidRPr="00DD26B8" w:rsidRDefault="002237BE" w:rsidP="00DD26B8">
            <w:pPr>
              <w:pStyle w:val="Prrafodelista"/>
              <w:numPr>
                <w:ilvl w:val="0"/>
                <w:numId w:val="20"/>
              </w:numPr>
              <w:spacing w:after="0"/>
              <w:ind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Permiso Ambiental del proyecto de refinación y/o industrialización de hidrocarburos, otorgado por la autoridad ambiental competente.</w:t>
            </w:r>
          </w:p>
          <w:p w:rsidR="002237BE" w:rsidRPr="00DD26B8" w:rsidRDefault="002237BE" w:rsidP="00DD26B8">
            <w:pPr>
              <w:pStyle w:val="Prrafodelista"/>
              <w:numPr>
                <w:ilvl w:val="0"/>
                <w:numId w:val="20"/>
              </w:numPr>
              <w:spacing w:after="0"/>
              <w:ind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Ingeniería conceptual, básica, y estudio de factibilidad técnico económico del proyecto conforme lo establezca la ARCH.</w:t>
            </w:r>
          </w:p>
          <w:p w:rsidR="002237BE" w:rsidRPr="00DD26B8" w:rsidRDefault="002237BE" w:rsidP="00DD26B8">
            <w:pPr>
              <w:pStyle w:val="Prrafodelista"/>
              <w:numPr>
                <w:ilvl w:val="0"/>
                <w:numId w:val="20"/>
              </w:numPr>
              <w:spacing w:after="0"/>
              <w:ind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Cronograma integral de desarrollo del proyecto, que incluya un cronograma valorado del mismo.</w:t>
            </w:r>
          </w:p>
          <w:p w:rsidR="002237BE" w:rsidRPr="00DD26B8" w:rsidRDefault="002237BE" w:rsidP="00DD26B8">
            <w:pPr>
              <w:pStyle w:val="Prrafodelista"/>
              <w:numPr>
                <w:ilvl w:val="0"/>
                <w:numId w:val="20"/>
              </w:numPr>
              <w:spacing w:after="0"/>
              <w:ind w:hanging="392"/>
              <w:jc w:val="both"/>
              <w:rPr>
                <w:rFonts w:ascii="Arial" w:eastAsia="Times New Roman" w:hAnsi="Arial" w:cs="Arial"/>
                <w:color w:val="000080"/>
                <w:sz w:val="20"/>
                <w:szCs w:val="20"/>
                <w:lang w:eastAsia="es-ES"/>
              </w:rPr>
            </w:pPr>
            <w:r w:rsidRPr="00DD26B8">
              <w:rPr>
                <w:rFonts w:ascii="Arial" w:eastAsia="Times New Roman" w:hAnsi="Arial" w:cs="Arial"/>
                <w:color w:val="000080"/>
                <w:sz w:val="20"/>
                <w:szCs w:val="20"/>
                <w:lang w:eastAsia="es-ES"/>
              </w:rPr>
              <w:t>Plan de Desarrollo Sostenible.</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La persona jurídica autorizada bajo su cuenta y riesgo, obtendrá de las demás instituciones del Estado y Gobiernos Descentralizados, los permisos que requieran para la construcción del proyecto.</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Art. 11.- Análisis: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xml:space="preserve"> realizará el análisis técnico y legal de la documentación, en un plazo máximo de treinta (30) días. En el caso que se formulasen observaciones sobre los documentos presentados,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xml:space="preserve"> pondrá estas observaciones en conocimiento de la solicitante para que haga las aclaraciones o presente la documentación adicional requerida, dentro del plazo único de quince (15) días.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De no absolverse las observaciones dentro del plazo señalado, la ARCH declarará en abandono la solicitud, la solicitante deberá realizar nuevamente el trámite respectivo.</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 xml:space="preserve">Con las aclaraciones o información adicional, la Agencia de Regulación y Control </w:t>
            </w:r>
            <w:proofErr w:type="spellStart"/>
            <w:r w:rsidRPr="002237BE">
              <w:rPr>
                <w:rFonts w:ascii="Arial" w:eastAsia="Times New Roman" w:hAnsi="Arial" w:cs="Arial"/>
                <w:color w:val="000080"/>
                <w:sz w:val="20"/>
                <w:szCs w:val="20"/>
                <w:lang w:eastAsia="es-ES"/>
              </w:rPr>
              <w:t>Hidrocarburífero</w:t>
            </w:r>
            <w:proofErr w:type="spellEnd"/>
            <w:r w:rsidRPr="002237BE">
              <w:rPr>
                <w:rFonts w:ascii="Arial" w:eastAsia="Times New Roman" w:hAnsi="Arial" w:cs="Arial"/>
                <w:color w:val="000080"/>
                <w:sz w:val="20"/>
                <w:szCs w:val="20"/>
                <w:lang w:eastAsia="es-ES"/>
              </w:rPr>
              <w:t>, emitirá su informe en un plazo no mayor de quince (15) días.</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12.- Autorización: El Director de la ARCH, sobre la base del informe técnico y legal en un plazo no mayor a quince (15) días emitirá la Resolución que autorice la construcción de las refinerías, plantas de gas o planta petroquímica, la cual tendrá una vigencia de dos años calendario para el inicio de obra.</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En el caso de que el sujeto de control no pudiera cumplir con el plazo señalado, deberá justificar dicho retraso, con por lo menos noventa (90) días previo al vencimiento de la vigencia de la Resolución, solicitando la prórroga respectiva.</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En caso que el sujeto de control no solicite prórroga alguna, mediante Resolución motivada se revocará la autorización emitida.</w:t>
            </w:r>
          </w:p>
          <w:p w:rsidR="00DD26B8" w:rsidRPr="002237BE" w:rsidRDefault="00DD26B8" w:rsidP="002237BE">
            <w:pPr>
              <w:spacing w:after="0"/>
              <w:ind w:left="738"/>
              <w:jc w:val="both"/>
              <w:rPr>
                <w:rFonts w:ascii="Arial" w:eastAsia="Times New Roman" w:hAnsi="Arial" w:cs="Arial"/>
                <w:color w:val="000080"/>
                <w:sz w:val="20"/>
                <w:szCs w:val="20"/>
                <w:lang w:eastAsia="es-ES"/>
              </w:rPr>
            </w:pPr>
          </w:p>
          <w:p w:rsidR="002237BE" w:rsidRDefault="002237BE" w:rsidP="002237BE">
            <w:pPr>
              <w:spacing w:after="0"/>
              <w:ind w:left="738"/>
              <w:jc w:val="both"/>
              <w:rPr>
                <w:rFonts w:ascii="Arial" w:eastAsia="Times New Roman" w:hAnsi="Arial" w:cs="Arial"/>
                <w:color w:val="000080"/>
                <w:sz w:val="20"/>
                <w:szCs w:val="20"/>
                <w:lang w:eastAsia="es-ES"/>
              </w:rPr>
            </w:pPr>
            <w:r w:rsidRPr="002237BE">
              <w:rPr>
                <w:rFonts w:ascii="Arial" w:eastAsia="Times New Roman" w:hAnsi="Arial" w:cs="Arial"/>
                <w:color w:val="000080"/>
                <w:sz w:val="20"/>
                <w:szCs w:val="20"/>
                <w:lang w:eastAsia="es-ES"/>
              </w:rPr>
              <w:t>Art. 13.- Fiscalización del proyecto: La persona jurídica autorizada para construir las instalaciones para refinación y/o industrialización, deberá contratar los servicios de fiscalización de una empresa de reconocida trayectoria en el área relativa a la construcción de las mismas.</w:t>
            </w:r>
          </w:p>
          <w:p w:rsidR="00DD26B8" w:rsidRDefault="00DD26B8" w:rsidP="002237BE">
            <w:pPr>
              <w:spacing w:after="0"/>
              <w:ind w:left="738"/>
              <w:jc w:val="both"/>
              <w:rPr>
                <w:rFonts w:ascii="Arial" w:eastAsia="Times New Roman" w:hAnsi="Arial" w:cs="Arial"/>
                <w:color w:val="000080"/>
                <w:sz w:val="20"/>
                <w:szCs w:val="20"/>
                <w:lang w:eastAsia="es-ES"/>
              </w:rPr>
            </w:pPr>
          </w:p>
          <w:p w:rsidR="00DD26B8" w:rsidRPr="00DD26B8" w:rsidRDefault="00DD26B8" w:rsidP="00DD26B8">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C96112" w:rsidRPr="00610B20" w:rsidRDefault="00C96112" w:rsidP="00DD26B8">
            <w:pPr>
              <w:spacing w:after="0"/>
              <w:ind w:left="738"/>
              <w:jc w:val="both"/>
              <w:rPr>
                <w:rFonts w:ascii="Times New Roman" w:eastAsia="Times New Roman" w:hAnsi="Times New Roman" w:cs="Times New Roman"/>
                <w:sz w:val="24"/>
                <w:szCs w:val="24"/>
                <w:lang w:eastAsia="es-ES"/>
              </w:rPr>
            </w:pPr>
          </w:p>
        </w:tc>
      </w:tr>
      <w:tr w:rsidR="00C96112" w:rsidRPr="00610B20" w:rsidTr="008F5093">
        <w:trPr>
          <w:trHeight w:val="1380"/>
        </w:trPr>
        <w:tc>
          <w:tcPr>
            <w:tcW w:w="9257" w:type="dxa"/>
            <w:shd w:val="clear" w:color="auto" w:fill="E6F1DF"/>
          </w:tcPr>
          <w:p w:rsidR="00C96112" w:rsidRPr="00610B20" w:rsidRDefault="00C96112" w:rsidP="008F5093">
            <w:pPr>
              <w:spacing w:after="0"/>
              <w:jc w:val="left"/>
              <w:rPr>
                <w:rFonts w:ascii="Times New Roman" w:eastAsia="Times New Roman" w:hAnsi="Times New Roman" w:cs="Times New Roman"/>
                <w:sz w:val="24"/>
                <w:szCs w:val="24"/>
                <w:lang w:eastAsia="es-ES"/>
              </w:rPr>
            </w:pPr>
          </w:p>
          <w:p w:rsidR="00C96112" w:rsidRDefault="00490B31" w:rsidP="00490B31">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490B31">
              <w:rPr>
                <w:rFonts w:ascii="Arial" w:eastAsia="Times New Roman" w:hAnsi="Arial" w:cs="Arial"/>
                <w:b/>
                <w:color w:val="000080"/>
                <w:sz w:val="20"/>
                <w:szCs w:val="20"/>
                <w:lang w:val="es-ES_tradnl" w:eastAsia="es-ES"/>
              </w:rPr>
              <w:t xml:space="preserve">   EL   REGLAMENTO   GENERAL   A   LA   LEY</w:t>
            </w:r>
            <w:r>
              <w:rPr>
                <w:rFonts w:ascii="Arial" w:eastAsia="Times New Roman" w:hAnsi="Arial" w:cs="Arial"/>
                <w:b/>
                <w:color w:val="000080"/>
                <w:sz w:val="20"/>
                <w:szCs w:val="20"/>
                <w:lang w:val="es-ES_tradnl" w:eastAsia="es-ES"/>
              </w:rPr>
              <w:t xml:space="preserve"> </w:t>
            </w:r>
            <w:r w:rsidRPr="00490B31">
              <w:rPr>
                <w:rFonts w:ascii="Arial" w:eastAsia="Times New Roman" w:hAnsi="Arial" w:cs="Arial"/>
                <w:b/>
                <w:color w:val="000080"/>
                <w:sz w:val="20"/>
                <w:szCs w:val="20"/>
                <w:lang w:val="es-ES_tradnl" w:eastAsia="es-ES"/>
              </w:rPr>
              <w:t xml:space="preserve">ORGÁNICA DE EDUCACIÓN INTERCULTURAL </w:t>
            </w:r>
          </w:p>
          <w:p w:rsidR="00490B31" w:rsidRPr="00610B20" w:rsidRDefault="00490B31" w:rsidP="00490B31">
            <w:pPr>
              <w:spacing w:after="0"/>
              <w:rPr>
                <w:rFonts w:ascii="Arial" w:eastAsia="Times New Roman" w:hAnsi="Arial" w:cs="Arial"/>
                <w:b/>
                <w:color w:val="000080"/>
                <w:sz w:val="20"/>
                <w:szCs w:val="20"/>
                <w:lang w:eastAsia="es-ES"/>
              </w:rPr>
            </w:pPr>
          </w:p>
          <w:p w:rsidR="00C96112" w:rsidRPr="00610B20"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490B31">
              <w:rPr>
                <w:rFonts w:ascii="Arial" w:eastAsia="Times New Roman" w:hAnsi="Arial" w:cs="Arial"/>
                <w:color w:val="000080"/>
                <w:sz w:val="20"/>
                <w:szCs w:val="20"/>
                <w:lang w:eastAsia="es-ES"/>
              </w:rPr>
              <w:t>Decreto Ejecutivo 811,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490B31">
              <w:rPr>
                <w:rFonts w:ascii="Arial" w:eastAsia="Times New Roman" w:hAnsi="Arial" w:cs="Arial"/>
                <w:color w:val="000080"/>
                <w:sz w:val="20"/>
                <w:szCs w:val="20"/>
                <w:lang w:eastAsia="es-ES"/>
              </w:rPr>
              <w:t>635 de 25</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Noviembre</w:t>
            </w:r>
            <w:r w:rsidRPr="00610B20">
              <w:rPr>
                <w:rFonts w:ascii="Arial" w:eastAsia="Times New Roman" w:hAnsi="Arial" w:cs="Arial"/>
                <w:color w:val="000080"/>
                <w:sz w:val="20"/>
                <w:szCs w:val="20"/>
                <w:lang w:eastAsia="es-ES"/>
              </w:rPr>
              <w:t xml:space="preserve"> del 2015  </w:t>
            </w:r>
          </w:p>
          <w:p w:rsidR="00C96112" w:rsidRDefault="00C96112" w:rsidP="008F509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490B31">
              <w:rPr>
                <w:rFonts w:ascii="Arial" w:eastAsia="Times New Roman" w:hAnsi="Arial" w:cs="Arial"/>
                <w:color w:val="000080"/>
                <w:sz w:val="20"/>
                <w:szCs w:val="20"/>
                <w:lang w:eastAsia="es-ES"/>
              </w:rPr>
              <w:t>Reforma</w:t>
            </w:r>
          </w:p>
          <w:p w:rsidR="00062459" w:rsidRPr="00062459" w:rsidRDefault="00977067" w:rsidP="00062459">
            <w:pPr>
              <w:spacing w:after="0"/>
              <w:jc w:val="both"/>
              <w:rPr>
                <w:rFonts w:ascii="Arial" w:eastAsia="Times New Roman" w:hAnsi="Arial" w:cs="Arial"/>
                <w:b/>
                <w:color w:val="000080"/>
                <w:sz w:val="20"/>
                <w:szCs w:val="20"/>
                <w:lang w:eastAsia="es-ES"/>
              </w:rPr>
            </w:pPr>
            <w:hyperlink r:id="rId24" w:history="1">
              <w:r w:rsidR="00062459" w:rsidRPr="00977067">
                <w:rPr>
                  <w:rStyle w:val="Hipervnculo"/>
                  <w:rFonts w:ascii="Arial" w:eastAsia="Times New Roman" w:hAnsi="Arial" w:cs="Arial"/>
                  <w:b/>
                  <w:sz w:val="20"/>
                  <w:szCs w:val="20"/>
                  <w:lang w:eastAsia="es-ES"/>
                </w:rPr>
                <w:t>Ver vigencia</w:t>
              </w:r>
            </w:hyperlink>
            <w:bookmarkStart w:id="0" w:name="_GoBack"/>
            <w:bookmarkEnd w:id="0"/>
          </w:p>
          <w:p w:rsidR="00062459" w:rsidRDefault="00062459" w:rsidP="008F5093">
            <w:pPr>
              <w:spacing w:after="0"/>
              <w:jc w:val="both"/>
              <w:rPr>
                <w:rFonts w:ascii="Arial" w:eastAsia="Times New Roman" w:hAnsi="Arial" w:cs="Arial"/>
                <w:color w:val="000080"/>
                <w:sz w:val="20"/>
                <w:szCs w:val="20"/>
                <w:lang w:eastAsia="es-ES"/>
              </w:rPr>
            </w:pPr>
          </w:p>
          <w:p w:rsidR="00490B31" w:rsidRDefault="00490B31" w:rsidP="008F5093">
            <w:pPr>
              <w:spacing w:after="0"/>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1.- Como segundo inciso del artículo 9, añádase el siguiente texto:</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“Los currículos nacionales de educación que expida la Autoridad Educativa Nacional dentro de los diversos tipos y modalidades del Sistema Nacional de Educación, tendrán el carácter intercultural y bilingüe, incluyendo conocimientos referentes a cada una de las nacionalidades y pueblos indígenas del país.”</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2.- Al final del artículo 34, como segundo inciso, incorpórese el siguiente texto:</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“El currículo del Bachillerato Técnico y del Bachillerato Técnico Productivo se basará en competencias laborales y su estructura será modular, la cual será definida por la Autoridad Educativa Nacional.”</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3.- Como segundo inciso del artículo 37, añádase el siguiente texto:</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“Las unidades educativas de producción se considerarán Entidades Operativas Desconcentradas y podrán administrar recursos de acuerdo a la normativa emitida por la entidad rectora de las finanzas públicas.”</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4.- Sustitúyase el texto del artículo 40, por el siguiente:</w:t>
            </w: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 40.- Jornada laboral docente. Los docentes fiscales deben cumplir con una jornada ordinaria de trabajo de cuarenta (40) horas reloj por semana.</w:t>
            </w:r>
          </w:p>
          <w:p w:rsidR="00053B97" w:rsidRPr="00053B97" w:rsidRDefault="00053B97" w:rsidP="00053B97">
            <w:pPr>
              <w:spacing w:after="0"/>
              <w:ind w:left="1163"/>
              <w:jc w:val="both"/>
              <w:rPr>
                <w:rFonts w:ascii="Arial" w:eastAsia="Times New Roman" w:hAnsi="Arial" w:cs="Arial"/>
                <w:color w:val="000080"/>
                <w:sz w:val="20"/>
                <w:szCs w:val="20"/>
                <w:lang w:eastAsia="es-ES"/>
              </w:rPr>
            </w:pP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Los docentes tendrán asignadas diariamente seis horas pedagógicas de labor en aula y deberán permanecer un mínimo de seis horas </w:t>
            </w:r>
            <w:proofErr w:type="gramStart"/>
            <w:r w:rsidRPr="00053B97">
              <w:rPr>
                <w:rFonts w:ascii="Arial" w:eastAsia="Times New Roman" w:hAnsi="Arial" w:cs="Arial"/>
                <w:color w:val="000080"/>
                <w:sz w:val="20"/>
                <w:szCs w:val="20"/>
                <w:lang w:eastAsia="es-ES"/>
              </w:rPr>
              <w:t>reloj diarias</w:t>
            </w:r>
            <w:proofErr w:type="gramEnd"/>
            <w:r w:rsidRPr="00053B97">
              <w:rPr>
                <w:rFonts w:ascii="Arial" w:eastAsia="Times New Roman" w:hAnsi="Arial" w:cs="Arial"/>
                <w:color w:val="000080"/>
                <w:sz w:val="20"/>
                <w:szCs w:val="20"/>
                <w:lang w:eastAsia="es-ES"/>
              </w:rPr>
              <w:t xml:space="preserve"> al interior del establecimiento educativo. El tiempo restante hasta cumplir las ocho horas reloj diarias podrá realizarse den</w:t>
            </w:r>
            <w:r>
              <w:rPr>
                <w:rFonts w:ascii="Arial" w:eastAsia="Times New Roman" w:hAnsi="Arial" w:cs="Arial"/>
                <w:color w:val="000080"/>
                <w:sz w:val="20"/>
                <w:szCs w:val="20"/>
                <w:lang w:eastAsia="es-ES"/>
              </w:rPr>
              <w:t xml:space="preserve">tro o fuera del establecimiento </w:t>
            </w:r>
            <w:r w:rsidRPr="00053B97">
              <w:rPr>
                <w:rFonts w:ascii="Arial" w:eastAsia="Times New Roman" w:hAnsi="Arial" w:cs="Arial"/>
                <w:color w:val="000080"/>
                <w:sz w:val="20"/>
                <w:szCs w:val="20"/>
                <w:lang w:eastAsia="es-ES"/>
              </w:rPr>
              <w:t>educativo y será dedicado a labores educativas fuera de clase, de conformidad con el artículo 41 del presente Reglamento y acorde a la planificación institucional.</w:t>
            </w:r>
          </w:p>
          <w:p w:rsidR="00053B97" w:rsidRPr="00053B97" w:rsidRDefault="00053B97" w:rsidP="00053B97">
            <w:pPr>
              <w:spacing w:after="0"/>
              <w:ind w:left="1163"/>
              <w:jc w:val="both"/>
              <w:rPr>
                <w:rFonts w:ascii="Arial" w:eastAsia="Times New Roman" w:hAnsi="Arial" w:cs="Arial"/>
                <w:color w:val="000080"/>
                <w:sz w:val="20"/>
                <w:szCs w:val="20"/>
                <w:lang w:eastAsia="es-ES"/>
              </w:rPr>
            </w:pP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El personal docente en funciones directivas y el personal que labora en el departamento de consejería estudiantil deberá permanecer en el establecimiento educativo ocho horas diarias. </w:t>
            </w:r>
          </w:p>
          <w:p w:rsidR="00053B97" w:rsidRDefault="00053B97" w:rsidP="00053B97">
            <w:pPr>
              <w:spacing w:after="0"/>
              <w:ind w:left="1163"/>
              <w:jc w:val="both"/>
              <w:rPr>
                <w:rFonts w:ascii="Arial" w:eastAsia="Times New Roman" w:hAnsi="Arial" w:cs="Arial"/>
                <w:color w:val="000080"/>
                <w:sz w:val="20"/>
                <w:szCs w:val="20"/>
                <w:lang w:eastAsia="es-ES"/>
              </w:rPr>
            </w:pP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En el caso de docentes con funciones de inspector, docentes de bachillerato técnico y docentes acreditados para Bachillerato Internacional, el tiempo de permanencia en el establecimiento responderá a una planificación </w:t>
            </w:r>
            <w:proofErr w:type="spellStart"/>
            <w:r w:rsidRPr="00053B97">
              <w:rPr>
                <w:rFonts w:ascii="Arial" w:eastAsia="Times New Roman" w:hAnsi="Arial" w:cs="Arial"/>
                <w:color w:val="000080"/>
                <w:sz w:val="20"/>
                <w:szCs w:val="20"/>
                <w:lang w:eastAsia="es-ES"/>
              </w:rPr>
              <w:t>quimestral</w:t>
            </w:r>
            <w:proofErr w:type="spellEnd"/>
            <w:r w:rsidRPr="00053B97">
              <w:rPr>
                <w:rFonts w:ascii="Arial" w:eastAsia="Times New Roman" w:hAnsi="Arial" w:cs="Arial"/>
                <w:color w:val="000080"/>
                <w:sz w:val="20"/>
                <w:szCs w:val="20"/>
                <w:lang w:eastAsia="es-ES"/>
              </w:rPr>
              <w:t xml:space="preserve"> preparada por la máxima autoridad del plantel y que deberá ser autorizado por los niveles desconcentrados correspondientes.</w:t>
            </w:r>
          </w:p>
          <w:p w:rsidR="00053B97" w:rsidRPr="00053B97" w:rsidRDefault="00053B97" w:rsidP="00053B97">
            <w:pPr>
              <w:spacing w:after="0"/>
              <w:ind w:left="1163"/>
              <w:jc w:val="both"/>
              <w:rPr>
                <w:rFonts w:ascii="Arial" w:eastAsia="Times New Roman" w:hAnsi="Arial" w:cs="Arial"/>
                <w:color w:val="000080"/>
                <w:sz w:val="20"/>
                <w:szCs w:val="20"/>
                <w:lang w:eastAsia="es-ES"/>
              </w:rPr>
            </w:pP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Cuando un docente no cumpla con la totalidad de sus treinta horas pedagógicas semanales en un mismo establecimiento educativo, debe completarlas en otra institución del Circuito o Distrito, de conformidad con la normativa específica que para el efecto emita el Nivel Central de la Autoridad Educativa Nacional.</w:t>
            </w:r>
          </w:p>
          <w:p w:rsidR="00053B97" w:rsidRPr="00053B97" w:rsidRDefault="00053B97" w:rsidP="00053B97">
            <w:pPr>
              <w:spacing w:after="0"/>
              <w:ind w:left="1163"/>
              <w:jc w:val="both"/>
              <w:rPr>
                <w:rFonts w:ascii="Arial" w:eastAsia="Times New Roman" w:hAnsi="Arial" w:cs="Arial"/>
                <w:color w:val="000080"/>
                <w:sz w:val="20"/>
                <w:szCs w:val="20"/>
                <w:lang w:eastAsia="es-ES"/>
              </w:rPr>
            </w:pPr>
          </w:p>
          <w:p w:rsid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La jornada de trabajo de los docentes de instituciones educativas particulares y los docentes sin nombramiento fiscal de instituciones </w:t>
            </w:r>
            <w:proofErr w:type="spellStart"/>
            <w:r w:rsidRPr="00053B97">
              <w:rPr>
                <w:rFonts w:ascii="Arial" w:eastAsia="Times New Roman" w:hAnsi="Arial" w:cs="Arial"/>
                <w:color w:val="000080"/>
                <w:sz w:val="20"/>
                <w:szCs w:val="20"/>
                <w:lang w:eastAsia="es-ES"/>
              </w:rPr>
              <w:t>fiscomisionales</w:t>
            </w:r>
            <w:proofErr w:type="spellEnd"/>
            <w:r w:rsidRPr="00053B97">
              <w:rPr>
                <w:rFonts w:ascii="Arial" w:eastAsia="Times New Roman" w:hAnsi="Arial" w:cs="Arial"/>
                <w:color w:val="000080"/>
                <w:sz w:val="20"/>
                <w:szCs w:val="20"/>
                <w:lang w:eastAsia="es-ES"/>
              </w:rPr>
              <w:t xml:space="preserve"> debe ser regulada de conformidad con lo prescrito en el Código de Trabajo, garantizando el cumplimiento de todas las actividades de gestión individual y participativa prescritas en el presente Reglamento.”</w:t>
            </w:r>
          </w:p>
          <w:p w:rsidR="00053B97" w:rsidRP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5.- Sustitúyase el segundo inciso del artículo 146, por el siguiente:</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“El año lectivo en las instituciones educativas públicas, </w:t>
            </w:r>
            <w:proofErr w:type="spellStart"/>
            <w:r w:rsidRPr="00053B97">
              <w:rPr>
                <w:rFonts w:ascii="Arial" w:eastAsia="Times New Roman" w:hAnsi="Arial" w:cs="Arial"/>
                <w:color w:val="000080"/>
                <w:sz w:val="20"/>
                <w:szCs w:val="20"/>
                <w:lang w:eastAsia="es-ES"/>
              </w:rPr>
              <w:t>fiscomisionales</w:t>
            </w:r>
            <w:proofErr w:type="spellEnd"/>
            <w:r w:rsidRPr="00053B97">
              <w:rPr>
                <w:rFonts w:ascii="Arial" w:eastAsia="Times New Roman" w:hAnsi="Arial" w:cs="Arial"/>
                <w:color w:val="000080"/>
                <w:sz w:val="20"/>
                <w:szCs w:val="20"/>
                <w:lang w:eastAsia="es-ES"/>
              </w:rPr>
              <w:t xml:space="preserve"> y particulares debe empezar hasta la primera semana de mayo en el régimen de Costa y hasta la primera semana de septiembre en el régimen de Sierra, salvo situaciones de emergencia oficialmente declaradas por el Nivel Central de la Autoridad Educativa Nacional.”.</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6.- Sustitúyase el artículo 198, por el siguiente texto:</w:t>
            </w:r>
          </w:p>
          <w:p w:rsidR="00053B97" w:rsidRPr="00053B97" w:rsidRDefault="00053B97" w:rsidP="002303C0">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 198.- Requisitos para la obtención del título de bachiller.- Para obtener el título de bachiller, el estudiante debe:</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1. Obtener una nota final mínima de siete sobre diez (7/10) que será un promedio ponderado de las siguientes calificaciones:</w:t>
            </w:r>
          </w:p>
          <w:p w:rsidR="00053B97" w:rsidRPr="00053B97" w:rsidRDefault="00053B97" w:rsidP="00053B97">
            <w:pPr>
              <w:spacing w:after="0"/>
              <w:ind w:left="158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i. El promedio obtenido en el subnivel de Básica Superior, equivalente al 30%;</w:t>
            </w:r>
          </w:p>
          <w:p w:rsidR="00053B97" w:rsidRPr="00053B97" w:rsidRDefault="00053B97" w:rsidP="00053B97">
            <w:pPr>
              <w:spacing w:after="0"/>
              <w:ind w:left="158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ii El promedio de los tres (3) años de Bachillerato, equivalente al 40%; y</w:t>
            </w:r>
          </w:p>
          <w:p w:rsidR="00053B97" w:rsidRPr="00053B97" w:rsidRDefault="00053B97" w:rsidP="00053B97">
            <w:pPr>
              <w:spacing w:after="0"/>
              <w:ind w:left="158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iii. La nota del examen de grado, eq</w:t>
            </w:r>
            <w:r>
              <w:rPr>
                <w:rFonts w:ascii="Arial" w:eastAsia="Times New Roman" w:hAnsi="Arial" w:cs="Arial"/>
                <w:color w:val="000080"/>
                <w:sz w:val="20"/>
                <w:szCs w:val="20"/>
                <w:lang w:eastAsia="es-ES"/>
              </w:rPr>
              <w:t>uivalente en el promedio a 30%.</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2.</w:t>
            </w:r>
            <w:r w:rsidRPr="00053B97">
              <w:rPr>
                <w:rFonts w:ascii="Arial" w:eastAsia="Times New Roman" w:hAnsi="Arial" w:cs="Arial"/>
                <w:color w:val="000080"/>
                <w:sz w:val="20"/>
                <w:szCs w:val="20"/>
                <w:lang w:eastAsia="es-ES"/>
              </w:rPr>
              <w:tab/>
              <w:t>Obtener un puntaje de al menos siete sobre diez (7/10) en el componente de base estructurada del examen de grado.</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3.</w:t>
            </w:r>
            <w:r w:rsidRPr="00053B97">
              <w:rPr>
                <w:rFonts w:ascii="Arial" w:eastAsia="Times New Roman" w:hAnsi="Arial" w:cs="Arial"/>
                <w:color w:val="000080"/>
                <w:sz w:val="20"/>
                <w:szCs w:val="20"/>
                <w:lang w:eastAsia="es-ES"/>
              </w:rPr>
              <w:tab/>
              <w:t>Haber aprobado las actividades de participación estudiantil obligatorias, según lo contemplado en el presente reglamento.</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4.</w:t>
            </w:r>
            <w:r w:rsidRPr="00053B97">
              <w:rPr>
                <w:rFonts w:ascii="Arial" w:eastAsia="Times New Roman" w:hAnsi="Arial" w:cs="Arial"/>
                <w:color w:val="000080"/>
                <w:sz w:val="20"/>
                <w:szCs w:val="20"/>
                <w:lang w:eastAsia="es-ES"/>
              </w:rPr>
              <w:tab/>
              <w:t>Los demás requisitos previstos en la normativa vigente.</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 xml:space="preserve">En el caso de las modalidades </w:t>
            </w:r>
            <w:proofErr w:type="spellStart"/>
            <w:r w:rsidRPr="00053B97">
              <w:rPr>
                <w:rFonts w:ascii="Arial" w:eastAsia="Times New Roman" w:hAnsi="Arial" w:cs="Arial"/>
                <w:color w:val="000080"/>
                <w:sz w:val="20"/>
                <w:szCs w:val="20"/>
                <w:lang w:eastAsia="es-ES"/>
              </w:rPr>
              <w:t>semipresencial</w:t>
            </w:r>
            <w:proofErr w:type="spellEnd"/>
            <w:r w:rsidRPr="00053B97">
              <w:rPr>
                <w:rFonts w:ascii="Arial" w:eastAsia="Times New Roman" w:hAnsi="Arial" w:cs="Arial"/>
                <w:color w:val="000080"/>
                <w:sz w:val="20"/>
                <w:szCs w:val="20"/>
                <w:lang w:eastAsia="es-ES"/>
              </w:rPr>
              <w:t xml:space="preserve"> y a distancia, los estudiantes deben cumplir con los mismos requisitos.”</w:t>
            </w:r>
          </w:p>
          <w:p w:rsidR="00053B97" w:rsidRDefault="00053B97" w:rsidP="00053B97">
            <w:pPr>
              <w:spacing w:after="0"/>
              <w:ind w:left="738"/>
              <w:jc w:val="both"/>
              <w:rPr>
                <w:rFonts w:ascii="Arial" w:eastAsia="Times New Roman" w:hAnsi="Arial" w:cs="Arial"/>
                <w:color w:val="000080"/>
                <w:sz w:val="20"/>
                <w:szCs w:val="20"/>
                <w:lang w:eastAsia="es-ES"/>
              </w:rPr>
            </w:pPr>
          </w:p>
          <w:p w:rsidR="00053B97" w:rsidRPr="00053B97" w:rsidRDefault="00053B97" w:rsidP="00053B97">
            <w:pPr>
              <w:spacing w:after="0"/>
              <w:ind w:left="738"/>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Artículo 7.- Sustitúyase el artículo 199, por el siguiente:</w:t>
            </w: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Art. 199.- Examen de grado.- El examen de grado es una prueba acumulativa del nivel de Bachillerato que el estudiante rinde en el tercer año de este nivel como requisito previo para la obtención del título de bachiller.</w:t>
            </w:r>
          </w:p>
          <w:p w:rsidR="00053B97" w:rsidRDefault="00053B97" w:rsidP="00053B97">
            <w:pPr>
              <w:spacing w:after="0"/>
              <w:ind w:left="1163"/>
              <w:jc w:val="both"/>
              <w:rPr>
                <w:rFonts w:ascii="Arial" w:eastAsia="Times New Roman" w:hAnsi="Arial" w:cs="Arial"/>
                <w:color w:val="000080"/>
                <w:sz w:val="20"/>
                <w:szCs w:val="20"/>
                <w:lang w:eastAsia="es-ES"/>
              </w:rPr>
            </w:pP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El examen de grado tendrá dos componentes: una primera parte de base estructurada que corresponde a los conocimientos mínimos de los estándares nacionales y una segunda parte de evaluación de aptitudes que considerará habilidades de lenguaje pensamiento matemático y pensamiento abstracto.</w:t>
            </w:r>
          </w:p>
          <w:p w:rsidR="00053B97" w:rsidRDefault="00053B97" w:rsidP="00053B97">
            <w:pPr>
              <w:spacing w:after="0"/>
              <w:ind w:left="1163"/>
              <w:jc w:val="both"/>
              <w:rPr>
                <w:rFonts w:ascii="Arial" w:eastAsia="Times New Roman" w:hAnsi="Arial" w:cs="Arial"/>
                <w:color w:val="000080"/>
                <w:sz w:val="20"/>
                <w:szCs w:val="20"/>
                <w:lang w:eastAsia="es-ES"/>
              </w:rPr>
            </w:pPr>
          </w:p>
          <w:p w:rsidR="00053B97" w:rsidRPr="00053B97" w:rsidRDefault="00053B97" w:rsidP="00053B97">
            <w:pPr>
              <w:spacing w:after="0"/>
              <w:ind w:left="1163"/>
              <w:jc w:val="both"/>
              <w:rPr>
                <w:rFonts w:ascii="Arial" w:eastAsia="Times New Roman" w:hAnsi="Arial" w:cs="Arial"/>
                <w:color w:val="000080"/>
                <w:sz w:val="20"/>
                <w:szCs w:val="20"/>
                <w:lang w:eastAsia="es-ES"/>
              </w:rPr>
            </w:pPr>
            <w:r w:rsidRPr="00053B97">
              <w:rPr>
                <w:rFonts w:ascii="Arial" w:eastAsia="Times New Roman" w:hAnsi="Arial" w:cs="Arial"/>
                <w:color w:val="000080"/>
                <w:sz w:val="20"/>
                <w:szCs w:val="20"/>
                <w:lang w:eastAsia="es-ES"/>
              </w:rPr>
              <w:t>Los estudiantes que obtengan una nota menor a siete sobre diez (7/10) en el componente de conocimiento o no alcanzaren el promedio ponderado mínimo para la obtención de su título de bachiller, podrán rendir un examen supletorio de grado en las fechas establecidas por la Autoridad Educativa Nacional para el efecto. En el caso de persistir la insuficiencia de la nota obtenida luego de rendir el supletorio, podrán por una única ocasión adicional presentarse en la convocatoria siguiente del examen.”</w:t>
            </w:r>
          </w:p>
          <w:p w:rsidR="00053B97" w:rsidRDefault="00053B97" w:rsidP="00053B97">
            <w:pPr>
              <w:spacing w:after="0"/>
              <w:ind w:left="738"/>
              <w:jc w:val="both"/>
              <w:rPr>
                <w:rFonts w:ascii="Arial" w:eastAsia="Times New Roman" w:hAnsi="Arial" w:cs="Arial"/>
                <w:color w:val="000080"/>
                <w:sz w:val="20"/>
                <w:szCs w:val="20"/>
                <w:lang w:eastAsia="es-ES"/>
              </w:rPr>
            </w:pPr>
          </w:p>
          <w:p w:rsidR="00C96112" w:rsidRPr="00053B97" w:rsidRDefault="00053B97" w:rsidP="00053B97">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tc>
      </w:tr>
    </w:tbl>
    <w:p w:rsidR="00124B5B" w:rsidRDefault="00124B5B" w:rsidP="00C96112">
      <w:pPr>
        <w:jc w:val="both"/>
      </w:pPr>
    </w:p>
    <w:p w:rsidR="003878ED" w:rsidRPr="003878ED" w:rsidRDefault="003878ED" w:rsidP="003878ED">
      <w:pPr>
        <w:jc w:val="both"/>
      </w:pPr>
    </w:p>
    <w:sectPr w:rsidR="003878ED" w:rsidRPr="003878ED">
      <w:head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3A3" w:rsidRDefault="008D13A3" w:rsidP="00A50F78">
      <w:pPr>
        <w:spacing w:after="0"/>
      </w:pPr>
      <w:r>
        <w:separator/>
      </w:r>
    </w:p>
  </w:endnote>
  <w:endnote w:type="continuationSeparator" w:id="0">
    <w:p w:rsidR="008D13A3" w:rsidRDefault="008D13A3" w:rsidP="00A50F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3A3" w:rsidRDefault="008D13A3" w:rsidP="00A50F78">
      <w:pPr>
        <w:spacing w:after="0"/>
      </w:pPr>
      <w:r>
        <w:separator/>
      </w:r>
    </w:p>
  </w:footnote>
  <w:footnote w:type="continuationSeparator" w:id="0">
    <w:p w:rsidR="008D13A3" w:rsidRDefault="008D13A3" w:rsidP="00A50F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59" w:rsidRDefault="00062459">
    <w:pPr>
      <w:pStyle w:val="Encabezado"/>
    </w:pPr>
    <w:r>
      <w:rPr>
        <w:noProof/>
        <w:lang w:eastAsia="es-EC"/>
      </w:rPr>
      <w:drawing>
        <wp:anchor distT="0" distB="0" distL="114300" distR="114300" simplePos="0" relativeHeight="251659264" behindDoc="1" locked="0" layoutInCell="1" allowOverlap="1" wp14:anchorId="65D6706F" wp14:editId="6EA42D82">
          <wp:simplePos x="0" y="0"/>
          <wp:positionH relativeFrom="margin">
            <wp:posOffset>2432050</wp:posOffset>
          </wp:positionH>
          <wp:positionV relativeFrom="paragraph">
            <wp:posOffset>-140335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47C"/>
    <w:multiLevelType w:val="hybridMultilevel"/>
    <w:tmpl w:val="1AEC309A"/>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
    <w:nsid w:val="015B3F9C"/>
    <w:multiLevelType w:val="hybridMultilevel"/>
    <w:tmpl w:val="FBE41BB4"/>
    <w:lvl w:ilvl="0" w:tplc="DF14A1D6">
      <w:start w:val="1"/>
      <w:numFmt w:val="lowerLetter"/>
      <w:lvlText w:val="%1)"/>
      <w:lvlJc w:val="left"/>
      <w:pPr>
        <w:ind w:left="956" w:hanging="360"/>
      </w:pPr>
      <w:rPr>
        <w:rFonts w:hint="default"/>
      </w:rPr>
    </w:lvl>
    <w:lvl w:ilvl="1" w:tplc="EFC060F8">
      <w:start w:val="1"/>
      <w:numFmt w:val="lowerLetter"/>
      <w:lvlText w:val="%2)"/>
      <w:lvlJc w:val="left"/>
      <w:pPr>
        <w:ind w:left="2006" w:hanging="690"/>
      </w:pPr>
      <w:rPr>
        <w:rFonts w:hint="default"/>
      </w:rPr>
    </w:lvl>
    <w:lvl w:ilvl="2" w:tplc="4398936C">
      <w:start w:val="1"/>
      <w:numFmt w:val="decimal"/>
      <w:lvlText w:val="%3."/>
      <w:lvlJc w:val="left"/>
      <w:pPr>
        <w:ind w:left="2891" w:hanging="675"/>
      </w:pPr>
      <w:rPr>
        <w:rFonts w:hint="default"/>
      </w:rPr>
    </w:lvl>
    <w:lvl w:ilvl="3" w:tplc="05A87CB6">
      <w:start w:val="1"/>
      <w:numFmt w:val="lowerLetter"/>
      <w:lvlText w:val="%4."/>
      <w:lvlJc w:val="left"/>
      <w:pPr>
        <w:ind w:left="3431" w:hanging="675"/>
      </w:pPr>
      <w:rPr>
        <w:rFonts w:hint="default"/>
      </w:r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
    <w:nsid w:val="0B295BB8"/>
    <w:multiLevelType w:val="hybridMultilevel"/>
    <w:tmpl w:val="CB4A56A0"/>
    <w:lvl w:ilvl="0" w:tplc="300A000F" w:tentative="1">
      <w:start w:val="1"/>
      <w:numFmt w:val="decimal"/>
      <w:lvlText w:val="%1."/>
      <w:lvlJc w:val="left"/>
      <w:pPr>
        <w:ind w:left="3996"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
    <w:nsid w:val="0F347101"/>
    <w:multiLevelType w:val="hybridMultilevel"/>
    <w:tmpl w:val="242E8046"/>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4">
    <w:nsid w:val="1565038E"/>
    <w:multiLevelType w:val="hybridMultilevel"/>
    <w:tmpl w:val="B99E84C4"/>
    <w:lvl w:ilvl="0" w:tplc="7C46315A">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5">
    <w:nsid w:val="18C20C3C"/>
    <w:multiLevelType w:val="hybridMultilevel"/>
    <w:tmpl w:val="F36869B4"/>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D0503E8C">
      <w:start w:val="1"/>
      <w:numFmt w:val="decimal"/>
      <w:lvlText w:val="%3."/>
      <w:lvlJc w:val="left"/>
      <w:pPr>
        <w:ind w:left="2898" w:hanging="180"/>
      </w:pPr>
      <w:rPr>
        <w:rFonts w:hint="default"/>
      </w:r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229314C0"/>
    <w:multiLevelType w:val="hybridMultilevel"/>
    <w:tmpl w:val="20A47C7A"/>
    <w:lvl w:ilvl="0" w:tplc="AF68BB62">
      <w:start w:val="1"/>
      <w:numFmt w:val="decimal"/>
      <w:lvlText w:val="%1)"/>
      <w:lvlJc w:val="left"/>
      <w:pPr>
        <w:ind w:left="1098" w:hanging="360"/>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7">
    <w:nsid w:val="24713B62"/>
    <w:multiLevelType w:val="hybridMultilevel"/>
    <w:tmpl w:val="B3AA31EC"/>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8">
    <w:nsid w:val="287F4B98"/>
    <w:multiLevelType w:val="hybridMultilevel"/>
    <w:tmpl w:val="A64AE898"/>
    <w:lvl w:ilvl="0" w:tplc="300A0017">
      <w:start w:val="1"/>
      <w:numFmt w:val="lowerLetter"/>
      <w:lvlText w:val="%1)"/>
      <w:lvlJc w:val="left"/>
      <w:pPr>
        <w:ind w:left="1316" w:hanging="360"/>
      </w:pPr>
    </w:lvl>
    <w:lvl w:ilvl="1" w:tplc="300A0019">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9">
    <w:nsid w:val="2EA52E95"/>
    <w:multiLevelType w:val="hybridMultilevel"/>
    <w:tmpl w:val="70587CDE"/>
    <w:lvl w:ilvl="0" w:tplc="300A0017">
      <w:start w:val="1"/>
      <w:numFmt w:val="lowerLetter"/>
      <w:lvlText w:val="%1)"/>
      <w:lvlJc w:val="left"/>
      <w:pPr>
        <w:ind w:left="1316" w:hanging="360"/>
      </w:pPr>
    </w:lvl>
    <w:lvl w:ilvl="1" w:tplc="300A0019">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0">
    <w:nsid w:val="3326714C"/>
    <w:multiLevelType w:val="hybridMultilevel"/>
    <w:tmpl w:val="144AA2A6"/>
    <w:lvl w:ilvl="0" w:tplc="79C85C5E">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1">
    <w:nsid w:val="448F7586"/>
    <w:multiLevelType w:val="hybridMultilevel"/>
    <w:tmpl w:val="77A8C376"/>
    <w:lvl w:ilvl="0" w:tplc="BF6C4A66">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2">
    <w:nsid w:val="4F3D0CD2"/>
    <w:multiLevelType w:val="hybridMultilevel"/>
    <w:tmpl w:val="1898E1CE"/>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3">
    <w:nsid w:val="58B609E3"/>
    <w:multiLevelType w:val="hybridMultilevel"/>
    <w:tmpl w:val="32B6FAEE"/>
    <w:lvl w:ilvl="0" w:tplc="C4A8F5CC">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4">
    <w:nsid w:val="5D2D4D4D"/>
    <w:multiLevelType w:val="hybridMultilevel"/>
    <w:tmpl w:val="84541754"/>
    <w:lvl w:ilvl="0" w:tplc="300A0017">
      <w:start w:val="1"/>
      <w:numFmt w:val="lowerLetter"/>
      <w:lvlText w:val="%1)"/>
      <w:lvlJc w:val="left"/>
      <w:pPr>
        <w:ind w:left="2167" w:hanging="360"/>
      </w:pPr>
    </w:lvl>
    <w:lvl w:ilvl="1" w:tplc="300A0019">
      <w:start w:val="1"/>
      <w:numFmt w:val="lowerLetter"/>
      <w:lvlText w:val="%2."/>
      <w:lvlJc w:val="left"/>
      <w:pPr>
        <w:ind w:left="2887" w:hanging="360"/>
      </w:pPr>
    </w:lvl>
    <w:lvl w:ilvl="2" w:tplc="300A001B" w:tentative="1">
      <w:start w:val="1"/>
      <w:numFmt w:val="lowerRoman"/>
      <w:lvlText w:val="%3."/>
      <w:lvlJc w:val="right"/>
      <w:pPr>
        <w:ind w:left="3607" w:hanging="180"/>
      </w:pPr>
    </w:lvl>
    <w:lvl w:ilvl="3" w:tplc="300A000F" w:tentative="1">
      <w:start w:val="1"/>
      <w:numFmt w:val="decimal"/>
      <w:lvlText w:val="%4."/>
      <w:lvlJc w:val="left"/>
      <w:pPr>
        <w:ind w:left="4327" w:hanging="360"/>
      </w:pPr>
    </w:lvl>
    <w:lvl w:ilvl="4" w:tplc="300A0019" w:tentative="1">
      <w:start w:val="1"/>
      <w:numFmt w:val="lowerLetter"/>
      <w:lvlText w:val="%5."/>
      <w:lvlJc w:val="left"/>
      <w:pPr>
        <w:ind w:left="5047" w:hanging="360"/>
      </w:pPr>
    </w:lvl>
    <w:lvl w:ilvl="5" w:tplc="300A001B" w:tentative="1">
      <w:start w:val="1"/>
      <w:numFmt w:val="lowerRoman"/>
      <w:lvlText w:val="%6."/>
      <w:lvlJc w:val="right"/>
      <w:pPr>
        <w:ind w:left="5767" w:hanging="180"/>
      </w:pPr>
    </w:lvl>
    <w:lvl w:ilvl="6" w:tplc="300A000F" w:tentative="1">
      <w:start w:val="1"/>
      <w:numFmt w:val="decimal"/>
      <w:lvlText w:val="%7."/>
      <w:lvlJc w:val="left"/>
      <w:pPr>
        <w:ind w:left="6487" w:hanging="360"/>
      </w:pPr>
    </w:lvl>
    <w:lvl w:ilvl="7" w:tplc="300A0019" w:tentative="1">
      <w:start w:val="1"/>
      <w:numFmt w:val="lowerLetter"/>
      <w:lvlText w:val="%8."/>
      <w:lvlJc w:val="left"/>
      <w:pPr>
        <w:ind w:left="7207" w:hanging="360"/>
      </w:pPr>
    </w:lvl>
    <w:lvl w:ilvl="8" w:tplc="300A001B" w:tentative="1">
      <w:start w:val="1"/>
      <w:numFmt w:val="lowerRoman"/>
      <w:lvlText w:val="%9."/>
      <w:lvlJc w:val="right"/>
      <w:pPr>
        <w:ind w:left="7927" w:hanging="180"/>
      </w:pPr>
    </w:lvl>
  </w:abstractNum>
  <w:abstractNum w:abstractNumId="15">
    <w:nsid w:val="653328A4"/>
    <w:multiLevelType w:val="hybridMultilevel"/>
    <w:tmpl w:val="BAEA4310"/>
    <w:lvl w:ilvl="0" w:tplc="300A0017">
      <w:start w:val="1"/>
      <w:numFmt w:val="lowerLetter"/>
      <w:lvlText w:val="%1)"/>
      <w:lvlJc w:val="left"/>
      <w:pPr>
        <w:ind w:left="1316" w:hanging="360"/>
      </w:pPr>
    </w:lvl>
    <w:lvl w:ilvl="1" w:tplc="300A0019">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6">
    <w:nsid w:val="6D772C44"/>
    <w:multiLevelType w:val="hybridMultilevel"/>
    <w:tmpl w:val="F6AA6FF0"/>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7">
    <w:nsid w:val="6ED06843"/>
    <w:multiLevelType w:val="hybridMultilevel"/>
    <w:tmpl w:val="19AAF8C8"/>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8">
    <w:nsid w:val="736B1143"/>
    <w:multiLevelType w:val="hybridMultilevel"/>
    <w:tmpl w:val="D63A0D42"/>
    <w:lvl w:ilvl="0" w:tplc="300A0017">
      <w:start w:val="1"/>
      <w:numFmt w:val="lowerLetter"/>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9">
    <w:nsid w:val="7AAF4E30"/>
    <w:multiLevelType w:val="hybridMultilevel"/>
    <w:tmpl w:val="F77033BC"/>
    <w:lvl w:ilvl="0" w:tplc="D4A429DA">
      <w:start w:val="1"/>
      <w:numFmt w:val="lowerLetter"/>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num w:numId="1">
    <w:abstractNumId w:val="3"/>
  </w:num>
  <w:num w:numId="2">
    <w:abstractNumId w:val="10"/>
  </w:num>
  <w:num w:numId="3">
    <w:abstractNumId w:val="18"/>
  </w:num>
  <w:num w:numId="4">
    <w:abstractNumId w:val="19"/>
  </w:num>
  <w:num w:numId="5">
    <w:abstractNumId w:val="1"/>
  </w:num>
  <w:num w:numId="6">
    <w:abstractNumId w:val="13"/>
  </w:num>
  <w:num w:numId="7">
    <w:abstractNumId w:val="14"/>
  </w:num>
  <w:num w:numId="8">
    <w:abstractNumId w:val="15"/>
  </w:num>
  <w:num w:numId="9">
    <w:abstractNumId w:val="8"/>
  </w:num>
  <w:num w:numId="10">
    <w:abstractNumId w:val="9"/>
  </w:num>
  <w:num w:numId="11">
    <w:abstractNumId w:val="6"/>
  </w:num>
  <w:num w:numId="12">
    <w:abstractNumId w:val="12"/>
  </w:num>
  <w:num w:numId="13">
    <w:abstractNumId w:val="5"/>
  </w:num>
  <w:num w:numId="14">
    <w:abstractNumId w:val="0"/>
  </w:num>
  <w:num w:numId="15">
    <w:abstractNumId w:val="16"/>
  </w:num>
  <w:num w:numId="16">
    <w:abstractNumId w:val="17"/>
  </w:num>
  <w:num w:numId="17">
    <w:abstractNumId w:val="7"/>
  </w:num>
  <w:num w:numId="18">
    <w:abstractNumId w:val="4"/>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443"/>
    <w:rsid w:val="00014D6E"/>
    <w:rsid w:val="00016221"/>
    <w:rsid w:val="00053B97"/>
    <w:rsid w:val="00062459"/>
    <w:rsid w:val="00080434"/>
    <w:rsid w:val="000A1622"/>
    <w:rsid w:val="000C4C33"/>
    <w:rsid w:val="000E37AA"/>
    <w:rsid w:val="00101B81"/>
    <w:rsid w:val="00124B5B"/>
    <w:rsid w:val="00141240"/>
    <w:rsid w:val="001439CC"/>
    <w:rsid w:val="00155F10"/>
    <w:rsid w:val="0021112E"/>
    <w:rsid w:val="002237BE"/>
    <w:rsid w:val="002303C0"/>
    <w:rsid w:val="00243C0B"/>
    <w:rsid w:val="002643C6"/>
    <w:rsid w:val="002B2D82"/>
    <w:rsid w:val="002B76B8"/>
    <w:rsid w:val="002C328E"/>
    <w:rsid w:val="00310D16"/>
    <w:rsid w:val="003878ED"/>
    <w:rsid w:val="003F0455"/>
    <w:rsid w:val="00417D7A"/>
    <w:rsid w:val="00446A23"/>
    <w:rsid w:val="00454E8F"/>
    <w:rsid w:val="00475733"/>
    <w:rsid w:val="00490B31"/>
    <w:rsid w:val="00495BCC"/>
    <w:rsid w:val="004D7418"/>
    <w:rsid w:val="004E3EF0"/>
    <w:rsid w:val="00506DD7"/>
    <w:rsid w:val="005A29E6"/>
    <w:rsid w:val="005E0D28"/>
    <w:rsid w:val="00652883"/>
    <w:rsid w:val="00667C72"/>
    <w:rsid w:val="007005CB"/>
    <w:rsid w:val="00700DC3"/>
    <w:rsid w:val="00733270"/>
    <w:rsid w:val="007B5108"/>
    <w:rsid w:val="008331CB"/>
    <w:rsid w:val="00887443"/>
    <w:rsid w:val="00887891"/>
    <w:rsid w:val="008907BA"/>
    <w:rsid w:val="008D13A3"/>
    <w:rsid w:val="008E4FE1"/>
    <w:rsid w:val="008F5093"/>
    <w:rsid w:val="0092041F"/>
    <w:rsid w:val="0096103A"/>
    <w:rsid w:val="00966691"/>
    <w:rsid w:val="00977067"/>
    <w:rsid w:val="0099155E"/>
    <w:rsid w:val="009D3D32"/>
    <w:rsid w:val="00A424D2"/>
    <w:rsid w:val="00A50F78"/>
    <w:rsid w:val="00AA0F71"/>
    <w:rsid w:val="00AE4B9B"/>
    <w:rsid w:val="00B36011"/>
    <w:rsid w:val="00B4498F"/>
    <w:rsid w:val="00B842D4"/>
    <w:rsid w:val="00B96C7F"/>
    <w:rsid w:val="00BD4DEF"/>
    <w:rsid w:val="00C0313A"/>
    <w:rsid w:val="00C85202"/>
    <w:rsid w:val="00C96112"/>
    <w:rsid w:val="00CA3175"/>
    <w:rsid w:val="00DD26B8"/>
    <w:rsid w:val="00DE49C1"/>
    <w:rsid w:val="00DF09CD"/>
    <w:rsid w:val="00E213A8"/>
    <w:rsid w:val="00E93945"/>
    <w:rsid w:val="00F01B43"/>
    <w:rsid w:val="00F10419"/>
    <w:rsid w:val="00F2516D"/>
    <w:rsid w:val="00FB04F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4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0F78"/>
    <w:pPr>
      <w:tabs>
        <w:tab w:val="center" w:pos="4252"/>
        <w:tab w:val="right" w:pos="8504"/>
      </w:tabs>
      <w:spacing w:after="0"/>
    </w:pPr>
  </w:style>
  <w:style w:type="character" w:customStyle="1" w:styleId="EncabezadoCar">
    <w:name w:val="Encabezado Car"/>
    <w:basedOn w:val="Fuentedeprrafopredeter"/>
    <w:link w:val="Encabezado"/>
    <w:uiPriority w:val="99"/>
    <w:rsid w:val="00A50F78"/>
  </w:style>
  <w:style w:type="paragraph" w:styleId="Piedepgina">
    <w:name w:val="footer"/>
    <w:basedOn w:val="Normal"/>
    <w:link w:val="PiedepginaCar"/>
    <w:uiPriority w:val="99"/>
    <w:unhideWhenUsed/>
    <w:rsid w:val="00A50F78"/>
    <w:pPr>
      <w:tabs>
        <w:tab w:val="center" w:pos="4252"/>
        <w:tab w:val="right" w:pos="8504"/>
      </w:tabs>
      <w:spacing w:after="0"/>
    </w:pPr>
  </w:style>
  <w:style w:type="character" w:customStyle="1" w:styleId="PiedepginaCar">
    <w:name w:val="Pie de página Car"/>
    <w:basedOn w:val="Fuentedeprrafopredeter"/>
    <w:link w:val="Piedepgina"/>
    <w:uiPriority w:val="99"/>
    <w:rsid w:val="00A50F78"/>
  </w:style>
  <w:style w:type="character" w:styleId="Hipervnculo">
    <w:name w:val="Hyperlink"/>
    <w:basedOn w:val="Fuentedeprrafopredeter"/>
    <w:uiPriority w:val="99"/>
    <w:unhideWhenUsed/>
    <w:rsid w:val="00C0313A"/>
    <w:rPr>
      <w:color w:val="0563C1" w:themeColor="hyperlink"/>
      <w:u w:val="single"/>
    </w:rPr>
  </w:style>
  <w:style w:type="paragraph" w:styleId="Prrafodelista">
    <w:name w:val="List Paragraph"/>
    <w:basedOn w:val="Normal"/>
    <w:uiPriority w:val="34"/>
    <w:qFormat/>
    <w:rsid w:val="007332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4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0F78"/>
    <w:pPr>
      <w:tabs>
        <w:tab w:val="center" w:pos="4252"/>
        <w:tab w:val="right" w:pos="8504"/>
      </w:tabs>
      <w:spacing w:after="0"/>
    </w:pPr>
  </w:style>
  <w:style w:type="character" w:customStyle="1" w:styleId="EncabezadoCar">
    <w:name w:val="Encabezado Car"/>
    <w:basedOn w:val="Fuentedeprrafopredeter"/>
    <w:link w:val="Encabezado"/>
    <w:uiPriority w:val="99"/>
    <w:rsid w:val="00A50F78"/>
  </w:style>
  <w:style w:type="paragraph" w:styleId="Piedepgina">
    <w:name w:val="footer"/>
    <w:basedOn w:val="Normal"/>
    <w:link w:val="PiedepginaCar"/>
    <w:uiPriority w:val="99"/>
    <w:unhideWhenUsed/>
    <w:rsid w:val="00A50F78"/>
    <w:pPr>
      <w:tabs>
        <w:tab w:val="center" w:pos="4252"/>
        <w:tab w:val="right" w:pos="8504"/>
      </w:tabs>
      <w:spacing w:after="0"/>
    </w:pPr>
  </w:style>
  <w:style w:type="character" w:customStyle="1" w:styleId="PiedepginaCar">
    <w:name w:val="Pie de página Car"/>
    <w:basedOn w:val="Fuentedeprrafopredeter"/>
    <w:link w:val="Piedepgina"/>
    <w:uiPriority w:val="99"/>
    <w:rsid w:val="00A50F78"/>
  </w:style>
  <w:style w:type="character" w:styleId="Hipervnculo">
    <w:name w:val="Hyperlink"/>
    <w:basedOn w:val="Fuentedeprrafopredeter"/>
    <w:uiPriority w:val="99"/>
    <w:unhideWhenUsed/>
    <w:rsid w:val="00C0313A"/>
    <w:rPr>
      <w:color w:val="0563C1" w:themeColor="hyperlink"/>
      <w:u w:val="single"/>
    </w:rPr>
  </w:style>
  <w:style w:type="paragraph" w:styleId="Prrafodelista">
    <w:name w:val="List Paragraph"/>
    <w:basedOn w:val="Normal"/>
    <w:uiPriority w:val="34"/>
    <w:qFormat/>
    <w:rsid w:val="0073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75374">
      <w:bodyDiv w:val="1"/>
      <w:marLeft w:val="0"/>
      <w:marRight w:val="0"/>
      <w:marTop w:val="0"/>
      <w:marBottom w:val="0"/>
      <w:divBdr>
        <w:top w:val="none" w:sz="0" w:space="0" w:color="auto"/>
        <w:left w:val="none" w:sz="0" w:space="0" w:color="auto"/>
        <w:bottom w:val="none" w:sz="0" w:space="0" w:color="auto"/>
        <w:right w:val="none" w:sz="0" w:space="0" w:color="auto"/>
      </w:divBdr>
    </w:div>
    <w:div w:id="1141922631">
      <w:bodyDiv w:val="1"/>
      <w:marLeft w:val="0"/>
      <w:marRight w:val="0"/>
      <w:marTop w:val="0"/>
      <w:marBottom w:val="0"/>
      <w:divBdr>
        <w:top w:val="none" w:sz="0" w:space="0" w:color="auto"/>
        <w:left w:val="none" w:sz="0" w:space="0" w:color="auto"/>
        <w:bottom w:val="none" w:sz="0" w:space="0" w:color="auto"/>
        <w:right w:val="none" w:sz="0" w:space="0" w:color="auto"/>
      </w:divBdr>
    </w:div>
    <w:div w:id="129934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DocumentVisualizer/FullDocumentVisualizerHTML.aspx?id=LABORAL-REGLAMENTO_AFILIACION_DE_PERSONAS_QUE_REALIZAN_TRABAJO_NO_REMUNERADO" TargetMode="External"/><Relationship Id="rId13" Type="http://schemas.openxmlformats.org/officeDocument/2006/relationships/hyperlink" Target="http://www.silec.com.ec/webtools/esilecpro/ImageVisualizer/ImageVisualizer.aspx?id=33153997CA18374C7B77D7FDADF77133F0E27BC6&amp;type=RO" TargetMode="External"/><Relationship Id="rId18" Type="http://schemas.openxmlformats.org/officeDocument/2006/relationships/hyperlink" Target="http://www.silec.com.ec/webtools/esilecpro/ImageVisualizer/ImageVisualizer.aspx?id=C334DDB68EED56E5FED6581686F4BE7A819CD779&amp;type=RO"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silec.com.ec/webtools/esilecpro/ImageVisualizer/ImageVisualizer.aspx?id=172FC7A523C4A316FD1E1D60D895302CF86EBDA9&amp;type=RO" TargetMode="External"/><Relationship Id="rId7" Type="http://schemas.openxmlformats.org/officeDocument/2006/relationships/endnotes" Target="endnotes.xml"/><Relationship Id="rId12" Type="http://schemas.openxmlformats.org/officeDocument/2006/relationships/hyperlink" Target="http://www.silec.com.ec/webtools/esilecpro/ImageVisualizer/ImageVisualizer.aspx?id=33153997CA18374C7B77D7FDADF77133F0E27BC6&amp;type=RO" TargetMode="External"/><Relationship Id="rId17" Type="http://schemas.openxmlformats.org/officeDocument/2006/relationships/hyperlink" Target="http://www.silec.com.ec/webtools/esilecpro/ImageVisualizer/ImageVisualizer.aspx?id=936F1BC62CC37E7BAFEF118C98B4A9D2105663AC&amp;type=R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ilec.com.ec/webtools/esilecpro/ImageVisualizer/ImageVisualizer.aspx?id=256827EC5C6523B0A7C5865C6D9C45C05B951C2A&amp;type=RO" TargetMode="External"/><Relationship Id="rId20" Type="http://schemas.openxmlformats.org/officeDocument/2006/relationships/hyperlink" Target="http://www.silec.com.ec/webtools/esilecpro/ImageVisualizer/ImageVisualizer.aspx?id=172FC7A523C4A316FD1E1D60D895302CF86EBDA9&amp;type=R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silec.com.ec/webtools/esilecpro/ImageVisualizer/ImageVisualizer.aspx?id=A4B95C250638929E92D90CAB68FD9BEE972B99F8&amp;type=RO" TargetMode="External"/><Relationship Id="rId5" Type="http://schemas.openxmlformats.org/officeDocument/2006/relationships/webSettings" Target="webSettings.xml"/><Relationship Id="rId15" Type="http://schemas.openxmlformats.org/officeDocument/2006/relationships/hyperlink" Target="http://www.silec.com.ec/webtools/esilecpro/ImageVisualizer/ImageVisualizer.aspx?id=D4491BBC776C2C200BFCA25849FA7DBFD037362B&amp;type=RO" TargetMode="External"/><Relationship Id="rId23" Type="http://schemas.openxmlformats.org/officeDocument/2006/relationships/hyperlink" Target="http://www.silec.com.ec/webtools/esilecpro/ImageVisualizer/ImageVisualizer.aspx?id=CF186764583C0F66DC6C616FF1262FC9C4B3592D&amp;type=RO" TargetMode="External"/><Relationship Id="rId10" Type="http://schemas.openxmlformats.org/officeDocument/2006/relationships/hyperlink" Target="http://www.silec.com.ec/webtools/esilecpro/ImageVisualizer/ImageVisualizer.aspx?id=33153997CA18374C7B77D7FDADF77133F0E27BC6&amp;type=RO" TargetMode="External"/><Relationship Id="rId19" Type="http://schemas.openxmlformats.org/officeDocument/2006/relationships/hyperlink" Target="http://www.silec.com.ec/webtools/esilecpro/ImageVisualizer/ImageVisualizer.aspx?id=CB2CB75DEFFC1B59B9F363A00AAF029542D13FB8&amp;type=RO" TargetMode="External"/><Relationship Id="rId4" Type="http://schemas.openxmlformats.org/officeDocument/2006/relationships/settings" Target="settings.xml"/><Relationship Id="rId9" Type="http://schemas.openxmlformats.org/officeDocument/2006/relationships/hyperlink" Target="http://www.iess.gob.ec" TargetMode="External"/><Relationship Id="rId14" Type="http://schemas.openxmlformats.org/officeDocument/2006/relationships/hyperlink" Target="http://www.silec.com.ec/webtools/esilecpro/ImageVisualizer/ImageVisualizer.aspx?id=33153997CA18374C7B77D7FDADF77133F0E27BC6&amp;type=RO" TargetMode="External"/><Relationship Id="rId22" Type="http://schemas.openxmlformats.org/officeDocument/2006/relationships/hyperlink" Target="http://www.silec.com.ec/webtools/esilecpro/ImageVisualizer/ImageVisualizer.aspx?id=CF186764583C0F66DC6C616FF1262FC9C4B3592D&amp;type=R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11252</Words>
  <Characters>61886</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2</cp:revision>
  <dcterms:created xsi:type="dcterms:W3CDTF">2015-12-01T16:53:00Z</dcterms:created>
  <dcterms:modified xsi:type="dcterms:W3CDTF">2015-12-01T16:53:00Z</dcterms:modified>
</cp:coreProperties>
</file>