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3EB" w:rsidRPr="006B7455" w:rsidRDefault="003E63EB" w:rsidP="003E63EB">
      <w:pPr>
        <w:pStyle w:val="Ttulo3"/>
        <w:spacing w:before="0" w:line="360" w:lineRule="auto"/>
        <w:jc w:val="both"/>
        <w:rPr>
          <w:rFonts w:eastAsia="BatangChe"/>
        </w:rPr>
      </w:pPr>
      <w:bookmarkStart w:id="0" w:name="_GoBack"/>
      <w:r w:rsidRPr="006B7455">
        <w:rPr>
          <w:rFonts w:eastAsia="BatangChe"/>
        </w:rPr>
        <w:t>La Convención Americana sobre Derechos Humanos</w:t>
      </w:r>
      <w:bookmarkEnd w:id="0"/>
      <w:r w:rsidRPr="006B7455">
        <w:rPr>
          <w:rFonts w:eastAsia="BatangChe"/>
        </w:rPr>
        <w:t>: Manifestación de voluntad de los Estados de someterse a un sistema coadyuvante y complementario de protección de derechos humanos.</w:t>
      </w:r>
    </w:p>
    <w:p w:rsidR="003E63EB" w:rsidRPr="006B7455" w:rsidRDefault="003E63EB" w:rsidP="003E63EB">
      <w:pPr>
        <w:spacing w:after="0" w:line="360" w:lineRule="auto"/>
        <w:jc w:val="both"/>
        <w:rPr>
          <w:rFonts w:ascii="Bookman Old Style" w:eastAsia="BatangChe" w:hAnsi="Bookman Old Style"/>
          <w:sz w:val="24"/>
          <w:szCs w:val="24"/>
        </w:rPr>
      </w:pPr>
    </w:p>
    <w:p w:rsidR="003E63EB" w:rsidRPr="006B7455" w:rsidRDefault="003E63EB" w:rsidP="003E63EB">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Una vez que se ha establecido la obligatoriedad de los Estados de cumplir con la CADH, y luego de haber definido la responsabilidad internacional del Estado derivada del hecho internacional</w:t>
      </w:r>
      <w:r>
        <w:rPr>
          <w:rFonts w:ascii="Bookman Old Style" w:eastAsia="BatangChe" w:hAnsi="Bookman Old Style"/>
          <w:sz w:val="24"/>
          <w:szCs w:val="24"/>
        </w:rPr>
        <w:t>mente</w:t>
      </w:r>
      <w:r w:rsidRPr="006B7455">
        <w:rPr>
          <w:rFonts w:ascii="Bookman Old Style" w:eastAsia="BatangChe" w:hAnsi="Bookman Old Style"/>
          <w:sz w:val="24"/>
          <w:szCs w:val="24"/>
        </w:rPr>
        <w:t xml:space="preserve"> ilícito, se debe precisar que el SIDH tiene una naturaleza comple</w:t>
      </w:r>
      <w:r>
        <w:rPr>
          <w:rFonts w:ascii="Bookman Old Style" w:eastAsia="BatangChe" w:hAnsi="Bookman Old Style"/>
          <w:sz w:val="24"/>
          <w:szCs w:val="24"/>
        </w:rPr>
        <w:t>men</w:t>
      </w:r>
      <w:r w:rsidRPr="006B7455">
        <w:rPr>
          <w:rFonts w:ascii="Bookman Old Style" w:eastAsia="BatangChe" w:hAnsi="Bookman Old Style"/>
          <w:sz w:val="24"/>
          <w:szCs w:val="24"/>
        </w:rPr>
        <w:t>tar</w:t>
      </w:r>
      <w:r>
        <w:rPr>
          <w:rFonts w:ascii="Bookman Old Style" w:eastAsia="BatangChe" w:hAnsi="Bookman Old Style"/>
          <w:sz w:val="24"/>
          <w:szCs w:val="24"/>
        </w:rPr>
        <w:t>i</w:t>
      </w:r>
      <w:r w:rsidRPr="006B7455">
        <w:rPr>
          <w:rFonts w:ascii="Bookman Old Style" w:eastAsia="BatangChe" w:hAnsi="Bookman Old Style"/>
          <w:sz w:val="24"/>
          <w:szCs w:val="24"/>
        </w:rPr>
        <w:t xml:space="preserve">a a la protección de los derechos humanos </w:t>
      </w:r>
      <w:proofErr w:type="gramStart"/>
      <w:r w:rsidRPr="006B7455">
        <w:rPr>
          <w:rFonts w:ascii="Bookman Old Style" w:eastAsia="BatangChe" w:hAnsi="Bookman Old Style"/>
          <w:sz w:val="24"/>
          <w:szCs w:val="24"/>
        </w:rPr>
        <w:t>que</w:t>
      </w:r>
      <w:proofErr w:type="gramEnd"/>
      <w:r w:rsidRPr="006B7455">
        <w:rPr>
          <w:rFonts w:ascii="Bookman Old Style" w:eastAsia="BatangChe" w:hAnsi="Bookman Old Style"/>
          <w:sz w:val="24"/>
          <w:szCs w:val="24"/>
        </w:rPr>
        <w:t xml:space="preserve"> localmente deben g</w:t>
      </w:r>
      <w:r>
        <w:rPr>
          <w:rFonts w:ascii="Bookman Old Style" w:eastAsia="BatangChe" w:hAnsi="Bookman Old Style"/>
          <w:sz w:val="24"/>
          <w:szCs w:val="24"/>
        </w:rPr>
        <w:t>arantizar los Estados de la r</w:t>
      </w:r>
      <w:r w:rsidRPr="006B7455">
        <w:rPr>
          <w:rFonts w:ascii="Bookman Old Style" w:eastAsia="BatangChe" w:hAnsi="Bookman Old Style"/>
          <w:sz w:val="24"/>
          <w:szCs w:val="24"/>
        </w:rPr>
        <w:t>egión.</w:t>
      </w:r>
      <w:r>
        <w:rPr>
          <w:rFonts w:ascii="Bookman Old Style" w:eastAsia="BatangChe" w:hAnsi="Bookman Old Style"/>
          <w:sz w:val="24"/>
          <w:szCs w:val="24"/>
        </w:rPr>
        <w:t xml:space="preserve">  </w:t>
      </w:r>
    </w:p>
    <w:p w:rsidR="003E63EB"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r w:rsidRPr="006B7455">
        <w:rPr>
          <w:rFonts w:ascii="Bookman Old Style" w:eastAsia="BatangChe" w:hAnsi="Bookman Old Style" w:cs="TimesNewRomanPSMT"/>
          <w:sz w:val="24"/>
          <w:szCs w:val="24"/>
        </w:rPr>
        <w:t>La Convención Americana sobre Derechos Humanos constituye el producto de la manifestación de la voluntad de los Estados</w:t>
      </w:r>
      <w:r w:rsidRPr="006B7455">
        <w:rPr>
          <w:rStyle w:val="Refdenotaalpie"/>
          <w:rFonts w:ascii="Bookman Old Style" w:eastAsia="BatangChe" w:hAnsi="Bookman Old Style" w:cs="TimesNewRomanPSMT"/>
          <w:sz w:val="24"/>
          <w:szCs w:val="24"/>
        </w:rPr>
        <w:footnoteReference w:id="1"/>
      </w:r>
      <w:r w:rsidRPr="006B7455">
        <w:rPr>
          <w:rFonts w:ascii="Bookman Old Style" w:eastAsia="BatangChe" w:hAnsi="Bookman Old Style" w:cs="TimesNewRomanPSMT"/>
          <w:sz w:val="24"/>
          <w:szCs w:val="24"/>
        </w:rPr>
        <w:t>, que tras un proceso de discusión decidieron adoptar un texto específico, mismo que debe ser respetado tanto por los Estados Parte como por los organismos del Sistema Interamericano, en virtud de que, el instrumento suscrito y ratificado por los Estados soberanos, es fuente de sus obligaciones internacionales en esta materia</w:t>
      </w:r>
      <w:r w:rsidRPr="006B7455">
        <w:rPr>
          <w:rStyle w:val="Refdenotaalpie"/>
          <w:rFonts w:ascii="Bookman Old Style" w:eastAsia="BatangChe" w:hAnsi="Bookman Old Style" w:cs="TimesNewRomanPSMT"/>
          <w:sz w:val="24"/>
          <w:szCs w:val="24"/>
        </w:rPr>
        <w:footnoteReference w:id="2"/>
      </w:r>
      <w:r w:rsidRPr="006B7455">
        <w:rPr>
          <w:rFonts w:ascii="Bookman Old Style" w:eastAsia="BatangChe" w:hAnsi="Bookman Old Style" w:cs="TimesNewRomanPSMT"/>
          <w:sz w:val="24"/>
          <w:szCs w:val="24"/>
        </w:rPr>
        <w:t xml:space="preserve">. </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r w:rsidRPr="006B7455">
        <w:rPr>
          <w:rFonts w:ascii="Bookman Old Style" w:eastAsia="BatangChe" w:hAnsi="Bookman Old Style" w:cs="TimesNewRomanPSMT"/>
          <w:sz w:val="24"/>
          <w:szCs w:val="24"/>
        </w:rPr>
        <w:t xml:space="preserve">Adicionalmente, la CADH en su artículo 62 establece la posibilidad de que los Estados reconozcan la competencia contenciosa de la Corte IDH, la cual se ejecuta a través de una declaración específica. Al respecto, Ibáñez señala que: </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p>
    <w:p w:rsidR="003E63EB" w:rsidRPr="006B7455" w:rsidRDefault="003E63EB" w:rsidP="003E63EB">
      <w:pPr>
        <w:autoSpaceDE w:val="0"/>
        <w:autoSpaceDN w:val="0"/>
        <w:adjustRightInd w:val="0"/>
        <w:spacing w:after="0" w:line="360" w:lineRule="auto"/>
        <w:ind w:left="708"/>
        <w:jc w:val="both"/>
        <w:rPr>
          <w:rFonts w:ascii="Bookman Old Style" w:eastAsia="BatangChe" w:hAnsi="Bookman Old Style" w:cs="TimesNewRomanPSMT"/>
          <w:sz w:val="24"/>
          <w:szCs w:val="24"/>
        </w:rPr>
      </w:pPr>
      <w:r w:rsidRPr="006B7455">
        <w:rPr>
          <w:rFonts w:ascii="Bookman Old Style" w:eastAsia="BatangChe" w:hAnsi="Bookman Old Style" w:cs="TimesNewRomanPSMT"/>
          <w:sz w:val="24"/>
          <w:szCs w:val="24"/>
        </w:rPr>
        <w:t xml:space="preserve">“El sometimiento a la competencia contenciosa de la Corte Interamericana es facultativo. Así, en el momento del depósito del instrumento de ratificación o adhesión de la Convención Americana, o en cualquier momento posterior, el Estado parte puede declarar que reconoce como obligatoria, de pleno derecho y sin convención especial, </w:t>
      </w:r>
      <w:r w:rsidRPr="006B7455">
        <w:rPr>
          <w:rFonts w:ascii="Bookman Old Style" w:eastAsia="BatangChe" w:hAnsi="Bookman Old Style" w:cs="TimesNewRomanPSMT"/>
          <w:sz w:val="24"/>
          <w:szCs w:val="24"/>
        </w:rPr>
        <w:lastRenderedPageBreak/>
        <w:t>dicha competencia sobre todos los casos relativos a la interpretación o aplicación de la Convención”</w:t>
      </w:r>
      <w:r w:rsidRPr="006B7455">
        <w:rPr>
          <w:rStyle w:val="Refdenotaalpie"/>
          <w:rFonts w:ascii="Bookman Old Style" w:eastAsia="BatangChe" w:hAnsi="Bookman Old Style" w:cs="TimesNewRomanPSMT"/>
          <w:sz w:val="24"/>
          <w:szCs w:val="24"/>
        </w:rPr>
        <w:footnoteReference w:id="3"/>
      </w:r>
      <w:r w:rsidRPr="006B7455">
        <w:rPr>
          <w:rFonts w:ascii="Bookman Old Style" w:eastAsia="BatangChe" w:hAnsi="Bookman Old Style" w:cs="TimesNewRomanPSMT"/>
          <w:sz w:val="24"/>
          <w:szCs w:val="24"/>
        </w:rPr>
        <w:t>.</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r w:rsidRPr="006B7455">
        <w:rPr>
          <w:rFonts w:ascii="Bookman Old Style" w:eastAsia="BatangChe" w:hAnsi="Bookman Old Style" w:cs="TimesNewRomanPSMT"/>
          <w:sz w:val="24"/>
          <w:szCs w:val="24"/>
        </w:rPr>
        <w:t>En ese orden de ideas, la manifestación de voluntad de los Estados no solamente se consolida en la facultad de comprometerse con las obligaciones contenidas en el tratado, sino también con la potestad de someterse al control jurisdiccional de la Corte IDH.</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r w:rsidRPr="006B7455">
        <w:rPr>
          <w:rFonts w:ascii="Bookman Old Style" w:eastAsia="BatangChe" w:hAnsi="Bookman Old Style" w:cs="TimesNewRomanPSMT"/>
          <w:sz w:val="24"/>
          <w:szCs w:val="24"/>
        </w:rPr>
        <w:t xml:space="preserve">Esta sección analizará cómo se plasmó la voluntad de los Estados Parte </w:t>
      </w:r>
      <w:r>
        <w:rPr>
          <w:rFonts w:ascii="Bookman Old Style" w:eastAsia="BatangChe" w:hAnsi="Bookman Old Style" w:cs="TimesNewRomanPSMT"/>
          <w:sz w:val="24"/>
          <w:szCs w:val="24"/>
        </w:rPr>
        <w:t>de</w:t>
      </w:r>
      <w:r w:rsidRPr="006B7455">
        <w:rPr>
          <w:rFonts w:ascii="Bookman Old Style" w:eastAsia="BatangChe" w:hAnsi="Bookman Old Style" w:cs="TimesNewRomanPSMT"/>
          <w:sz w:val="24"/>
          <w:szCs w:val="24"/>
        </w:rPr>
        <w:t xml:space="preserve"> obligarse a un sistema de protección de derechos humanos que sea coadyuvante y complementario a los sistemas internos, y no </w:t>
      </w:r>
      <w:r>
        <w:rPr>
          <w:rFonts w:ascii="Bookman Old Style" w:eastAsia="BatangChe" w:hAnsi="Bookman Old Style" w:cs="TimesNewRomanPSMT"/>
          <w:sz w:val="24"/>
          <w:szCs w:val="24"/>
        </w:rPr>
        <w:t xml:space="preserve">a </w:t>
      </w:r>
      <w:r w:rsidRPr="006B7455">
        <w:rPr>
          <w:rFonts w:ascii="Bookman Old Style" w:eastAsia="BatangChe" w:hAnsi="Bookman Old Style" w:cs="TimesNewRomanPSMT"/>
          <w:sz w:val="24"/>
          <w:szCs w:val="24"/>
        </w:rPr>
        <w:t xml:space="preserve">una cuarta instancia en contraposición de un sistema internacional justo, que brinde seguridad jurídica a sus usuarios y dote de legitimidad a sus </w:t>
      </w:r>
      <w:r w:rsidRPr="006262BF">
        <w:rPr>
          <w:rFonts w:ascii="Bookman Old Style" w:eastAsia="BatangChe" w:hAnsi="Bookman Old Style" w:cs="TimesNewRomanPSMT"/>
          <w:sz w:val="24"/>
          <w:szCs w:val="24"/>
        </w:rPr>
        <w:t>decisiones</w:t>
      </w:r>
      <w:r w:rsidRPr="006B7455">
        <w:rPr>
          <w:rFonts w:ascii="Bookman Old Style" w:eastAsia="BatangChe" w:hAnsi="Bookman Old Style" w:cs="TimesNewRomanPSMT"/>
          <w:sz w:val="24"/>
          <w:szCs w:val="24"/>
        </w:rPr>
        <w:t xml:space="preserve">. </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r w:rsidRPr="006B7455">
        <w:rPr>
          <w:rFonts w:ascii="Bookman Old Style" w:eastAsia="BatangChe" w:hAnsi="Bookman Old Style" w:cs="TimesNewRomanPSMT"/>
          <w:sz w:val="24"/>
          <w:szCs w:val="24"/>
        </w:rPr>
        <w:t xml:space="preserve">Las características de </w:t>
      </w:r>
      <w:proofErr w:type="spellStart"/>
      <w:r w:rsidRPr="006B7455">
        <w:rPr>
          <w:rFonts w:ascii="Bookman Old Style" w:eastAsia="BatangChe" w:hAnsi="Bookman Old Style" w:cs="TimesNewRomanPSMT"/>
          <w:sz w:val="24"/>
          <w:szCs w:val="24"/>
        </w:rPr>
        <w:t>coadyuvancia</w:t>
      </w:r>
      <w:proofErr w:type="spellEnd"/>
      <w:r w:rsidRPr="006B7455">
        <w:rPr>
          <w:rFonts w:ascii="Bookman Old Style" w:eastAsia="BatangChe" w:hAnsi="Bookman Old Style" w:cs="TimesNewRomanPSMT"/>
          <w:sz w:val="24"/>
          <w:szCs w:val="24"/>
        </w:rPr>
        <w:t xml:space="preserve"> y complementariedad del Sistema Interamericano de Derechos Humanos se encuentran recogidas en el preámbulo de la Convención y a lo largo del texto del tratado. Richard </w:t>
      </w:r>
      <w:proofErr w:type="spellStart"/>
      <w:r w:rsidRPr="006B7455">
        <w:rPr>
          <w:rFonts w:ascii="Bookman Old Style" w:eastAsia="BatangChe" w:hAnsi="Bookman Old Style" w:cs="TimesNewRomanPSMT"/>
          <w:sz w:val="24"/>
          <w:szCs w:val="24"/>
        </w:rPr>
        <w:t>Gardiner</w:t>
      </w:r>
      <w:proofErr w:type="spellEnd"/>
      <w:r w:rsidRPr="006B7455">
        <w:rPr>
          <w:rFonts w:ascii="Bookman Old Style" w:eastAsia="BatangChe" w:hAnsi="Bookman Old Style" w:cs="TimesNewRomanPSMT"/>
          <w:sz w:val="24"/>
          <w:szCs w:val="24"/>
        </w:rPr>
        <w:t xml:space="preserve"> ha manifestado que “el preámbulo puede ser un punto de partida obvio para identificar el objeto y fin de un tratado”</w:t>
      </w:r>
      <w:r w:rsidRPr="006B7455">
        <w:rPr>
          <w:rFonts w:ascii="Bookman Old Style" w:eastAsia="BatangChe" w:hAnsi="Bookman Old Style" w:cs="TimesNewRomanPSMT"/>
          <w:sz w:val="24"/>
          <w:szCs w:val="24"/>
          <w:vertAlign w:val="superscript"/>
        </w:rPr>
        <w:footnoteReference w:id="4"/>
      </w:r>
      <w:r w:rsidRPr="006B7455">
        <w:rPr>
          <w:rFonts w:ascii="Bookman Old Style" w:eastAsia="BatangChe" w:hAnsi="Bookman Old Style" w:cs="TimesNewRomanPSMT"/>
          <w:sz w:val="24"/>
          <w:szCs w:val="24"/>
        </w:rPr>
        <w:t>. Sin embargo, también ha expresado que el estudio del mismo debe realizarse con cautela, pues no todo preámbulo fue escrito con minuciosidad</w:t>
      </w:r>
      <w:r w:rsidRPr="006B7455">
        <w:rPr>
          <w:rStyle w:val="Refdenotaalpie"/>
          <w:rFonts w:ascii="Bookman Old Style" w:eastAsia="BatangChe" w:hAnsi="Bookman Old Style" w:cs="TimesNewRomanPSMT"/>
          <w:sz w:val="24"/>
          <w:szCs w:val="24"/>
        </w:rPr>
        <w:footnoteReference w:id="5"/>
      </w:r>
      <w:r w:rsidRPr="006B7455">
        <w:rPr>
          <w:rFonts w:ascii="Bookman Old Style" w:eastAsia="BatangChe" w:hAnsi="Bookman Old Style" w:cs="TimesNewRomanPSMT"/>
          <w:sz w:val="24"/>
          <w:szCs w:val="24"/>
        </w:rPr>
        <w:t xml:space="preserve">. </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r w:rsidRPr="006B7455">
        <w:rPr>
          <w:rFonts w:ascii="Bookman Old Style" w:eastAsia="BatangChe" w:hAnsi="Bookman Old Style" w:cs="TimesNewRomanPSMT"/>
          <w:sz w:val="24"/>
          <w:szCs w:val="24"/>
        </w:rPr>
        <w:t>En el caso de la Convención Americana sobre Derechos Humanos estas características se encuentran plasmadas explícitamente en su preámbulo, pero también en el artículo 46.1 referente al previo agotamiento de recursos internos</w:t>
      </w:r>
      <w:r w:rsidRPr="006B7455" w:rsidDel="00D10770">
        <w:rPr>
          <w:rFonts w:ascii="Bookman Old Style" w:eastAsia="BatangChe" w:hAnsi="Bookman Old Style" w:cs="TimesNewRomanPSMT"/>
          <w:sz w:val="24"/>
          <w:szCs w:val="24"/>
        </w:rPr>
        <w:t xml:space="preserve"> </w:t>
      </w:r>
      <w:r w:rsidRPr="006B7455">
        <w:rPr>
          <w:rFonts w:ascii="Bookman Old Style" w:eastAsia="BatangChe" w:hAnsi="Bookman Old Style" w:cs="TimesNewRomanPSMT"/>
          <w:sz w:val="24"/>
          <w:szCs w:val="24"/>
        </w:rPr>
        <w:t>como requisito de admisibilidad de peticiones individuales.</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r w:rsidRPr="006B7455">
        <w:rPr>
          <w:rFonts w:ascii="Bookman Old Style" w:eastAsia="BatangChe" w:hAnsi="Bookman Old Style" w:cs="TimesNewRomanPSMT"/>
          <w:sz w:val="24"/>
          <w:szCs w:val="24"/>
        </w:rPr>
        <w:lastRenderedPageBreak/>
        <w:t>Ahora bien, de los documentos de trabajo para la creación de la CADH, se desprende que su preámbulo tuvo mucha relevancia para los Estados, razón por la cual, decidieron postergar su aprobación para el final de la discusión, de esta forma, el mismo condensaría de mejor manera los principios, motivaciones, así como el objeto y fin que rigen el tratado</w:t>
      </w:r>
      <w:r w:rsidRPr="006B7455">
        <w:rPr>
          <w:rFonts w:ascii="Bookman Old Style" w:eastAsia="BatangChe" w:hAnsi="Bookman Old Style" w:cs="TimesNewRomanPSMT"/>
          <w:sz w:val="24"/>
          <w:szCs w:val="24"/>
          <w:vertAlign w:val="superscript"/>
        </w:rPr>
        <w:footnoteReference w:id="6"/>
      </w:r>
      <w:r w:rsidRPr="006B7455">
        <w:rPr>
          <w:rFonts w:ascii="Bookman Old Style" w:eastAsia="BatangChe" w:hAnsi="Bookman Old Style" w:cs="TimesNewRomanPSMT"/>
          <w:sz w:val="24"/>
          <w:szCs w:val="24"/>
        </w:rPr>
        <w:t xml:space="preserve">. </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r>
        <w:rPr>
          <w:rFonts w:ascii="Bookman Old Style" w:eastAsia="BatangChe" w:hAnsi="Bookman Old Style" w:cs="TimesNewRomanPSMT"/>
          <w:sz w:val="24"/>
          <w:szCs w:val="24"/>
        </w:rPr>
        <w:t xml:space="preserve">El preámbulo de la Convención y el artículo 46.1 del mismo instrumento </w:t>
      </w:r>
      <w:r w:rsidRPr="006B7455">
        <w:rPr>
          <w:rFonts w:ascii="Bookman Old Style" w:eastAsia="BatangChe" w:hAnsi="Bookman Old Style" w:cs="TimesNewRomanPSMT"/>
          <w:sz w:val="24"/>
          <w:szCs w:val="24"/>
        </w:rPr>
        <w:t>determinan el carácter subsidiario del SIDH, y delimit</w:t>
      </w:r>
      <w:r>
        <w:rPr>
          <w:rFonts w:ascii="Bookman Old Style" w:eastAsia="BatangChe" w:hAnsi="Bookman Old Style" w:cs="TimesNewRomanPSMT"/>
          <w:sz w:val="24"/>
          <w:szCs w:val="24"/>
        </w:rPr>
        <w:t>an</w:t>
      </w:r>
      <w:r w:rsidRPr="006B7455">
        <w:rPr>
          <w:rFonts w:ascii="Bookman Old Style" w:eastAsia="BatangChe" w:hAnsi="Bookman Old Style" w:cs="TimesNewRomanPSMT"/>
          <w:sz w:val="24"/>
          <w:szCs w:val="24"/>
        </w:rPr>
        <w:t xml:space="preserve">  los criterios aplicables para la interpretación de la Convención Americana.</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TimesNewRomanPSMT"/>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noviembre de 1965, en la Segunda Conferencia Interamericana Extraordinaria, celebrada en Río de Janeiro, se encomendó al Consejo de la OEA que actualizara y completara el proyecto de Convención sobre Derechos Humanos, elaborado por el Consejo Interamericano de Jurisconsultos en 1959, para que posteriormente los Estados formulen las observaciones y enmiendas que consider</w:t>
      </w:r>
      <w:r>
        <w:rPr>
          <w:rFonts w:ascii="Bookman Old Style" w:eastAsia="BatangChe" w:hAnsi="Bookman Old Style"/>
          <w:sz w:val="24"/>
          <w:szCs w:val="24"/>
        </w:rPr>
        <w:t>e</w:t>
      </w:r>
      <w:r w:rsidRPr="006B7455">
        <w:rPr>
          <w:rFonts w:ascii="Bookman Old Style" w:eastAsia="BatangChe" w:hAnsi="Bookman Old Style"/>
          <w:sz w:val="24"/>
          <w:szCs w:val="24"/>
        </w:rPr>
        <w:t>n pertinentes.</w:t>
      </w:r>
      <w:r w:rsidRPr="006B7455">
        <w:rPr>
          <w:rFonts w:ascii="Bookman Old Style" w:eastAsia="BatangChe" w:hAnsi="Bookman Old Style"/>
          <w:sz w:val="24"/>
          <w:szCs w:val="24"/>
          <w:vertAlign w:val="superscript"/>
        </w:rPr>
        <w:footnoteReference w:id="7"/>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r w:rsidRPr="006B7455">
        <w:rPr>
          <w:rFonts w:ascii="Bookman Old Style" w:eastAsia="BatangChe" w:hAnsi="Bookman Old Style"/>
          <w:sz w:val="24"/>
          <w:szCs w:val="24"/>
        </w:rPr>
        <w:t xml:space="preserve">El </w:t>
      </w:r>
      <w:r w:rsidRPr="006B7455">
        <w:rPr>
          <w:rFonts w:ascii="Bookman Old Style" w:eastAsia="BatangChe" w:hAnsi="Bookman Old Style" w:cs="Verdana"/>
          <w:sz w:val="24"/>
          <w:szCs w:val="24"/>
        </w:rPr>
        <w:t>Consejo de la Organización de los Estados Americanos, mediante resolución aprobada en la sesión celebrada el 2 de octubre de 1969, dispuso:</w:t>
      </w:r>
    </w:p>
    <w:p w:rsidR="003E63EB" w:rsidRPr="006B7455" w:rsidRDefault="003E63EB" w:rsidP="003E63EB">
      <w:pPr>
        <w:autoSpaceDE w:val="0"/>
        <w:autoSpaceDN w:val="0"/>
        <w:adjustRightInd w:val="0"/>
        <w:spacing w:after="0" w:line="360" w:lineRule="auto"/>
        <w:ind w:left="709"/>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 xml:space="preserve">“Adoptar, con el carácter de documento de trabajo para la Conferencia Especializada Interamericana contemplada por la Resolución XXIV de la Segunda Conferencia Interamericana Extraordinaria, el Anteproyecto de Convención Interamericana sobre Protección de Derechos Humanos preparado por la Comisión Interamericana de Derechos Humanos, a fin </w:t>
      </w:r>
      <w:r w:rsidRPr="006B7455">
        <w:rPr>
          <w:rFonts w:ascii="Bookman Old Style" w:eastAsia="BatangChe" w:hAnsi="Bookman Old Style" w:cs="Verdana"/>
          <w:sz w:val="24"/>
          <w:szCs w:val="24"/>
        </w:rPr>
        <w:lastRenderedPageBreak/>
        <w:t>de que la Conferencia Especializada decida acerca de la aprobación y firma de una Convención sobre Derechos Humanos.”</w:t>
      </w:r>
      <w:r w:rsidRPr="006B7455">
        <w:rPr>
          <w:rFonts w:ascii="Bookman Old Style" w:eastAsia="BatangChe" w:hAnsi="Bookman Old Style" w:cs="Verdana"/>
          <w:sz w:val="24"/>
          <w:szCs w:val="24"/>
          <w:vertAlign w:val="superscript"/>
        </w:rPr>
        <w:footnoteReference w:id="8"/>
      </w:r>
    </w:p>
    <w:p w:rsidR="003E63EB" w:rsidRPr="006B7455" w:rsidRDefault="003E63EB" w:rsidP="003E63EB">
      <w:pPr>
        <w:autoSpaceDE w:val="0"/>
        <w:autoSpaceDN w:val="0"/>
        <w:adjustRightInd w:val="0"/>
        <w:spacing w:after="0" w:line="360" w:lineRule="auto"/>
        <w:ind w:left="709"/>
        <w:jc w:val="both"/>
        <w:rPr>
          <w:rFonts w:ascii="Bookman Old Style" w:eastAsia="BatangChe" w:hAnsi="Bookman Old Style" w:cs="Verdana"/>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El texto del anteproyecto de preámbulo (segundo párrafo) que fue sometido a discusión de las delegaciones fue el siguiente:</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p>
    <w:p w:rsidR="003E63EB" w:rsidRPr="006B7455" w:rsidRDefault="003E63EB" w:rsidP="003E63EB">
      <w:pPr>
        <w:autoSpaceDE w:val="0"/>
        <w:autoSpaceDN w:val="0"/>
        <w:adjustRightInd w:val="0"/>
        <w:spacing w:after="0" w:line="360" w:lineRule="auto"/>
        <w:ind w:left="709"/>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“Reconociendo que los derechos esenciales del hombre no nacen del hecho de ser nacional de determinado Estado, sino que tienen como fundamento los atributos de la persona humana, razón por la cual justifican una protección internacional, de naturaleza convencional coadyuvante o complementaria de la que ofrece el derecho interno de los Estados americanos;”</w:t>
      </w:r>
      <w:r w:rsidRPr="006B7455">
        <w:rPr>
          <w:rFonts w:ascii="Bookman Old Style" w:eastAsia="BatangChe" w:hAnsi="Bookman Old Style" w:cs="Verdana"/>
          <w:sz w:val="24"/>
          <w:szCs w:val="24"/>
          <w:vertAlign w:val="superscript"/>
        </w:rPr>
        <w:footnoteReference w:id="9"/>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Al respecto, varios países presentaron sus observaciones y enmiendas al proyecto, mismas que en lo referente al segundo párrafo del preámbulo, no sugerían mayores cambios.  Cabe destacar la propuesta de Guatemala de que el texto del preámbulo forme parte del articulado de la Convención, en los siguientes términos:</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ind w:firstLine="708"/>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“De la protección y de sus órganos</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p>
    <w:p w:rsidR="003E63EB" w:rsidRPr="006B7455" w:rsidRDefault="003E63EB" w:rsidP="003E63EB">
      <w:pPr>
        <w:autoSpaceDE w:val="0"/>
        <w:autoSpaceDN w:val="0"/>
        <w:adjustRightInd w:val="0"/>
        <w:spacing w:after="0" w:line="360" w:lineRule="auto"/>
        <w:ind w:left="708"/>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 xml:space="preserve">Artículo 1. Los Estados Partes se comprometen a adoptar, en sus respectivos territorios, las medidas legislativas, administrativas, económicas y técnicas o de otro carácter, que fueren necesarias para hacer efectivos los derechos reconocidos en la presente Convención. La observancia de los derechos humanos descansa primordialmente en las condiciones apropiadas de cada país, en la acción que éste promueva para el efecto y en las garantías que preste. El sistema internacional de </w:t>
      </w:r>
      <w:r w:rsidRPr="006B7455">
        <w:rPr>
          <w:rFonts w:ascii="Bookman Old Style" w:eastAsia="BatangChe" w:hAnsi="Bookman Old Style" w:cs="Verdana"/>
          <w:sz w:val="24"/>
          <w:szCs w:val="24"/>
        </w:rPr>
        <w:lastRenderedPageBreak/>
        <w:t>protección es subsidiario y eventualmente, complementario de la acción interna de los Estados.”</w:t>
      </w:r>
      <w:r w:rsidRPr="006B7455">
        <w:rPr>
          <w:rFonts w:ascii="Bookman Old Style" w:eastAsia="BatangChe" w:hAnsi="Bookman Old Style" w:cs="Verdana"/>
          <w:sz w:val="24"/>
          <w:szCs w:val="24"/>
          <w:vertAlign w:val="superscript"/>
        </w:rPr>
        <w:footnoteReference w:id="10"/>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Luego del debate sobre las diferentes propuestas, el texto de preámbulo discutido, fue aprobado en los mismos términos en los que fue propuesto.</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Por otro lado, con respecto al artículo 35</w:t>
      </w:r>
      <w:r>
        <w:rPr>
          <w:rFonts w:ascii="Bookman Old Style" w:eastAsia="BatangChe" w:hAnsi="Bookman Old Style"/>
          <w:sz w:val="24"/>
          <w:szCs w:val="24"/>
        </w:rPr>
        <w:t xml:space="preserve"> (actual artículo 46 de la CADH)</w:t>
      </w:r>
      <w:r w:rsidRPr="006B7455">
        <w:rPr>
          <w:rFonts w:ascii="Bookman Old Style" w:eastAsia="BatangChe" w:hAnsi="Bookman Old Style"/>
          <w:sz w:val="24"/>
          <w:szCs w:val="24"/>
        </w:rPr>
        <w:t xml:space="preserve"> del anteproyecto de Convención Americana sobre Derechos Humanos, el texto que fue sometido a aprobación fue el siguiente:</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ab/>
        <w:t xml:space="preserve">“Artículo 35 </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p>
    <w:p w:rsidR="003E63EB" w:rsidRPr="006B7455" w:rsidRDefault="003E63EB" w:rsidP="003E63EB">
      <w:pPr>
        <w:numPr>
          <w:ilvl w:val="0"/>
          <w:numId w:val="1"/>
        </w:numPr>
        <w:autoSpaceDE w:val="0"/>
        <w:autoSpaceDN w:val="0"/>
        <w:adjustRightInd w:val="0"/>
        <w:spacing w:after="0" w:line="360" w:lineRule="auto"/>
        <w:contextualSpacing/>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Los requisitos para la admisibilidad de la petición por la Comisión son los siguientes:</w:t>
      </w:r>
    </w:p>
    <w:p w:rsidR="003E63EB" w:rsidRPr="006B7455" w:rsidRDefault="003E63EB" w:rsidP="003E63EB">
      <w:pPr>
        <w:autoSpaceDE w:val="0"/>
        <w:autoSpaceDN w:val="0"/>
        <w:adjustRightInd w:val="0"/>
        <w:spacing w:after="0" w:line="360" w:lineRule="auto"/>
        <w:ind w:left="708"/>
        <w:jc w:val="both"/>
        <w:rPr>
          <w:rFonts w:ascii="Bookman Old Style" w:eastAsia="BatangChe" w:hAnsi="Bookman Old Style" w:cs="Verdana"/>
          <w:sz w:val="24"/>
          <w:szCs w:val="24"/>
        </w:rPr>
      </w:pPr>
    </w:p>
    <w:p w:rsidR="003E63EB" w:rsidRPr="006B7455" w:rsidRDefault="003E63EB" w:rsidP="003E63EB">
      <w:pPr>
        <w:autoSpaceDE w:val="0"/>
        <w:autoSpaceDN w:val="0"/>
        <w:adjustRightInd w:val="0"/>
        <w:spacing w:after="0" w:line="360" w:lineRule="auto"/>
        <w:ind w:left="708"/>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a) Que se hayan interpuesto y agotado los recursos de jurisdicción interna, conforme a los principios del Derecho Internacional generalmente reconocidos, sin lograr la cesación de la violación denunciada;”</w:t>
      </w:r>
      <w:r w:rsidRPr="006B7455">
        <w:rPr>
          <w:rFonts w:ascii="Bookman Old Style" w:eastAsia="BatangChe" w:hAnsi="Bookman Old Style" w:cs="Verdana"/>
          <w:sz w:val="24"/>
          <w:szCs w:val="24"/>
          <w:vertAlign w:val="superscript"/>
        </w:rPr>
        <w:footnoteReference w:id="11"/>
      </w:r>
    </w:p>
    <w:p w:rsidR="003E63EB" w:rsidRPr="006B7455" w:rsidRDefault="003E63EB" w:rsidP="003E63EB">
      <w:pPr>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 xml:space="preserve">Con relación al agotamiento de recursos internos, las delegaciones de República Dominicana y México hicieron opiniones tendientes a restringir la jurisdicción internacional a efectos de privilegiar la jurisdicción interna. La delegación de República Dominicana realizó la siguiente propuesta de texto alternativo: </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p>
    <w:p w:rsidR="003E63EB" w:rsidRPr="006B7455" w:rsidRDefault="003E63EB" w:rsidP="003E63EB">
      <w:pPr>
        <w:autoSpaceDE w:val="0"/>
        <w:autoSpaceDN w:val="0"/>
        <w:adjustRightInd w:val="0"/>
        <w:spacing w:after="0" w:line="360" w:lineRule="auto"/>
        <w:ind w:firstLine="708"/>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“Artículo 35. Admisibilidad de las Peticiones</w:t>
      </w:r>
    </w:p>
    <w:p w:rsidR="003E63EB" w:rsidRPr="006B7455" w:rsidRDefault="003E63EB" w:rsidP="003E63EB">
      <w:pPr>
        <w:autoSpaceDE w:val="0"/>
        <w:autoSpaceDN w:val="0"/>
        <w:adjustRightInd w:val="0"/>
        <w:spacing w:after="0" w:line="360" w:lineRule="auto"/>
        <w:ind w:firstLine="708"/>
        <w:jc w:val="both"/>
        <w:rPr>
          <w:rFonts w:ascii="Bookman Old Style" w:eastAsia="BatangChe" w:hAnsi="Bookman Old Style" w:cs="Verdana"/>
          <w:sz w:val="24"/>
          <w:szCs w:val="24"/>
        </w:rPr>
      </w:pPr>
    </w:p>
    <w:p w:rsidR="003E63EB" w:rsidRPr="006B7455" w:rsidRDefault="003E63EB" w:rsidP="003E63EB">
      <w:pPr>
        <w:numPr>
          <w:ilvl w:val="0"/>
          <w:numId w:val="2"/>
        </w:numPr>
        <w:autoSpaceDE w:val="0"/>
        <w:autoSpaceDN w:val="0"/>
        <w:adjustRightInd w:val="0"/>
        <w:spacing w:after="0" w:line="360" w:lineRule="auto"/>
        <w:contextualSpacing/>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lastRenderedPageBreak/>
        <w:t>Los requisitos para la admisibilidad de la petición por la Comisión serán los siguientes:</w:t>
      </w:r>
    </w:p>
    <w:p w:rsidR="003E63EB" w:rsidRPr="006B7455" w:rsidRDefault="003E63EB" w:rsidP="003E63EB">
      <w:pPr>
        <w:autoSpaceDE w:val="0"/>
        <w:autoSpaceDN w:val="0"/>
        <w:adjustRightInd w:val="0"/>
        <w:spacing w:after="0" w:line="360" w:lineRule="auto"/>
        <w:ind w:left="1068"/>
        <w:contextualSpacing/>
        <w:jc w:val="both"/>
        <w:rPr>
          <w:rFonts w:ascii="Bookman Old Style" w:eastAsia="BatangChe" w:hAnsi="Bookman Old Style" w:cs="Verdana"/>
          <w:sz w:val="24"/>
          <w:szCs w:val="24"/>
        </w:rPr>
      </w:pPr>
    </w:p>
    <w:p w:rsidR="003E63EB" w:rsidRPr="006B7455" w:rsidRDefault="003E63EB" w:rsidP="003E63EB">
      <w:pPr>
        <w:autoSpaceDE w:val="0"/>
        <w:autoSpaceDN w:val="0"/>
        <w:adjustRightInd w:val="0"/>
        <w:spacing w:after="0" w:line="360" w:lineRule="auto"/>
        <w:ind w:left="708"/>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(a) Que se hayan interpuesto y agotado todos los recursos de jurisdicción interna, conforme a los principios de Derecho Internacional generalmente reconocidos, sin lograr reparación […]”.</w:t>
      </w:r>
      <w:r w:rsidRPr="006B7455">
        <w:rPr>
          <w:rFonts w:ascii="Bookman Old Style" w:eastAsia="BatangChe" w:hAnsi="Bookman Old Style" w:cs="Verdana"/>
          <w:sz w:val="24"/>
          <w:szCs w:val="24"/>
          <w:vertAlign w:val="superscript"/>
        </w:rPr>
        <w:footnoteReference w:id="12"/>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Por su parte la delegación de México dejó constancia de su voto en contra de este artículo, en virtud de que:</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sz w:val="24"/>
          <w:szCs w:val="24"/>
        </w:rPr>
      </w:pPr>
    </w:p>
    <w:p w:rsidR="003E63EB" w:rsidRPr="006B7455" w:rsidRDefault="003E63EB" w:rsidP="003E63EB">
      <w:pPr>
        <w:autoSpaceDE w:val="0"/>
        <w:autoSpaceDN w:val="0"/>
        <w:adjustRightInd w:val="0"/>
        <w:spacing w:after="0" w:line="360" w:lineRule="auto"/>
        <w:ind w:left="708"/>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 no es conveniente permitir que la Comisión pueda en todo caso examinar, aun cuando no medien circunstancias que le justifiquen, todo acto que se estime violatorio de los derechos humanos, una vez que se hayan agotado los recursos internos, sino que, además, ha de ser necesario que haya mediado alguna circunstancia que hubiere impedido un fallo justo”</w:t>
      </w:r>
      <w:r w:rsidRPr="006B7455">
        <w:rPr>
          <w:rFonts w:ascii="Bookman Old Style" w:eastAsia="BatangChe" w:hAnsi="Bookman Old Style" w:cs="Verdana"/>
          <w:sz w:val="24"/>
          <w:szCs w:val="24"/>
          <w:vertAlign w:val="superscript"/>
        </w:rPr>
        <w:footnoteReference w:id="13"/>
      </w:r>
      <w:r w:rsidRPr="006B7455">
        <w:rPr>
          <w:rFonts w:ascii="Bookman Old Style" w:eastAsia="BatangChe" w:hAnsi="Bookman Old Style" w:cs="Verdana"/>
          <w:sz w:val="24"/>
          <w:szCs w:val="24"/>
        </w:rPr>
        <w:t xml:space="preserve"> o “[…] cuando se retarde de manera injustificada la decisión definitiva.”</w:t>
      </w:r>
      <w:r w:rsidRPr="006B7455">
        <w:rPr>
          <w:rFonts w:ascii="Bookman Old Style" w:eastAsia="BatangChe" w:hAnsi="Bookman Old Style" w:cs="Verdana"/>
          <w:sz w:val="24"/>
          <w:szCs w:val="24"/>
          <w:vertAlign w:val="superscript"/>
        </w:rPr>
        <w:footnoteReference w:id="14"/>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El 18 de noviembre de 1969 concluyó el estudio y aprobación de la Convención. Sobre </w:t>
      </w:r>
      <w:r>
        <w:rPr>
          <w:rFonts w:ascii="Bookman Old Style" w:eastAsia="BatangChe" w:hAnsi="Bookman Old Style"/>
          <w:sz w:val="24"/>
          <w:szCs w:val="24"/>
        </w:rPr>
        <w:t>e</w:t>
      </w:r>
      <w:r w:rsidRPr="006B7455">
        <w:rPr>
          <w:rFonts w:ascii="Bookman Old Style" w:eastAsia="BatangChe" w:hAnsi="Bookman Old Style"/>
          <w:sz w:val="24"/>
          <w:szCs w:val="24"/>
        </w:rPr>
        <w:t xml:space="preserve">l agotamiento de recursos internos, el texto del artículo aprobado refleja una ampliación favorable a </w:t>
      </w:r>
      <w:r w:rsidRPr="006B7455">
        <w:rPr>
          <w:rFonts w:ascii="Bookman Old Style" w:eastAsia="BatangChe" w:hAnsi="Bookman Old Style" w:cs="Verdana"/>
          <w:sz w:val="24"/>
          <w:szCs w:val="24"/>
        </w:rPr>
        <w:t>la activación de la jurisdicción internacional en detrimento de la jurisdicción interna, en contraposición a las posturas más restrictivas</w:t>
      </w:r>
      <w:r w:rsidRPr="006B7455">
        <w:rPr>
          <w:rFonts w:ascii="Bookman Old Style" w:eastAsia="BatangChe" w:hAnsi="Bookman Old Style"/>
          <w:sz w:val="24"/>
          <w:szCs w:val="24"/>
        </w:rPr>
        <w:t xml:space="preserve"> de </w:t>
      </w:r>
      <w:r w:rsidRPr="006B7455">
        <w:rPr>
          <w:rFonts w:ascii="Bookman Old Style" w:eastAsia="BatangChe" w:hAnsi="Bookman Old Style" w:cs="Verdana"/>
          <w:sz w:val="24"/>
          <w:szCs w:val="24"/>
        </w:rPr>
        <w:t xml:space="preserve">República Dominicana y México. El texto aprobado es </w:t>
      </w:r>
      <w:r w:rsidRPr="006B7455">
        <w:rPr>
          <w:rFonts w:ascii="Bookman Old Style" w:eastAsia="BatangChe" w:hAnsi="Bookman Old Style"/>
          <w:sz w:val="24"/>
          <w:szCs w:val="24"/>
        </w:rPr>
        <w:t>el siguiente:</w:t>
      </w:r>
    </w:p>
    <w:p w:rsidR="003E63EB" w:rsidRPr="006B7455" w:rsidRDefault="003E63EB" w:rsidP="003E63EB">
      <w:pPr>
        <w:autoSpaceDE w:val="0"/>
        <w:autoSpaceDN w:val="0"/>
        <w:adjustRightInd w:val="0"/>
        <w:spacing w:after="0" w:line="360" w:lineRule="auto"/>
        <w:ind w:firstLine="708"/>
        <w:jc w:val="both"/>
        <w:rPr>
          <w:rFonts w:ascii="Bookman Old Style" w:eastAsia="BatangChe" w:hAnsi="Bookman Old Style" w:cs="Verdana"/>
          <w:sz w:val="24"/>
          <w:szCs w:val="24"/>
        </w:rPr>
      </w:pPr>
    </w:p>
    <w:p w:rsidR="003E63EB" w:rsidRPr="006B7455" w:rsidRDefault="003E63EB" w:rsidP="003E63EB">
      <w:pPr>
        <w:autoSpaceDE w:val="0"/>
        <w:autoSpaceDN w:val="0"/>
        <w:adjustRightInd w:val="0"/>
        <w:spacing w:after="0" w:line="360" w:lineRule="auto"/>
        <w:ind w:firstLine="708"/>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“Artículo 46</w:t>
      </w:r>
    </w:p>
    <w:p w:rsidR="003E63EB" w:rsidRPr="006B7455" w:rsidRDefault="003E63EB" w:rsidP="003E63EB">
      <w:pPr>
        <w:autoSpaceDE w:val="0"/>
        <w:autoSpaceDN w:val="0"/>
        <w:adjustRightInd w:val="0"/>
        <w:spacing w:after="0" w:line="360" w:lineRule="auto"/>
        <w:ind w:firstLine="708"/>
        <w:jc w:val="both"/>
        <w:rPr>
          <w:rFonts w:ascii="Bookman Old Style" w:eastAsia="BatangChe" w:hAnsi="Bookman Old Style" w:cs="Verdana"/>
          <w:sz w:val="24"/>
          <w:szCs w:val="24"/>
        </w:rPr>
      </w:pPr>
    </w:p>
    <w:p w:rsidR="003E63EB" w:rsidRPr="006B7455" w:rsidRDefault="003E63EB" w:rsidP="003E63EB">
      <w:pPr>
        <w:numPr>
          <w:ilvl w:val="0"/>
          <w:numId w:val="3"/>
        </w:numPr>
        <w:autoSpaceDE w:val="0"/>
        <w:autoSpaceDN w:val="0"/>
        <w:adjustRightInd w:val="0"/>
        <w:spacing w:after="0" w:line="360" w:lineRule="auto"/>
        <w:contextualSpacing/>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lastRenderedPageBreak/>
        <w:t>Para que una petición o comunicación presentada conforme a los artículos 44 ó 45 sea admitida por la Comisión, se requerirá:</w:t>
      </w:r>
    </w:p>
    <w:p w:rsidR="003E63EB" w:rsidRPr="006B7455" w:rsidRDefault="003E63EB" w:rsidP="003E63EB">
      <w:pPr>
        <w:autoSpaceDE w:val="0"/>
        <w:autoSpaceDN w:val="0"/>
        <w:adjustRightInd w:val="0"/>
        <w:spacing w:after="0" w:line="360" w:lineRule="auto"/>
        <w:ind w:left="708"/>
        <w:jc w:val="both"/>
        <w:rPr>
          <w:rFonts w:ascii="Bookman Old Style" w:eastAsia="BatangChe" w:hAnsi="Bookman Old Style" w:cs="Verdana"/>
          <w:sz w:val="24"/>
          <w:szCs w:val="24"/>
        </w:rPr>
      </w:pPr>
    </w:p>
    <w:p w:rsidR="003E63EB" w:rsidRPr="006B7455" w:rsidRDefault="003E63EB" w:rsidP="003E63EB">
      <w:pPr>
        <w:autoSpaceDE w:val="0"/>
        <w:autoSpaceDN w:val="0"/>
        <w:adjustRightInd w:val="0"/>
        <w:spacing w:after="0" w:line="360" w:lineRule="auto"/>
        <w:ind w:left="708"/>
        <w:jc w:val="both"/>
        <w:rPr>
          <w:rFonts w:ascii="Bookman Old Style" w:eastAsia="BatangChe" w:hAnsi="Bookman Old Style" w:cs="Verdana"/>
          <w:sz w:val="24"/>
          <w:szCs w:val="24"/>
        </w:rPr>
      </w:pPr>
      <w:r w:rsidRPr="006B7455">
        <w:rPr>
          <w:rFonts w:ascii="Bookman Old Style" w:eastAsia="BatangChe" w:hAnsi="Bookman Old Style" w:cs="Verdana"/>
          <w:sz w:val="24"/>
          <w:szCs w:val="24"/>
        </w:rPr>
        <w:t>a) que se hayan interpuesto y agotado los recursos de jurisdicción interna, conforme a los principios del Derecho Internacional generalmente reconocidos […].”</w:t>
      </w:r>
      <w:r w:rsidRPr="006B7455">
        <w:rPr>
          <w:rFonts w:ascii="Bookman Old Style" w:eastAsia="BatangChe" w:hAnsi="Bookman Old Style" w:cs="Verdana"/>
          <w:sz w:val="24"/>
          <w:szCs w:val="24"/>
          <w:vertAlign w:val="superscript"/>
        </w:rPr>
        <w:footnoteReference w:id="15"/>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spacing w:after="0" w:line="360" w:lineRule="auto"/>
        <w:jc w:val="both"/>
        <w:rPr>
          <w:rFonts w:ascii="Bookman Old Style" w:eastAsia="BatangChe" w:hAnsi="Bookman Old Style" w:cs="Arial"/>
          <w:sz w:val="24"/>
          <w:szCs w:val="24"/>
        </w:rPr>
      </w:pPr>
      <w:r w:rsidRPr="006B7455">
        <w:rPr>
          <w:rFonts w:ascii="Bookman Old Style" w:eastAsia="BatangChe" w:hAnsi="Bookman Old Style" w:cs="Arial"/>
          <w:sz w:val="24"/>
          <w:szCs w:val="24"/>
        </w:rPr>
        <w:t>Este artículo refleja la naturaleza complementaria del SIDH, al establecer requisitos para su acceso, permitiendo a los Estados ser los primeros garantes de los derechos.</w:t>
      </w:r>
      <w:r w:rsidRPr="006B7455">
        <w:rPr>
          <w:rFonts w:ascii="Bookman Old Style" w:eastAsia="BatangChe" w:hAnsi="Bookman Old Style" w:cs="Verdana"/>
          <w:b/>
          <w:bCs/>
          <w:sz w:val="24"/>
          <w:szCs w:val="24"/>
        </w:rPr>
        <w:t xml:space="preserve"> </w:t>
      </w:r>
      <w:r w:rsidRPr="006B7455">
        <w:rPr>
          <w:rFonts w:ascii="Bookman Old Style" w:eastAsia="BatangChe" w:hAnsi="Bookman Old Style" w:cs="Verdana"/>
          <w:sz w:val="24"/>
          <w:szCs w:val="24"/>
        </w:rPr>
        <w:t>L</w:t>
      </w:r>
      <w:r w:rsidRPr="006B7455">
        <w:rPr>
          <w:rFonts w:ascii="Bookman Old Style" w:eastAsia="BatangChe" w:hAnsi="Bookman Old Style" w:cs="Arial"/>
          <w:sz w:val="24"/>
          <w:szCs w:val="24"/>
        </w:rPr>
        <w:t>a doctrina ha establecido que el principio de subsidiariedad en el marco del Derecho Internacional de los Derechos Humanos supone que:</w:t>
      </w:r>
    </w:p>
    <w:p w:rsidR="003E63EB" w:rsidRPr="006B7455" w:rsidRDefault="003E63EB" w:rsidP="003E63EB">
      <w:pPr>
        <w:spacing w:after="0" w:line="360" w:lineRule="auto"/>
        <w:ind w:firstLine="708"/>
        <w:jc w:val="both"/>
        <w:rPr>
          <w:rFonts w:ascii="Bookman Old Style" w:eastAsia="BatangChe" w:hAnsi="Bookman Old Style" w:cs="Arial"/>
          <w:sz w:val="24"/>
          <w:szCs w:val="24"/>
        </w:rPr>
      </w:pPr>
    </w:p>
    <w:p w:rsidR="003E63EB" w:rsidRPr="006B7455" w:rsidRDefault="003E63EB" w:rsidP="003E63EB">
      <w:pPr>
        <w:spacing w:after="0" w:line="360" w:lineRule="auto"/>
        <w:ind w:left="708" w:firstLine="75"/>
        <w:jc w:val="both"/>
        <w:rPr>
          <w:rFonts w:ascii="Bookman Old Style" w:eastAsia="BatangChe" w:hAnsi="Bookman Old Style" w:cs="Arial"/>
          <w:sz w:val="24"/>
          <w:szCs w:val="24"/>
        </w:rPr>
      </w:pPr>
      <w:r w:rsidRPr="006B7455">
        <w:rPr>
          <w:rFonts w:ascii="Bookman Old Style" w:eastAsia="BatangChe" w:hAnsi="Bookman Old Style" w:cs="Arial"/>
          <w:sz w:val="24"/>
          <w:szCs w:val="24"/>
        </w:rPr>
        <w:t>“[…] no obstante la existencia de normas y procedimientos internacionales para la protección de los derechos humanos o precisamente en virtud de ellos, es a los Estados a los que corresponde en primera instancia respetar y hacer respetar tales derechos en el ámbito de su jurisdicción.  En tal virtud, sólo cuando éstos no han brindado una protección adecuada o efectiva es que la jurisdicción internacional (ahí donde exista) puede y debe ejercer su competencia.”</w:t>
      </w:r>
      <w:r w:rsidRPr="006B7455">
        <w:rPr>
          <w:rFonts w:ascii="Bookman Old Style" w:eastAsia="BatangChe" w:hAnsi="Bookman Old Style" w:cs="Arial"/>
          <w:sz w:val="24"/>
          <w:szCs w:val="24"/>
          <w:vertAlign w:val="superscript"/>
        </w:rPr>
        <w:footnoteReference w:id="16"/>
      </w:r>
      <w:r w:rsidRPr="006B7455">
        <w:rPr>
          <w:rFonts w:ascii="Bookman Old Style" w:eastAsia="BatangChe" w:hAnsi="Bookman Old Style" w:cs="Arial"/>
          <w:sz w:val="24"/>
          <w:szCs w:val="24"/>
        </w:rPr>
        <w:t xml:space="preserve"> </w:t>
      </w:r>
    </w:p>
    <w:p w:rsidR="003E63EB" w:rsidRPr="006B7455" w:rsidRDefault="003E63EB" w:rsidP="003E63EB">
      <w:pPr>
        <w:spacing w:after="0" w:line="360" w:lineRule="auto"/>
        <w:jc w:val="both"/>
        <w:rPr>
          <w:rFonts w:ascii="Bookman Old Style" w:eastAsia="BatangChe" w:hAnsi="Bookman Old Style" w:cs="Arial"/>
          <w:sz w:val="24"/>
          <w:szCs w:val="24"/>
        </w:rPr>
      </w:pPr>
    </w:p>
    <w:p w:rsidR="003E63EB" w:rsidRPr="006B7455" w:rsidRDefault="003E63EB" w:rsidP="003E63EB">
      <w:pPr>
        <w:spacing w:after="0" w:line="360" w:lineRule="auto"/>
        <w:jc w:val="both"/>
        <w:rPr>
          <w:rFonts w:ascii="Bookman Old Style" w:eastAsia="BatangChe" w:hAnsi="Bookman Old Style" w:cs="Verdana"/>
          <w:b/>
          <w:bCs/>
          <w:sz w:val="24"/>
          <w:szCs w:val="24"/>
        </w:rPr>
      </w:pPr>
      <w:r w:rsidRPr="006B7455">
        <w:rPr>
          <w:rFonts w:ascii="Bookman Old Style" w:eastAsia="BatangChe" w:hAnsi="Bookman Old Style" w:cs="Arial"/>
          <w:sz w:val="24"/>
          <w:szCs w:val="24"/>
        </w:rPr>
        <w:t>Además,</w:t>
      </w:r>
      <w:r w:rsidRPr="006B7455">
        <w:rPr>
          <w:rFonts w:ascii="Bookman Old Style" w:eastAsia="BatangChe" w:hAnsi="Bookman Old Style"/>
          <w:sz w:val="24"/>
          <w:szCs w:val="24"/>
        </w:rPr>
        <w:t xml:space="preserve"> “(l</w:t>
      </w:r>
      <w:proofErr w:type="gramStart"/>
      <w:r w:rsidRPr="006B7455">
        <w:rPr>
          <w:rFonts w:ascii="Bookman Old Style" w:eastAsia="BatangChe" w:hAnsi="Bookman Old Style"/>
          <w:sz w:val="24"/>
          <w:szCs w:val="24"/>
        </w:rPr>
        <w:t>)os</w:t>
      </w:r>
      <w:proofErr w:type="gramEnd"/>
      <w:r w:rsidRPr="006B7455">
        <w:rPr>
          <w:rFonts w:ascii="Bookman Old Style" w:eastAsia="BatangChe" w:hAnsi="Bookman Old Style"/>
          <w:sz w:val="24"/>
          <w:szCs w:val="24"/>
        </w:rPr>
        <w:t xml:space="preserve"> sistemas internacionales o regionales de protección de los derechos humanos tienen un carácter subsidiario a los sistemas nacionales, es decir, actúan como última </w:t>
      </w:r>
      <w:r w:rsidRPr="003A14A4">
        <w:rPr>
          <w:rFonts w:ascii="Bookman Old Style" w:eastAsia="BatangChe" w:hAnsi="Bookman Old Style"/>
          <w:i/>
          <w:sz w:val="24"/>
          <w:szCs w:val="24"/>
        </w:rPr>
        <w:t>ratio</w:t>
      </w:r>
      <w:r w:rsidRPr="006B7455">
        <w:rPr>
          <w:rFonts w:ascii="Bookman Old Style" w:eastAsia="BatangChe" w:hAnsi="Bookman Old Style"/>
          <w:sz w:val="24"/>
          <w:szCs w:val="24"/>
        </w:rPr>
        <w:t xml:space="preserve"> cuando los Estados han fallado en brindar la </w:t>
      </w:r>
      <w:r w:rsidRPr="006B7455">
        <w:rPr>
          <w:rFonts w:ascii="Bookman Old Style" w:eastAsia="BatangChe" w:hAnsi="Bookman Old Style"/>
          <w:sz w:val="24"/>
          <w:szCs w:val="24"/>
        </w:rPr>
        <w:lastRenderedPageBreak/>
        <w:t>protección debida a los derechos de las personas”</w:t>
      </w:r>
      <w:r w:rsidRPr="006B7455">
        <w:rPr>
          <w:rFonts w:ascii="Bookman Old Style" w:eastAsia="BatangChe" w:hAnsi="Bookman Old Style"/>
          <w:sz w:val="24"/>
          <w:szCs w:val="24"/>
          <w:vertAlign w:val="superscript"/>
        </w:rPr>
        <w:footnoteReference w:id="17"/>
      </w:r>
      <w:r w:rsidRPr="006B7455">
        <w:rPr>
          <w:rFonts w:ascii="Bookman Old Style" w:eastAsia="BatangChe" w:hAnsi="Bookman Old Style"/>
          <w:sz w:val="24"/>
          <w:szCs w:val="24"/>
        </w:rPr>
        <w:t xml:space="preserve">, esa última </w:t>
      </w:r>
      <w:r w:rsidRPr="003A14A4">
        <w:rPr>
          <w:rFonts w:ascii="Bookman Old Style" w:eastAsia="BatangChe" w:hAnsi="Bookman Old Style"/>
          <w:i/>
          <w:sz w:val="24"/>
          <w:szCs w:val="24"/>
        </w:rPr>
        <w:t>ratio</w:t>
      </w:r>
      <w:r w:rsidRPr="006B7455">
        <w:rPr>
          <w:rFonts w:ascii="Bookman Old Style" w:eastAsia="BatangChe" w:hAnsi="Bookman Old Style"/>
          <w:sz w:val="24"/>
          <w:szCs w:val="24"/>
        </w:rPr>
        <w:t xml:space="preserve"> es la que debe inspirar a los usuarios del sistema internacional.</w:t>
      </w:r>
    </w:p>
    <w:p w:rsidR="003E63EB" w:rsidRPr="006B7455" w:rsidRDefault="003E63EB" w:rsidP="003E63EB">
      <w:pPr>
        <w:spacing w:after="0" w:line="360" w:lineRule="auto"/>
        <w:jc w:val="both"/>
        <w:rPr>
          <w:rFonts w:ascii="Bookman Old Style" w:eastAsia="BatangChe" w:hAnsi="Bookman Old Style"/>
          <w:sz w:val="24"/>
          <w:szCs w:val="24"/>
        </w:rPr>
      </w:pPr>
    </w:p>
    <w:p w:rsidR="003E63EB" w:rsidRPr="006B7455" w:rsidRDefault="003E63EB" w:rsidP="003E63EB">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Para Christian Steiner y Patricia Uribe es una premisa fundamental que la Comisión y la Corte intervengan cuando se han agotado los mecanismos internos que coadyuven a hacer efectiva la protección de los derechos humanos. En este sentido, “sólo se puede acceder al plano regional cuando no hay manera de encontrar remedio dentro del Estado, ya sea porque se intentaron todas las vías administrativas y judiciales posibles, o porque estas son inexistentes o insuficientes para ofrecer tutela efectiva.”</w:t>
      </w:r>
      <w:r w:rsidRPr="006B7455">
        <w:rPr>
          <w:rFonts w:ascii="Bookman Old Style" w:eastAsia="BatangChe" w:hAnsi="Bookman Old Style"/>
          <w:sz w:val="24"/>
          <w:szCs w:val="24"/>
          <w:vertAlign w:val="superscript"/>
        </w:rPr>
        <w:footnoteReference w:id="18"/>
      </w:r>
      <w:r w:rsidRPr="006B7455">
        <w:rPr>
          <w:rFonts w:ascii="Bookman Old Style" w:eastAsia="BatangChe" w:hAnsi="Bookman Old Style"/>
          <w:sz w:val="24"/>
          <w:szCs w:val="24"/>
        </w:rPr>
        <w:t>. Es decir, requerir que se hayan agotado dichos recursos es un reconocimiento de que el Estado “es el primer obligado a resolver los alegatos de presuntas violaciones de derechos humanos”</w:t>
      </w:r>
      <w:r w:rsidRPr="006B7455">
        <w:rPr>
          <w:rFonts w:ascii="Bookman Old Style" w:eastAsia="BatangChe" w:hAnsi="Bookman Old Style"/>
          <w:sz w:val="24"/>
          <w:szCs w:val="24"/>
          <w:vertAlign w:val="superscript"/>
        </w:rPr>
        <w:footnoteReference w:id="19"/>
      </w:r>
      <w:r w:rsidRPr="006B7455">
        <w:rPr>
          <w:rFonts w:ascii="Bookman Old Style" w:eastAsia="BatangChe" w:hAnsi="Bookman Old Style"/>
          <w:sz w:val="24"/>
          <w:szCs w:val="24"/>
        </w:rPr>
        <w:t>. Lo anterior resulta lógico si se considera que los Estados conocen más cercanamente su contexto, historia y circunstancias que los tribunales internacionales, razón por la cual resulta óptimo que dichos reclamos sean resueltos a nivel nacional.</w:t>
      </w:r>
    </w:p>
    <w:p w:rsidR="003E63EB" w:rsidRDefault="003E63EB" w:rsidP="003E63EB">
      <w:pPr>
        <w:shd w:val="clear" w:color="auto" w:fill="FFFFFF" w:themeFill="background1"/>
        <w:spacing w:after="0" w:line="360" w:lineRule="auto"/>
        <w:jc w:val="both"/>
        <w:rPr>
          <w:rFonts w:ascii="Bookman Old Style" w:eastAsia="BatangChe" w:hAnsi="Bookman Old Style"/>
          <w:sz w:val="24"/>
          <w:szCs w:val="24"/>
        </w:rPr>
      </w:pPr>
    </w:p>
    <w:p w:rsidR="003E63EB" w:rsidRPr="006B7455" w:rsidRDefault="003E63EB" w:rsidP="003E63EB">
      <w:pPr>
        <w:shd w:val="clear" w:color="auto" w:fill="FFFFFF" w:themeFill="background1"/>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Según Paolo </w:t>
      </w:r>
      <w:proofErr w:type="spellStart"/>
      <w:r w:rsidRPr="006B7455">
        <w:rPr>
          <w:rFonts w:ascii="Bookman Old Style" w:eastAsia="BatangChe" w:hAnsi="Bookman Old Style"/>
          <w:sz w:val="24"/>
          <w:szCs w:val="24"/>
        </w:rPr>
        <w:t>Carozza</w:t>
      </w:r>
      <w:proofErr w:type="spellEnd"/>
      <w:r w:rsidRPr="006B7455">
        <w:rPr>
          <w:rFonts w:ascii="Bookman Old Style" w:eastAsia="BatangChe" w:hAnsi="Bookman Old Style"/>
          <w:sz w:val="24"/>
          <w:szCs w:val="24"/>
        </w:rPr>
        <w:t>, ex presidente de la Comisión Interamericana de Derechos Humanos, la subsidiariedad es “aplicable cuando una comunidad no es capaz de lograr el bien común por sus propios medios”</w:t>
      </w:r>
      <w:r w:rsidRPr="006B7455">
        <w:rPr>
          <w:rFonts w:ascii="Bookman Old Style" w:eastAsia="BatangChe" w:hAnsi="Bookman Old Style"/>
          <w:sz w:val="24"/>
          <w:szCs w:val="24"/>
          <w:vertAlign w:val="superscript"/>
        </w:rPr>
        <w:footnoteReference w:id="20"/>
      </w:r>
      <w:r w:rsidRPr="006B7455">
        <w:rPr>
          <w:rFonts w:ascii="Bookman Old Style" w:eastAsia="BatangChe" w:hAnsi="Bookman Old Style"/>
          <w:sz w:val="24"/>
          <w:szCs w:val="24"/>
        </w:rPr>
        <w:t>. Asimismo, manifestó que el principio de subsidiariedad, en la comunidad internacional, genera una responsabilidad de intervenir y asistir, pero prohíbe hacerse cargo de todo aquello que las comunidades locales pueden lograr por sí mismas</w:t>
      </w:r>
      <w:r w:rsidRPr="006B7455">
        <w:rPr>
          <w:rFonts w:ascii="Bookman Old Style" w:eastAsia="BatangChe" w:hAnsi="Bookman Old Style"/>
          <w:sz w:val="24"/>
          <w:szCs w:val="24"/>
          <w:vertAlign w:val="superscript"/>
        </w:rPr>
        <w:footnoteReference w:id="21"/>
      </w:r>
      <w:r w:rsidRPr="006B7455">
        <w:rPr>
          <w:rFonts w:ascii="Bookman Old Style" w:eastAsia="BatangChe" w:hAnsi="Bookman Old Style"/>
          <w:sz w:val="24"/>
          <w:szCs w:val="24"/>
        </w:rPr>
        <w:t xml:space="preserve">. Y no </w:t>
      </w:r>
      <w:r w:rsidRPr="006B7455">
        <w:rPr>
          <w:rFonts w:ascii="Bookman Old Style" w:eastAsia="BatangChe" w:hAnsi="Bookman Old Style"/>
          <w:sz w:val="24"/>
          <w:szCs w:val="24"/>
        </w:rPr>
        <w:lastRenderedPageBreak/>
        <w:t>puede ser de otra manera, de lo contrario las comunidades locales perderían la capacidad de solucionar sus conflictos.</w:t>
      </w:r>
    </w:p>
    <w:p w:rsidR="003E63EB" w:rsidRPr="006B7455" w:rsidRDefault="003E63EB" w:rsidP="003E63EB">
      <w:pPr>
        <w:shd w:val="clear" w:color="auto" w:fill="FFFFFF"/>
        <w:spacing w:after="0" w:line="360" w:lineRule="auto"/>
        <w:jc w:val="both"/>
        <w:rPr>
          <w:rFonts w:ascii="Bookman Old Style" w:eastAsia="BatangChe" w:hAnsi="Bookman Old Style"/>
          <w:sz w:val="24"/>
          <w:szCs w:val="24"/>
        </w:rPr>
      </w:pPr>
    </w:p>
    <w:p w:rsidR="003E63EB" w:rsidRPr="006B7455" w:rsidRDefault="003E63EB" w:rsidP="003E63EB">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 Comisión Interamericana de Derechos Humanos, por su parte, ha indicado que “(l</w:t>
      </w:r>
      <w:proofErr w:type="gramStart"/>
      <w:r w:rsidRPr="006B7455">
        <w:rPr>
          <w:rFonts w:ascii="Bookman Old Style" w:eastAsia="BatangChe" w:hAnsi="Bookman Old Style"/>
          <w:sz w:val="24"/>
          <w:szCs w:val="24"/>
        </w:rPr>
        <w:t>)a</w:t>
      </w:r>
      <w:proofErr w:type="gramEnd"/>
      <w:r w:rsidRPr="006B7455">
        <w:rPr>
          <w:rFonts w:ascii="Bookman Old Style" w:eastAsia="BatangChe" w:hAnsi="Bookman Old Style"/>
          <w:sz w:val="24"/>
          <w:szCs w:val="24"/>
        </w:rPr>
        <w:t xml:space="preserve"> protección internacional que otorgan los órganos de supervisión de la Convención es de carácter subsidiario(,) (e)l Preámbulo de la Convención es claro a ese respecto cuando se refiere al carácter de mecanismo de refuerzo o complementario que tiene la protección prevista por el derecho interno de los Estados americanos”</w:t>
      </w:r>
      <w:r w:rsidRPr="006B7455">
        <w:rPr>
          <w:rFonts w:ascii="Bookman Old Style" w:eastAsia="BatangChe" w:hAnsi="Bookman Old Style"/>
          <w:sz w:val="24"/>
          <w:szCs w:val="24"/>
          <w:vertAlign w:val="superscript"/>
        </w:rPr>
        <w:footnoteReference w:id="22"/>
      </w:r>
      <w:r w:rsidRPr="006B7455">
        <w:rPr>
          <w:rFonts w:ascii="Bookman Old Style" w:eastAsia="BatangChe" w:hAnsi="Bookman Old Style"/>
          <w:sz w:val="24"/>
          <w:szCs w:val="24"/>
        </w:rPr>
        <w:t>. De hecho, la propia Comisión Interamericana ha manifestado la importancia de que un Estado Parte cuente con la oportunidad de ofrecer una reparación dentro de su jurisdicción interna, por presuntas violaciones a los derechos humanos, antes de que los casos se ventilen ante el Sistema Interamericano.</w:t>
      </w:r>
      <w:r w:rsidRPr="006B7455">
        <w:rPr>
          <w:rFonts w:ascii="Bookman Old Style" w:eastAsia="BatangChe" w:hAnsi="Bookman Old Style"/>
          <w:sz w:val="24"/>
          <w:szCs w:val="24"/>
          <w:vertAlign w:val="superscript"/>
        </w:rPr>
        <w:footnoteReference w:id="23"/>
      </w:r>
      <w:r w:rsidRPr="006B7455">
        <w:rPr>
          <w:rFonts w:ascii="Bookman Old Style" w:eastAsia="BatangChe" w:hAnsi="Bookman Old Style"/>
          <w:sz w:val="24"/>
          <w:szCs w:val="24"/>
        </w:rPr>
        <w:t xml:space="preserve"> Para éste propósito se ha establecido la regla del agotamiento de los recursos jurisdiccionales internos, que confiere al SIDH un carácter subsidiario o complementario al nacional.</w:t>
      </w:r>
      <w:r w:rsidRPr="006B7455">
        <w:rPr>
          <w:rFonts w:ascii="Bookman Old Style" w:eastAsia="BatangChe" w:hAnsi="Bookman Old Style"/>
          <w:sz w:val="24"/>
          <w:szCs w:val="24"/>
          <w:vertAlign w:val="superscript"/>
        </w:rPr>
        <w:footnoteReference w:id="24"/>
      </w:r>
    </w:p>
    <w:p w:rsidR="003E63EB"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Con relación a la complementariedad y </w:t>
      </w:r>
      <w:proofErr w:type="spellStart"/>
      <w:r w:rsidRPr="006B7455">
        <w:rPr>
          <w:rFonts w:ascii="Bookman Old Style" w:eastAsia="BatangChe" w:hAnsi="Bookman Old Style"/>
          <w:sz w:val="24"/>
          <w:szCs w:val="24"/>
        </w:rPr>
        <w:t>coadyuvancia</w:t>
      </w:r>
      <w:proofErr w:type="spellEnd"/>
      <w:r w:rsidRPr="006B7455">
        <w:rPr>
          <w:rFonts w:ascii="Bookman Old Style" w:eastAsia="BatangChe" w:hAnsi="Bookman Old Style"/>
          <w:sz w:val="24"/>
          <w:szCs w:val="24"/>
        </w:rPr>
        <w:t xml:space="preserve"> del Sistema Interamericano de Protección de Derechos, la Corte Interamericana de Derechos Humanos ha establecido desde su primera sentencia que:</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ind w:left="709"/>
        <w:jc w:val="both"/>
        <w:rPr>
          <w:rFonts w:ascii="Bookman Old Style" w:eastAsia="BatangChe" w:hAnsi="Bookman Old Style"/>
          <w:sz w:val="24"/>
          <w:szCs w:val="24"/>
        </w:rPr>
      </w:pPr>
      <w:r w:rsidRPr="006B7455">
        <w:rPr>
          <w:rFonts w:ascii="Bookman Old Style" w:eastAsia="BatangChe" w:hAnsi="Bookman Old Style"/>
          <w:sz w:val="24"/>
          <w:szCs w:val="24"/>
        </w:rPr>
        <w:t>“[…] la regla del previo agotamiento de los recursos internos permite al Estado resolver el problema según su derecho interno antes de verse enfrentado a un proceso internacional, lo cual es especialmente válido en la jurisdicción internacional de los derechos humanos, por ser ésta ‘coadyuvante o complementaria’ de la interna”</w:t>
      </w:r>
      <w:r w:rsidRPr="006B7455">
        <w:rPr>
          <w:rFonts w:ascii="Bookman Old Style" w:eastAsia="BatangChe" w:hAnsi="Bookman Old Style"/>
          <w:sz w:val="24"/>
          <w:szCs w:val="24"/>
          <w:vertAlign w:val="superscript"/>
        </w:rPr>
        <w:footnoteReference w:id="25"/>
      </w:r>
      <w:r w:rsidRPr="006B7455">
        <w:rPr>
          <w:rFonts w:ascii="Bookman Old Style" w:eastAsia="BatangChe" w:hAnsi="Bookman Old Style"/>
          <w:sz w:val="24"/>
          <w:szCs w:val="24"/>
        </w:rPr>
        <w:t>.</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 xml:space="preserve">De igual modo en el caso “Las Palmeras” en contra de Colombia determinó que: </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spacing w:after="0" w:line="360" w:lineRule="auto"/>
        <w:ind w:left="708"/>
        <w:jc w:val="both"/>
        <w:rPr>
          <w:rFonts w:ascii="Bookman Old Style" w:eastAsia="BatangChe" w:hAnsi="Bookman Old Style"/>
          <w:sz w:val="24"/>
          <w:szCs w:val="24"/>
        </w:rPr>
      </w:pPr>
      <w:r w:rsidRPr="006B7455">
        <w:rPr>
          <w:rFonts w:ascii="Bookman Old Style" w:eastAsia="BatangChe" w:hAnsi="Bookman Old Style"/>
          <w:sz w:val="24"/>
          <w:szCs w:val="24"/>
        </w:rPr>
        <w:t>“[l]a Convención Americana es un tratado multilateral mediante el cual los Estados Partes se obligan a garantizar y a hacer efectivos los derechos y libertades previstos en ella y a cumplir con las reparaciones que se dispongan. La Convención es la piedra fundamental del sistema de garantía de los derechos humanos en América. Este sistema consta de un nivel nacional que consiste en la obligación de cada Estado de garantizar los derechos y libertades previstos en la Convención y de sancionar las infracciones que se cometieren. Ahora bien, si un caso concreto no es solucionado en la etapa interna o nacional, la Convención prevé un nivel internacional en la que los órganos principales son la Comisión y esta Corte. Pero, como lo expresa el Preámbulo de la misma Convención Americana, la protección internacional es “coadyuvante o complementaria de la que ofrece el derecho interno de los Estados americanos”. En consecuencia, cuando una cuestión ha sido resuelta definitivamente en el orden interno según las cláusulas de la Convención, no es necesario traerla a esta Corte para su “aprobación” o “confirmación”</w:t>
      </w:r>
      <w:r w:rsidRPr="006B7455">
        <w:rPr>
          <w:rFonts w:ascii="Bookman Old Style" w:eastAsia="BatangChe" w:hAnsi="Bookman Old Style"/>
          <w:sz w:val="24"/>
          <w:szCs w:val="24"/>
          <w:vertAlign w:val="superscript"/>
        </w:rPr>
        <w:footnoteReference w:id="26"/>
      </w:r>
      <w:r w:rsidRPr="006B7455">
        <w:rPr>
          <w:rFonts w:ascii="Bookman Old Style" w:eastAsia="BatangChe" w:hAnsi="Bookman Old Style"/>
          <w:sz w:val="24"/>
          <w:szCs w:val="24"/>
        </w:rPr>
        <w:t>.</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el mismo sentido, la Corte ha establecido en el caso Godínez Cruz que “(l)a regla del previo agotamiento de los recursos internos permite al Estado resolver el problema según su derecho interno antes de verse enfrentado a un proceso internacional, lo cual es especialmente válido en la jurisdicción internacional de los derechos humanos, por ser ésta "coadyuvante o complementaria" de la interna”</w:t>
      </w:r>
      <w:r w:rsidRPr="006B7455">
        <w:rPr>
          <w:rFonts w:ascii="Bookman Old Style" w:eastAsia="BatangChe" w:hAnsi="Bookman Old Style"/>
          <w:sz w:val="24"/>
          <w:szCs w:val="24"/>
          <w:vertAlign w:val="superscript"/>
        </w:rPr>
        <w:footnoteReference w:id="27"/>
      </w:r>
      <w:r w:rsidRPr="006B7455">
        <w:rPr>
          <w:rFonts w:ascii="Bookman Old Style" w:eastAsia="BatangChe" w:hAnsi="Bookman Old Style"/>
          <w:sz w:val="24"/>
          <w:szCs w:val="24"/>
        </w:rPr>
        <w:t xml:space="preserve">; y en el caso Ríos, de igual manera “(l)a Corte ha establecido que la responsabilidad estatal sólo puede ser exigida a nivel internacional después de </w:t>
      </w:r>
      <w:r w:rsidRPr="006B7455">
        <w:rPr>
          <w:rFonts w:ascii="Bookman Old Style" w:eastAsia="BatangChe" w:hAnsi="Bookman Old Style"/>
          <w:sz w:val="24"/>
          <w:szCs w:val="24"/>
        </w:rPr>
        <w:lastRenderedPageBreak/>
        <w:t>que el Estado haya tenido oportunidad de examinarla y declararla a través de los recursos de la jurisdicción interna y de reparar el daño ocasionado(,) (l)a jurisdicción internacional tiene carácter subsidiario, coadyuvante y complementario”</w:t>
      </w:r>
      <w:r w:rsidRPr="006B7455">
        <w:rPr>
          <w:rFonts w:ascii="Bookman Old Style" w:eastAsia="BatangChe" w:hAnsi="Bookman Old Style"/>
          <w:sz w:val="24"/>
          <w:szCs w:val="24"/>
          <w:vertAlign w:val="superscript"/>
        </w:rPr>
        <w:footnoteReference w:id="28"/>
      </w:r>
      <w:r w:rsidRPr="006B7455">
        <w:rPr>
          <w:rFonts w:ascii="Bookman Old Style" w:eastAsia="BatangChe" w:hAnsi="Bookman Old Style"/>
          <w:sz w:val="24"/>
          <w:szCs w:val="24"/>
        </w:rPr>
        <w:t>.</w:t>
      </w:r>
    </w:p>
    <w:p w:rsidR="003E63EB" w:rsidRDefault="003E63EB" w:rsidP="003E63EB">
      <w:pPr>
        <w:spacing w:after="0" w:line="360" w:lineRule="auto"/>
        <w:jc w:val="both"/>
        <w:rPr>
          <w:rFonts w:ascii="Bookman Old Style" w:eastAsia="BatangChe" w:hAnsi="Bookman Old Style"/>
          <w:sz w:val="24"/>
          <w:szCs w:val="24"/>
        </w:rPr>
      </w:pPr>
    </w:p>
    <w:p w:rsidR="003E63EB" w:rsidRPr="006B7455" w:rsidRDefault="003E63EB" w:rsidP="003E63EB">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En el caso </w:t>
      </w:r>
      <w:proofErr w:type="spellStart"/>
      <w:r w:rsidRPr="006B7455">
        <w:rPr>
          <w:rFonts w:ascii="Bookman Old Style" w:eastAsia="BatangChe" w:hAnsi="Bookman Old Style"/>
          <w:sz w:val="24"/>
          <w:szCs w:val="24"/>
        </w:rPr>
        <w:t>Atala</w:t>
      </w:r>
      <w:proofErr w:type="spellEnd"/>
      <w:r w:rsidRPr="006B7455">
        <w:rPr>
          <w:rFonts w:ascii="Bookman Old Style" w:eastAsia="BatangChe" w:hAnsi="Bookman Old Style"/>
          <w:sz w:val="24"/>
          <w:szCs w:val="24"/>
        </w:rPr>
        <w:t xml:space="preserve"> </w:t>
      </w:r>
      <w:proofErr w:type="spellStart"/>
      <w:r w:rsidRPr="006B7455">
        <w:rPr>
          <w:rFonts w:ascii="Bookman Old Style" w:eastAsia="BatangChe" w:hAnsi="Bookman Old Style"/>
          <w:sz w:val="24"/>
          <w:szCs w:val="24"/>
        </w:rPr>
        <w:t>Riffo</w:t>
      </w:r>
      <w:proofErr w:type="spellEnd"/>
      <w:r w:rsidRPr="006B7455">
        <w:rPr>
          <w:rFonts w:ascii="Bookman Old Style" w:eastAsia="BatangChe" w:hAnsi="Bookman Old Style"/>
          <w:sz w:val="24"/>
          <w:szCs w:val="24"/>
        </w:rPr>
        <w:t xml:space="preserve"> “el Tribunal reiteró que la jurisdicción internacional tiene carácter subsidiario, coadyuvante y complementario”</w:t>
      </w:r>
      <w:r w:rsidRPr="006B7455">
        <w:rPr>
          <w:rFonts w:ascii="Bookman Old Style" w:eastAsia="BatangChe" w:hAnsi="Bookman Old Style"/>
          <w:sz w:val="24"/>
          <w:szCs w:val="24"/>
          <w:vertAlign w:val="superscript"/>
        </w:rPr>
        <w:footnoteReference w:id="29"/>
      </w:r>
      <w:r w:rsidRPr="006B7455">
        <w:rPr>
          <w:rFonts w:ascii="Bookman Old Style" w:eastAsia="BatangChe" w:hAnsi="Bookman Old Style"/>
          <w:sz w:val="24"/>
          <w:szCs w:val="24"/>
        </w:rPr>
        <w:t>, y en el asunto de Viviana Gallardo, la Corte manifestó que:</w:t>
      </w:r>
    </w:p>
    <w:p w:rsidR="003E63EB" w:rsidRDefault="003E63EB" w:rsidP="003E63EB">
      <w:pPr>
        <w:spacing w:after="0" w:line="360" w:lineRule="auto"/>
        <w:ind w:left="709"/>
        <w:jc w:val="both"/>
        <w:rPr>
          <w:rFonts w:ascii="Bookman Old Style" w:eastAsia="BatangChe" w:hAnsi="Bookman Old Style"/>
          <w:sz w:val="24"/>
          <w:szCs w:val="24"/>
        </w:rPr>
      </w:pPr>
    </w:p>
    <w:p w:rsidR="003E63EB" w:rsidRPr="006B7455" w:rsidRDefault="003E63EB" w:rsidP="003E63EB">
      <w:pPr>
        <w:spacing w:after="0" w:line="360" w:lineRule="auto"/>
        <w:ind w:left="709"/>
        <w:jc w:val="both"/>
        <w:rPr>
          <w:rFonts w:ascii="Bookman Old Style" w:eastAsia="BatangChe" w:hAnsi="Bookman Old Style"/>
          <w:sz w:val="24"/>
          <w:szCs w:val="24"/>
        </w:rPr>
      </w:pPr>
      <w:r w:rsidRPr="006B7455">
        <w:rPr>
          <w:rFonts w:ascii="Bookman Old Style" w:eastAsia="BatangChe" w:hAnsi="Bookman Old Style"/>
          <w:sz w:val="24"/>
          <w:szCs w:val="24"/>
        </w:rPr>
        <w:t>“[…] según los principios del Derecho Internacional generalmente reconocidos y la práctica internacional, la regla que exige el previo agotamiento de los recursos internos está concebida en interés del Estado, pues busca dispensarlo de responder ante un órgano internacional por actos que se le imputen, antes de haber tenido la ocasión de remediarlos con sus propios medios.”</w:t>
      </w:r>
      <w:r w:rsidRPr="006B7455">
        <w:rPr>
          <w:rFonts w:ascii="Bookman Old Style" w:eastAsia="BatangChe" w:hAnsi="Bookman Old Style"/>
          <w:sz w:val="24"/>
          <w:szCs w:val="24"/>
          <w:vertAlign w:val="superscript"/>
        </w:rPr>
        <w:footnoteReference w:id="30"/>
      </w:r>
    </w:p>
    <w:p w:rsidR="003E63EB"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Una vez que se ha visto que tanto la CIDH como la Corte IDH han sido consecuentes respecto de la naturaleza subsidiaria del SIDH, tal y como fue previsto en el preámbulo de la CADH, cabe resaltar que la jurisprudencia de la Corte IDH ha hecho lo propio en aplicación del artículo 46. 1 de la CADH, estableciendo como regla procesal el agotamiento de </w:t>
      </w:r>
      <w:r>
        <w:rPr>
          <w:rFonts w:ascii="Bookman Old Style" w:eastAsia="BatangChe" w:hAnsi="Bookman Old Style"/>
          <w:sz w:val="24"/>
          <w:szCs w:val="24"/>
        </w:rPr>
        <w:t xml:space="preserve">la </w:t>
      </w:r>
      <w:r w:rsidRPr="006B7455">
        <w:rPr>
          <w:rFonts w:ascii="Bookman Old Style" w:eastAsia="BatangChe" w:hAnsi="Bookman Old Style"/>
          <w:sz w:val="24"/>
          <w:szCs w:val="24"/>
        </w:rPr>
        <w:t>jurisdicción local</w:t>
      </w:r>
      <w:r>
        <w:rPr>
          <w:rFonts w:ascii="Bookman Old Style" w:eastAsia="BatangChe" w:hAnsi="Bookman Old Style"/>
          <w:sz w:val="24"/>
          <w:szCs w:val="24"/>
        </w:rPr>
        <w:t>.</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Como se ha sostenido, el agotamiento de los recursos internos constituye también una norma de admisibilidad que proviene del derecho internacional público y que ha sido recogida por los tribunales internacionales. Al respecto, el tratadista español, Adolfo Miaja de la Muela, al referirse a la regla de </w:t>
      </w:r>
      <w:r w:rsidRPr="006B7455">
        <w:rPr>
          <w:rFonts w:ascii="Bookman Old Style" w:eastAsia="BatangChe" w:hAnsi="Bookman Old Style"/>
          <w:sz w:val="24"/>
          <w:szCs w:val="24"/>
        </w:rPr>
        <w:lastRenderedPageBreak/>
        <w:t>agotamiento de recursos de jurisdicción interna como requisito de admisibilidad, señaló:</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spacing w:after="0" w:line="360" w:lineRule="auto"/>
        <w:ind w:left="709"/>
        <w:jc w:val="both"/>
        <w:rPr>
          <w:rFonts w:ascii="Bookman Old Style" w:eastAsia="BatangChe" w:hAnsi="Bookman Old Style"/>
          <w:sz w:val="24"/>
          <w:szCs w:val="24"/>
        </w:rPr>
      </w:pPr>
      <w:r w:rsidRPr="006B7455">
        <w:rPr>
          <w:rFonts w:ascii="Bookman Old Style" w:eastAsia="BatangChe" w:hAnsi="Bookman Old Style"/>
          <w:sz w:val="24"/>
          <w:szCs w:val="24"/>
        </w:rPr>
        <w:t>“Cuando un Estado pretende que la lesión sufrida por uno de sus nacionales en su persona o en sus bienes ha sido cometida en violación del Derecho internacional, cualquier reclamación diplomática o judicial que le corresponda por este motivo es inadmisible, si existen en el orden jurídico interno del Estado contra el que la pretensión es formulada vías de recurso accesibles a la persona lesionada, y que verosímilmente son eficaces y suficientes, en tanto que el uso normal de estas vías no ha sido agotado […]”</w:t>
      </w:r>
      <w:r w:rsidRPr="006B7455">
        <w:rPr>
          <w:rFonts w:ascii="Bookman Old Style" w:eastAsia="BatangChe" w:hAnsi="Bookman Old Style"/>
          <w:sz w:val="24"/>
          <w:szCs w:val="24"/>
          <w:vertAlign w:val="superscript"/>
        </w:rPr>
        <w:footnoteReference w:id="31"/>
      </w:r>
    </w:p>
    <w:p w:rsidR="003E63EB" w:rsidRPr="006B7455" w:rsidRDefault="003E63EB" w:rsidP="003E63EB">
      <w:pPr>
        <w:spacing w:after="0" w:line="360" w:lineRule="auto"/>
        <w:ind w:left="708"/>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cs="Verdana"/>
          <w:sz w:val="24"/>
          <w:szCs w:val="24"/>
        </w:rPr>
        <w:t xml:space="preserve">Con lo expuesto, se evidencia que desde la discusión del primer proyecto de Convención Americana, la intención de los Estados fue generar un sistema de protección subsidiario al que éstos podrían tener en su legislación interna. Para cumplir con este objetivo es preciso que las reglas para admitir un caso a conocimiento del Sistema Interamericano estén claramente condicionadas a agotar previamente los recursos internos, esto con la intención de limitar la intervención, privilegiar el ejercicio de la jurisdicción local y el arreglo interno de los conflictos. </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cs="Palatino-Roman"/>
          <w:sz w:val="24"/>
          <w:szCs w:val="24"/>
        </w:rPr>
        <w:t>Ahora bien, una vez que se ha evidenciado la voluntad de los Estados de contar con un sistema de protección de derechos complementario, cabe cuestionar toda aplicación que la distorsione, incluso bajo la justificación de ampliar dicha protección. La interpretación del tratado</w:t>
      </w:r>
      <w:r>
        <w:rPr>
          <w:rFonts w:ascii="Bookman Old Style" w:eastAsia="BatangChe" w:hAnsi="Bookman Old Style" w:cs="Palatino-Roman"/>
          <w:sz w:val="24"/>
          <w:szCs w:val="24"/>
        </w:rPr>
        <w:t xml:space="preserve"> </w:t>
      </w:r>
      <w:r w:rsidRPr="006B7455">
        <w:rPr>
          <w:rFonts w:ascii="Bookman Old Style" w:eastAsia="BatangChe" w:hAnsi="Bookman Old Style" w:cs="Palatino-Roman"/>
          <w:sz w:val="24"/>
          <w:szCs w:val="24"/>
        </w:rPr>
        <w:t>debe siempre ajustarse a los criterios de interpretación de los tratados, así como al objeto y fin de su creación y para tal efecto se debe</w:t>
      </w:r>
      <w:r>
        <w:rPr>
          <w:rFonts w:ascii="Bookman Old Style" w:eastAsia="BatangChe" w:hAnsi="Bookman Old Style" w:cs="Palatino-Roman"/>
          <w:sz w:val="24"/>
          <w:szCs w:val="24"/>
        </w:rPr>
        <w:t>n</w:t>
      </w:r>
      <w:r w:rsidRPr="006B7455">
        <w:rPr>
          <w:rFonts w:ascii="Bookman Old Style" w:eastAsia="BatangChe" w:hAnsi="Bookman Old Style" w:cs="Palatino-Roman"/>
          <w:sz w:val="24"/>
          <w:szCs w:val="24"/>
        </w:rPr>
        <w:t xml:space="preserve"> observar las reglas de interpretación dispuestas </w:t>
      </w:r>
      <w:r w:rsidRPr="006B7455">
        <w:rPr>
          <w:rFonts w:ascii="Bookman Old Style" w:eastAsia="BatangChe" w:hAnsi="Bookman Old Style"/>
          <w:sz w:val="24"/>
          <w:szCs w:val="24"/>
        </w:rPr>
        <w:t>en la Convención de Viena sobre el Derecho de los Tratados.</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Palatino-Roman"/>
          <w:sz w:val="24"/>
          <w:szCs w:val="24"/>
        </w:rPr>
      </w:pPr>
      <w:r w:rsidRPr="006B7455">
        <w:rPr>
          <w:rFonts w:ascii="Bookman Old Style" w:eastAsia="BatangChe" w:hAnsi="Bookman Old Style"/>
          <w:sz w:val="24"/>
          <w:szCs w:val="24"/>
        </w:rPr>
        <w:t>Así, la CADH</w:t>
      </w:r>
      <w:r w:rsidRPr="006B7455">
        <w:rPr>
          <w:rFonts w:ascii="Bookman Old Style" w:eastAsia="BatangChe" w:hAnsi="Bookman Old Style" w:cs="Palatino-Roman"/>
          <w:sz w:val="24"/>
          <w:szCs w:val="24"/>
        </w:rPr>
        <w:t xml:space="preserve"> “debe estar sujeta a las reglas generales de interpretación de los tratados internacionales, a los criterios específicos que fija la Convención y a las consideraciones especiales sobre su objeto y fin.”</w:t>
      </w:r>
      <w:r w:rsidRPr="006B7455">
        <w:rPr>
          <w:rFonts w:ascii="Bookman Old Style" w:eastAsia="BatangChe" w:hAnsi="Bookman Old Style" w:cs="Palatino-Roman"/>
          <w:sz w:val="24"/>
          <w:szCs w:val="24"/>
          <w:vertAlign w:val="superscript"/>
        </w:rPr>
        <w:footnoteReference w:id="32"/>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Palatino-Roman"/>
          <w:sz w:val="24"/>
          <w:szCs w:val="24"/>
        </w:rPr>
      </w:pPr>
    </w:p>
    <w:p w:rsidR="003E63EB" w:rsidRDefault="003E63EB" w:rsidP="003E63EB">
      <w:pPr>
        <w:autoSpaceDE w:val="0"/>
        <w:autoSpaceDN w:val="0"/>
        <w:adjustRightInd w:val="0"/>
        <w:spacing w:after="0" w:line="360" w:lineRule="auto"/>
        <w:jc w:val="both"/>
        <w:rPr>
          <w:rFonts w:ascii="Bookman Old Style" w:eastAsia="BatangChe" w:hAnsi="Bookman Old Style" w:cs="Palatino-Roman"/>
          <w:sz w:val="24"/>
          <w:szCs w:val="24"/>
        </w:rPr>
      </w:pPr>
      <w:r w:rsidRPr="006B7455">
        <w:rPr>
          <w:rFonts w:ascii="Bookman Old Style" w:eastAsia="BatangChe" w:hAnsi="Bookman Old Style" w:cs="Palatino-Roman"/>
          <w:sz w:val="24"/>
          <w:szCs w:val="24"/>
        </w:rPr>
        <w:t>La interpretación de un tratado internacional no puede ser antojadiza en virtud de su importancia y, toda vez que no existe un órgano legislativo internacional, es la Convención de Viena sobre el Derecho de los Tratados el instrumento que la delimita, a través de los siguientes criterios de interpretación: a) un tratado debe interpretarse de buena fe; b) conforme al sentido corriente que tienen sus términos; c) tomando en cuenta su contexto; y d) considerando su objeto y fin. Además establece que, para los efectos de la interpretación de un tratado, el contexto comprenderá, su texto en el que se incluyen su preámbulo, sus anexos, entre otros; y que se le dará a un término, un sentido especial si consta que esa fue la intención de las partes.</w:t>
      </w:r>
      <w:r w:rsidRPr="006B7455">
        <w:rPr>
          <w:rFonts w:ascii="Bookman Old Style" w:eastAsia="BatangChe" w:hAnsi="Bookman Old Style" w:cs="Palatino-Roman"/>
          <w:sz w:val="24"/>
          <w:szCs w:val="24"/>
          <w:vertAlign w:val="superscript"/>
        </w:rPr>
        <w:footnoteReference w:id="33"/>
      </w:r>
      <w:r w:rsidRPr="006B7455">
        <w:rPr>
          <w:rFonts w:ascii="Bookman Old Style" w:eastAsia="BatangChe" w:hAnsi="Bookman Old Style" w:cs="Palatino-Roman"/>
          <w:sz w:val="24"/>
          <w:szCs w:val="24"/>
        </w:rPr>
        <w:t xml:space="preserve"> </w:t>
      </w:r>
    </w:p>
    <w:p w:rsidR="003E63EB" w:rsidRDefault="003E63EB" w:rsidP="003E63EB">
      <w:pPr>
        <w:autoSpaceDE w:val="0"/>
        <w:autoSpaceDN w:val="0"/>
        <w:adjustRightInd w:val="0"/>
        <w:spacing w:after="0" w:line="360" w:lineRule="auto"/>
        <w:jc w:val="both"/>
        <w:rPr>
          <w:rFonts w:ascii="Bookman Old Style" w:eastAsia="BatangChe" w:hAnsi="Bookman Old Style" w:cs="Palatino-Roman"/>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Palatino-Roman"/>
          <w:sz w:val="24"/>
          <w:szCs w:val="24"/>
        </w:rPr>
      </w:pPr>
      <w:r w:rsidRPr="006B7455">
        <w:rPr>
          <w:rFonts w:ascii="Bookman Old Style" w:eastAsia="BatangChe" w:hAnsi="Bookman Old Style" w:cs="Palatino-Roman"/>
          <w:sz w:val="24"/>
          <w:szCs w:val="24"/>
        </w:rPr>
        <w:t>Por lo tanto, el ejercicio de interpretación de la Convención Americana se encuentra delimitado a la aplicación de los métodos objetivo y teleológico para evitar cualquier detrimento al régimen jurídico de los tratados internacionales, tal como lo han señalado algunos jueces de la Corte Interamericana</w:t>
      </w:r>
      <w:r>
        <w:rPr>
          <w:rFonts w:ascii="Bookman Old Style" w:eastAsia="BatangChe" w:hAnsi="Bookman Old Style" w:cs="Palatino-Roman"/>
          <w:sz w:val="24"/>
          <w:szCs w:val="24"/>
        </w:rPr>
        <w:t>.</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Palatino-Roman"/>
          <w:sz w:val="24"/>
          <w:szCs w:val="24"/>
        </w:rPr>
      </w:pPr>
      <w:r w:rsidRPr="006B7455">
        <w:rPr>
          <w:rFonts w:ascii="Bookman Old Style" w:eastAsia="BatangChe" w:hAnsi="Bookman Old Style" w:cs="Palatino-Roman"/>
          <w:sz w:val="24"/>
          <w:szCs w:val="24"/>
        </w:rPr>
        <w:t xml:space="preserve"> </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Palatino-Roman"/>
          <w:sz w:val="24"/>
          <w:szCs w:val="24"/>
        </w:rPr>
      </w:pPr>
      <w:r w:rsidRPr="006B7455">
        <w:rPr>
          <w:rFonts w:ascii="Bookman Old Style" w:eastAsia="BatangChe" w:hAnsi="Bookman Old Style" w:cs="Palatino-Roman"/>
          <w:sz w:val="24"/>
          <w:szCs w:val="24"/>
        </w:rPr>
        <w:t xml:space="preserve">El ex presidente de la Corte Interamericana de Derechos Humanos, Sergio García Ramírez, en su Voto Razonado Concurrente a la Sentencia de 31 de agosto de 2001 en el </w:t>
      </w:r>
      <w:r w:rsidRPr="006B7455">
        <w:rPr>
          <w:rFonts w:ascii="Bookman Old Style" w:eastAsia="BatangChe" w:hAnsi="Bookman Old Style" w:cs="Palatino-Italic"/>
          <w:sz w:val="24"/>
          <w:szCs w:val="24"/>
        </w:rPr>
        <w:t xml:space="preserve">Caso de la Comunidad </w:t>
      </w:r>
      <w:proofErr w:type="spellStart"/>
      <w:r w:rsidRPr="006B7455">
        <w:rPr>
          <w:rFonts w:ascii="Bookman Old Style" w:eastAsia="BatangChe" w:hAnsi="Bookman Old Style" w:cs="Palatino-Italic"/>
          <w:sz w:val="24"/>
          <w:szCs w:val="24"/>
        </w:rPr>
        <w:t>Mayagna</w:t>
      </w:r>
      <w:proofErr w:type="spellEnd"/>
      <w:r w:rsidRPr="006B7455">
        <w:rPr>
          <w:rFonts w:ascii="Bookman Old Style" w:eastAsia="BatangChe" w:hAnsi="Bookman Old Style" w:cs="Palatino-Italic"/>
          <w:sz w:val="24"/>
          <w:szCs w:val="24"/>
        </w:rPr>
        <w:t xml:space="preserve"> (Sumo) </w:t>
      </w:r>
      <w:proofErr w:type="spellStart"/>
      <w:r w:rsidRPr="006B7455">
        <w:rPr>
          <w:rFonts w:ascii="Bookman Old Style" w:eastAsia="BatangChe" w:hAnsi="Bookman Old Style" w:cs="Palatino-Italic"/>
          <w:sz w:val="24"/>
          <w:szCs w:val="24"/>
        </w:rPr>
        <w:t>Awas</w:t>
      </w:r>
      <w:proofErr w:type="spellEnd"/>
      <w:r w:rsidRPr="006B7455">
        <w:rPr>
          <w:rFonts w:ascii="Bookman Old Style" w:eastAsia="BatangChe" w:hAnsi="Bookman Old Style" w:cs="Palatino-Italic"/>
          <w:sz w:val="24"/>
          <w:szCs w:val="24"/>
        </w:rPr>
        <w:t xml:space="preserve"> </w:t>
      </w:r>
      <w:proofErr w:type="spellStart"/>
      <w:r w:rsidRPr="006B7455">
        <w:rPr>
          <w:rFonts w:ascii="Bookman Old Style" w:eastAsia="BatangChe" w:hAnsi="Bookman Old Style" w:cs="Palatino-Italic"/>
          <w:sz w:val="24"/>
          <w:szCs w:val="24"/>
        </w:rPr>
        <w:t>Tingni</w:t>
      </w:r>
      <w:proofErr w:type="spellEnd"/>
      <w:r w:rsidRPr="006B7455">
        <w:rPr>
          <w:rFonts w:ascii="Bookman Old Style" w:eastAsia="BatangChe" w:hAnsi="Bookman Old Style" w:cs="Palatino-Roman"/>
          <w:sz w:val="24"/>
          <w:szCs w:val="24"/>
        </w:rPr>
        <w:t>, declaró que la Corte:</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Palatino-Roman"/>
          <w:sz w:val="24"/>
          <w:szCs w:val="24"/>
        </w:rPr>
      </w:pPr>
    </w:p>
    <w:p w:rsidR="003E63EB" w:rsidRPr="006B7455" w:rsidRDefault="003E63EB" w:rsidP="003E63EB">
      <w:pPr>
        <w:autoSpaceDE w:val="0"/>
        <w:autoSpaceDN w:val="0"/>
        <w:adjustRightInd w:val="0"/>
        <w:spacing w:after="0" w:line="360" w:lineRule="auto"/>
        <w:ind w:left="709"/>
        <w:jc w:val="both"/>
        <w:rPr>
          <w:rFonts w:ascii="Bookman Old Style" w:eastAsia="BatangChe" w:hAnsi="Bookman Old Style" w:cs="Palatino-Roman"/>
          <w:sz w:val="24"/>
          <w:szCs w:val="24"/>
        </w:rPr>
      </w:pPr>
      <w:r w:rsidRPr="006B7455">
        <w:rPr>
          <w:rFonts w:ascii="Bookman Old Style" w:eastAsia="BatangChe" w:hAnsi="Bookman Old Style" w:cs="Palatino-Roman"/>
          <w:sz w:val="24"/>
          <w:szCs w:val="24"/>
        </w:rPr>
        <w:lastRenderedPageBreak/>
        <w:t>“en el ejercicio de su jurisdicción contenciosa, está obligada a observar las disposiciones de la Convención y a interpretarlas conforme a las reglas que ella misma previene y a las demás reglas que pudieran ser invocadas conforme al régimen jurídico de los tratados internacionales, que figuran en la Convención de Viena; y que además debe tener en cuenta el principio de interpretación que obliga a considerar el objeto y fin de los tratados [...].”</w:t>
      </w:r>
      <w:r w:rsidRPr="006B7455">
        <w:rPr>
          <w:rFonts w:ascii="Bookman Old Style" w:eastAsia="BatangChe" w:hAnsi="Bookman Old Style" w:cs="Palatino-Roman"/>
          <w:sz w:val="24"/>
          <w:szCs w:val="24"/>
          <w:vertAlign w:val="superscript"/>
        </w:rPr>
        <w:footnoteReference w:id="34"/>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Verdana"/>
          <w:b/>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cs="Palatino-Roman"/>
          <w:sz w:val="24"/>
          <w:szCs w:val="24"/>
        </w:rPr>
      </w:pPr>
      <w:r w:rsidRPr="006B7455">
        <w:rPr>
          <w:rFonts w:ascii="Bookman Old Style" w:eastAsia="BatangChe" w:hAnsi="Bookman Old Style" w:cs="Palatino-Roman"/>
          <w:sz w:val="24"/>
          <w:szCs w:val="24"/>
        </w:rPr>
        <w:t>Asimismo, el actual juez de la Corte Interamericana de Derechos Humanos, Eduardo Vio Grossi, en su voto razonado dentro del Caso López Mendoza vs. Venezuela, expresó:</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cs="Palatino-Roman"/>
          <w:sz w:val="24"/>
          <w:szCs w:val="24"/>
        </w:rPr>
      </w:pPr>
    </w:p>
    <w:p w:rsidR="003E63EB" w:rsidRPr="006B7455" w:rsidRDefault="003E63EB" w:rsidP="003E63EB">
      <w:pPr>
        <w:autoSpaceDE w:val="0"/>
        <w:autoSpaceDN w:val="0"/>
        <w:adjustRightInd w:val="0"/>
        <w:spacing w:after="0" w:line="360" w:lineRule="auto"/>
        <w:ind w:left="709"/>
        <w:jc w:val="both"/>
        <w:rPr>
          <w:rFonts w:ascii="Bookman Old Style" w:eastAsia="BatangChe" w:hAnsi="Bookman Old Style" w:cs="Palatino-Roman"/>
          <w:sz w:val="24"/>
          <w:szCs w:val="24"/>
        </w:rPr>
      </w:pPr>
      <w:r w:rsidRPr="006B7455">
        <w:rPr>
          <w:rFonts w:ascii="Bookman Old Style" w:eastAsia="BatangChe" w:hAnsi="Bookman Old Style" w:cs="Palatino-Roman"/>
          <w:sz w:val="24"/>
          <w:szCs w:val="24"/>
        </w:rPr>
        <w:t>“ [...] con el presente voto concurrente se pretende llamar la atención acerca de lo estrictamente ajustado a derecho, en la especie, al Derecho Internacional Público, [...] habida cuenta que el resultado al que ha llegado [...], se logra aplicando los métodos objetivo y teleológico de interpretación contemplados en la Convención de Viena sobre el Derecho de los Tratados, en adelante la Convención de Viena, es decir, las reglas concernientes a la buena fe, a los términos del tratado, al contexto de esos términos y al objeto y fin.”</w:t>
      </w:r>
      <w:r w:rsidRPr="006B7455">
        <w:rPr>
          <w:rFonts w:ascii="Bookman Old Style" w:eastAsia="BatangChe" w:hAnsi="Bookman Old Style" w:cs="Palatino-Roman"/>
          <w:sz w:val="24"/>
          <w:szCs w:val="24"/>
          <w:vertAlign w:val="superscript"/>
        </w:rPr>
        <w:footnoteReference w:id="35"/>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Además, el magistrado resaltó la importancia de tomar en cuenta la voluntad de los Estados Parte al adoptar un determinado texto, así como el objetivo y fin de dicho documento al momento de interpretar la Convención Americana,</w:t>
      </w:r>
      <w:r w:rsidRPr="006B7455">
        <w:rPr>
          <w:rFonts w:ascii="Bookman Old Style" w:eastAsia="BatangChe" w:hAnsi="Bookman Old Style"/>
          <w:sz w:val="24"/>
          <w:szCs w:val="24"/>
          <w:vertAlign w:val="superscript"/>
        </w:rPr>
        <w:footnoteReference w:id="36"/>
      </w:r>
      <w:r w:rsidRPr="006B7455">
        <w:rPr>
          <w:rFonts w:ascii="Bookman Old Style" w:eastAsia="BatangChe" w:hAnsi="Bookman Old Style"/>
          <w:sz w:val="24"/>
          <w:szCs w:val="24"/>
        </w:rPr>
        <w:t xml:space="preserve"> esto al amparo de lo dispuesto en la citada Convención de Viena.</w:t>
      </w: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p>
    <w:p w:rsidR="003E63EB" w:rsidRPr="006B7455" w:rsidRDefault="003E63EB" w:rsidP="003E63EB">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virtud de lo anterior, cualquier interpretación debe respetar el principio de subsidiariedad reconocido en la CADH, dado que los Estados aprobaron un sistema coadyuvante y complementario y no uno parale</w:t>
      </w:r>
      <w:r>
        <w:rPr>
          <w:rFonts w:ascii="Bookman Old Style" w:eastAsia="BatangChe" w:hAnsi="Bookman Old Style"/>
          <w:sz w:val="24"/>
          <w:szCs w:val="24"/>
        </w:rPr>
        <w:t>lo</w:t>
      </w:r>
      <w:r w:rsidRPr="006B7455">
        <w:rPr>
          <w:rFonts w:ascii="Bookman Old Style" w:eastAsia="BatangChe" w:hAnsi="Bookman Old Style"/>
          <w:sz w:val="24"/>
          <w:szCs w:val="24"/>
        </w:rPr>
        <w:t xml:space="preserve"> o una cuarta instancia internacional que, bajo el paraguas de la promoción y protección de derechos humanos, modifique la naturaleza con la que fue creado el mecanismo de protección desde su primera concepción. </w:t>
      </w:r>
    </w:p>
    <w:p w:rsidR="00F5538C" w:rsidRDefault="00F5538C"/>
    <w:sectPr w:rsidR="00F553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534" w:rsidRDefault="00FF5534" w:rsidP="003E63EB">
      <w:pPr>
        <w:spacing w:after="0" w:line="240" w:lineRule="auto"/>
      </w:pPr>
      <w:r>
        <w:separator/>
      </w:r>
    </w:p>
  </w:endnote>
  <w:endnote w:type="continuationSeparator" w:id="0">
    <w:p w:rsidR="00FF5534" w:rsidRDefault="00FF5534" w:rsidP="003E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alatino-Roman">
    <w:panose1 w:val="00000000000000000000"/>
    <w:charset w:val="00"/>
    <w:family w:val="roman"/>
    <w:notTrueType/>
    <w:pitch w:val="default"/>
    <w:sig w:usb0="00000003" w:usb1="00000000" w:usb2="00000000" w:usb3="00000000" w:csb0="00000001" w:csb1="00000000"/>
  </w:font>
  <w:font w:name="Palatino-Italic">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534" w:rsidRDefault="00FF5534" w:rsidP="003E63EB">
      <w:pPr>
        <w:spacing w:after="0" w:line="240" w:lineRule="auto"/>
      </w:pPr>
      <w:r>
        <w:separator/>
      </w:r>
    </w:p>
  </w:footnote>
  <w:footnote w:type="continuationSeparator" w:id="0">
    <w:p w:rsidR="00FF5534" w:rsidRDefault="00FF5534" w:rsidP="003E63EB">
      <w:pPr>
        <w:spacing w:after="0" w:line="240" w:lineRule="auto"/>
      </w:pPr>
      <w:r>
        <w:continuationSeparator/>
      </w:r>
    </w:p>
  </w:footnote>
  <w:footnote w:id="1">
    <w:p w:rsidR="003E63EB" w:rsidRPr="00DD4D40" w:rsidRDefault="003E63EB" w:rsidP="003E63EB">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IBÁÑEZ, Juana María (2017): Control de Convencionalidad (Universidad Autónoma de México, México 2017). </w:t>
      </w:r>
      <w:r w:rsidRPr="00DD4D40">
        <w:rPr>
          <w:rFonts w:ascii="Bookman Old Style" w:hAnsi="Bookman Old Style"/>
        </w:rPr>
        <w:t>P. 6.</w:t>
      </w:r>
    </w:p>
  </w:footnote>
  <w:footnote w:id="2">
    <w:p w:rsidR="003E63EB" w:rsidRPr="00DD4D40" w:rsidRDefault="003E63EB" w:rsidP="003E63EB">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 P. 11.</w:t>
      </w:r>
    </w:p>
  </w:footnote>
  <w:footnote w:id="3">
    <w:p w:rsidR="003E63EB" w:rsidRPr="003F2969" w:rsidRDefault="003E63EB" w:rsidP="003E63EB">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rPr>
        <w:t xml:space="preserve"> IBÁÑEZ, Juana María (2017): Control de Convencionalidad (Universidad Autónoma de México, México 2017). </w:t>
      </w:r>
      <w:proofErr w:type="gramStart"/>
      <w:r w:rsidRPr="003F2969">
        <w:rPr>
          <w:rFonts w:ascii="Bookman Old Style" w:hAnsi="Bookman Old Style"/>
          <w:lang w:val="en-US"/>
        </w:rPr>
        <w:t>P. 36.</w:t>
      </w:r>
      <w:proofErr w:type="gramEnd"/>
    </w:p>
  </w:footnote>
  <w:footnote w:id="4">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lang w:val="en-US"/>
        </w:rPr>
        <w:t xml:space="preserve"> GARDINER, Richard (2008): </w:t>
      </w:r>
      <w:r w:rsidRPr="003F2969">
        <w:rPr>
          <w:rFonts w:ascii="Bookman Old Style" w:hAnsi="Bookman Old Style" w:cs="Times"/>
          <w:iCs/>
          <w:sz w:val="20"/>
          <w:szCs w:val="20"/>
          <w:lang w:val="en-US"/>
        </w:rPr>
        <w:t>Treaty Interpretation. (</w:t>
      </w:r>
      <w:r w:rsidRPr="003F2969">
        <w:rPr>
          <w:rFonts w:ascii="Bookman Old Style" w:hAnsi="Bookman Old Style"/>
          <w:sz w:val="20"/>
          <w:szCs w:val="20"/>
          <w:lang w:val="en-US"/>
        </w:rPr>
        <w:t xml:space="preserve">New York, Oxford University Press). </w:t>
      </w:r>
      <w:r w:rsidRPr="003F2969">
        <w:rPr>
          <w:rFonts w:ascii="Bookman Old Style" w:hAnsi="Bookman Old Style"/>
          <w:sz w:val="20"/>
          <w:szCs w:val="20"/>
        </w:rPr>
        <w:t>P. 217.</w:t>
      </w:r>
    </w:p>
  </w:footnote>
  <w:footnote w:id="5">
    <w:p w:rsidR="003E63EB" w:rsidRPr="003F2969" w:rsidRDefault="003E63EB" w:rsidP="003E63EB">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Ibídem. P. 216.</w:t>
      </w:r>
    </w:p>
  </w:footnote>
  <w:footnote w:id="6">
    <w:p w:rsidR="003E63EB" w:rsidRPr="003F2969" w:rsidRDefault="003E63EB" w:rsidP="003E63EB">
      <w:pPr>
        <w:spacing w:after="0" w:line="240" w:lineRule="auto"/>
        <w:jc w:val="both"/>
        <w:rPr>
          <w:rFonts w:ascii="Bookman Old Style" w:hAnsi="Bookman Old Style" w:cs="Times"/>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ORGANIZACIÓN DE LOS ESTADOS AMERICANOS. SECRETARÍA GENERAL DE LA ORGANIZACIÓN DE LOS ESTADOS AMERICANOS. Actas y documentos Conferencia Especializada Interamericana sobre Derechos Humanos. 7 a 22 de noviembre de 1969, Washington, D.C. P. 142.</w:t>
      </w:r>
    </w:p>
  </w:footnote>
  <w:footnote w:id="7">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STEINER, Christian y URIBE, Patricia (2014): “Convención Americana sobre Derechos Humanos comentada”. Konrad Adenauer </w:t>
      </w:r>
      <w:proofErr w:type="spellStart"/>
      <w:r w:rsidRPr="003F2969">
        <w:rPr>
          <w:rFonts w:ascii="Bookman Old Style" w:hAnsi="Bookman Old Style"/>
          <w:sz w:val="20"/>
          <w:szCs w:val="20"/>
        </w:rPr>
        <w:t>Stiftung</w:t>
      </w:r>
      <w:proofErr w:type="spellEnd"/>
      <w:r w:rsidRPr="003F2969">
        <w:rPr>
          <w:rFonts w:ascii="Bookman Old Style" w:hAnsi="Bookman Old Style"/>
          <w:sz w:val="20"/>
          <w:szCs w:val="20"/>
        </w:rPr>
        <w:t>, artículo de FERRER, Eduardo y PELAYO MOLLER, Carlos María; “La formación del SIDH”. P. 34.</w:t>
      </w:r>
    </w:p>
  </w:footnote>
  <w:footnote w:id="8">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cs="Verdana"/>
          <w:sz w:val="20"/>
          <w:szCs w:val="20"/>
        </w:rPr>
        <w:t xml:space="preserve"> ORGANIZACIÓN DE LOS ESTADOS AMERICANOS. Conferencia Especializada Interamericana sobre Derechos Humanos, San José, Costa Rica 7-22 de noviembre de 1969, Actas y Documentos. P. 26.</w:t>
      </w:r>
    </w:p>
  </w:footnote>
  <w:footnote w:id="9">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cs="Verdana"/>
          <w:sz w:val="20"/>
          <w:szCs w:val="20"/>
        </w:rPr>
        <w:t xml:space="preserve"> Ibídem. P. 13.</w:t>
      </w:r>
    </w:p>
  </w:footnote>
  <w:footnote w:id="10">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cs="Verdana"/>
          <w:sz w:val="20"/>
          <w:szCs w:val="20"/>
        </w:rPr>
        <w:t xml:space="preserve"> ORGANIZACIÓN DE LOS ESTADOS AMERICANOS. Conferencia Especializada Interamericana sobre Derechos Humanos, San José, Costa Rica 7-22 de noviembre de 1969, Actas y Documentos. P.107.</w:t>
      </w:r>
    </w:p>
  </w:footnote>
  <w:footnote w:id="11">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cs="Verdana"/>
          <w:sz w:val="20"/>
          <w:szCs w:val="20"/>
        </w:rPr>
        <w:t xml:space="preserve"> Ibídem. P.26.</w:t>
      </w:r>
    </w:p>
  </w:footnote>
  <w:footnote w:id="12">
    <w:p w:rsidR="003E63EB" w:rsidRPr="003F2969" w:rsidRDefault="003E63EB" w:rsidP="003E63EB">
      <w:pPr>
        <w:spacing w:after="0" w:line="240" w:lineRule="auto"/>
        <w:jc w:val="both"/>
        <w:rPr>
          <w:rFonts w:ascii="Bookman Old Style" w:hAnsi="Bookman Old Style" w:cs="Verdana"/>
          <w:sz w:val="20"/>
          <w:szCs w:val="20"/>
        </w:rPr>
      </w:pPr>
      <w:r w:rsidRPr="003F2969">
        <w:rPr>
          <w:rStyle w:val="Refdenotaalpie"/>
          <w:rFonts w:ascii="Bookman Old Style" w:hAnsi="Bookman Old Style"/>
          <w:sz w:val="20"/>
          <w:szCs w:val="20"/>
        </w:rPr>
        <w:footnoteRef/>
      </w:r>
      <w:r w:rsidRPr="003F2969">
        <w:rPr>
          <w:rFonts w:ascii="Bookman Old Style" w:hAnsi="Bookman Old Style" w:cs="Verdana"/>
          <w:sz w:val="20"/>
          <w:szCs w:val="20"/>
        </w:rPr>
        <w:t xml:space="preserve"> ORGANIZACIÓN DE LOS ESTADOS AMERICANOS. Conferencia Especializada Interamericana sobre Derechos Humanos, San José, Costa Rica 7-22 de noviembre de 1969, Actas y Documentos. P. 75.</w:t>
      </w:r>
    </w:p>
  </w:footnote>
  <w:footnote w:id="13">
    <w:p w:rsidR="003E63EB" w:rsidRPr="003F2969" w:rsidRDefault="003E63EB" w:rsidP="003E63EB">
      <w:pPr>
        <w:spacing w:after="0" w:line="240" w:lineRule="auto"/>
        <w:jc w:val="both"/>
        <w:rPr>
          <w:rFonts w:ascii="Bookman Old Style" w:hAnsi="Bookman Old Style" w:cs="Verdana"/>
          <w:sz w:val="20"/>
          <w:szCs w:val="20"/>
        </w:rPr>
      </w:pPr>
      <w:r w:rsidRPr="003F2969">
        <w:rPr>
          <w:rStyle w:val="Refdenotaalpie"/>
          <w:rFonts w:ascii="Bookman Old Style" w:hAnsi="Bookman Old Style"/>
          <w:sz w:val="20"/>
          <w:szCs w:val="20"/>
        </w:rPr>
        <w:footnoteRef/>
      </w:r>
      <w:r w:rsidRPr="003F2969">
        <w:rPr>
          <w:rFonts w:ascii="Bookman Old Style" w:hAnsi="Bookman Old Style" w:cs="Verdana"/>
          <w:sz w:val="20"/>
          <w:szCs w:val="20"/>
        </w:rPr>
        <w:t xml:space="preserve"> Ibídem. P. 339.</w:t>
      </w:r>
    </w:p>
  </w:footnote>
  <w:footnote w:id="14">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cs="Verdana"/>
          <w:sz w:val="20"/>
          <w:szCs w:val="20"/>
        </w:rPr>
        <w:t xml:space="preserve"> Ibíd. P. 455.</w:t>
      </w:r>
    </w:p>
  </w:footnote>
  <w:footnote w:id="15">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cs="Verdana"/>
          <w:sz w:val="20"/>
          <w:szCs w:val="20"/>
        </w:rPr>
        <w:t xml:space="preserve"> ORGANIZACIÓN DE LOS ESTADOS AMERICANOS Conferencia Especializada Interamericana sobre Derechos Humanos, San José, Costa Rica 7-22 de noviembre de 1969. P. 493.</w:t>
      </w:r>
    </w:p>
  </w:footnote>
  <w:footnote w:id="16">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DEL TORO HUERTA, Mauricio Iván: El Principio de Subsidiariedad en el Derecho Internacional de los Derechos Humanos con especial referencia al Sistema Interamericano (Biblioteca Jurídica Virtual del Instituto de Investigaciones Jurídicas de la UNAM, Universidad Nacional Autónoma de México).  P. 43 disponible en: </w:t>
      </w:r>
      <w:hyperlink r:id="rId1" w:history="1">
        <w:r w:rsidRPr="003F2969">
          <w:rPr>
            <w:rStyle w:val="Hipervnculo"/>
            <w:rFonts w:ascii="Bookman Old Style" w:hAnsi="Bookman Old Style"/>
            <w:sz w:val="20"/>
            <w:szCs w:val="20"/>
          </w:rPr>
          <w:t>https://archivos.juridicas.unam.mx/www/bjv/libros/5/2496/7.pdf</w:t>
        </w:r>
      </w:hyperlink>
      <w:r w:rsidRPr="003F2969">
        <w:rPr>
          <w:rFonts w:ascii="Bookman Old Style" w:hAnsi="Bookman Old Style"/>
          <w:sz w:val="20"/>
          <w:szCs w:val="20"/>
        </w:rPr>
        <w:t>. Fecha de consulta: 4 de diciembre de 2017.</w:t>
      </w:r>
    </w:p>
  </w:footnote>
  <w:footnote w:id="17">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STEINER, Christian y URIBE, Patricia (2014): “Introducción General”. En STEINER, Christian y URIBE, Patricia (</w:t>
      </w:r>
      <w:proofErr w:type="spellStart"/>
      <w:r w:rsidRPr="003F2969">
        <w:rPr>
          <w:rFonts w:ascii="Bookman Old Style" w:hAnsi="Bookman Old Style"/>
          <w:sz w:val="20"/>
          <w:szCs w:val="20"/>
        </w:rPr>
        <w:t>edits</w:t>
      </w:r>
      <w:proofErr w:type="spellEnd"/>
      <w:r w:rsidRPr="003F2969">
        <w:rPr>
          <w:rFonts w:ascii="Bookman Old Style" w:hAnsi="Bookman Old Style"/>
          <w:sz w:val="20"/>
          <w:szCs w:val="20"/>
        </w:rPr>
        <w:t xml:space="preserve">.), </w:t>
      </w:r>
      <w:r w:rsidRPr="003F2969">
        <w:rPr>
          <w:rFonts w:ascii="Bookman Old Style" w:hAnsi="Bookman Old Style"/>
          <w:i/>
          <w:sz w:val="20"/>
          <w:szCs w:val="20"/>
        </w:rPr>
        <w:t xml:space="preserve">Convención Americana sobre Derechos Humanos, Comentario </w:t>
      </w:r>
      <w:r w:rsidRPr="003F2969">
        <w:rPr>
          <w:rFonts w:ascii="Bookman Old Style" w:hAnsi="Bookman Old Style"/>
          <w:sz w:val="20"/>
          <w:szCs w:val="20"/>
        </w:rPr>
        <w:t>(Bolivia,</w:t>
      </w:r>
      <w:r w:rsidRPr="003F2969">
        <w:rPr>
          <w:rFonts w:ascii="Bookman Old Style" w:hAnsi="Bookman Old Style"/>
          <w:i/>
          <w:sz w:val="20"/>
          <w:szCs w:val="20"/>
        </w:rPr>
        <w:t xml:space="preserve"> </w:t>
      </w:r>
      <w:r w:rsidRPr="003F2969">
        <w:rPr>
          <w:rFonts w:ascii="Bookman Old Style" w:hAnsi="Bookman Old Style"/>
          <w:sz w:val="20"/>
          <w:szCs w:val="20"/>
        </w:rPr>
        <w:t xml:space="preserve"> Plural Editores). P. 7.</w:t>
      </w:r>
    </w:p>
  </w:footnote>
  <w:footnote w:id="18">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Ibídem. P. 7.</w:t>
      </w:r>
    </w:p>
  </w:footnote>
  <w:footnote w:id="19">
    <w:p w:rsidR="003E63EB" w:rsidRPr="003F2969" w:rsidRDefault="003E63EB" w:rsidP="003E63EB">
      <w:pPr>
        <w:spacing w:after="0" w:line="240" w:lineRule="auto"/>
        <w:jc w:val="both"/>
        <w:rPr>
          <w:rFonts w:ascii="Bookman Old Style" w:hAnsi="Bookman Old Style"/>
          <w:sz w:val="20"/>
          <w:szCs w:val="20"/>
          <w:lang w:val="en-US"/>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DÍAZ, Álvaro (2014):“La revisión inicial de peticiones por la Comisión Interamericana y la subsidiariedad del sistema de derechos humanos”, </w:t>
      </w:r>
      <w:r w:rsidRPr="003F2969">
        <w:rPr>
          <w:rFonts w:ascii="Bookman Old Style" w:hAnsi="Bookman Old Style"/>
          <w:i/>
          <w:sz w:val="20"/>
          <w:szCs w:val="20"/>
        </w:rPr>
        <w:t>Revista de Derechos de la Pontifica Universidad Católica de Valparaíso</w:t>
      </w:r>
      <w:r w:rsidRPr="003F2969">
        <w:rPr>
          <w:rFonts w:ascii="Bookman Old Style" w:hAnsi="Bookman Old Style"/>
          <w:sz w:val="20"/>
          <w:szCs w:val="20"/>
        </w:rPr>
        <w:t xml:space="preserve"> XLIII. </w:t>
      </w:r>
      <w:proofErr w:type="gramStart"/>
      <w:r w:rsidRPr="003F2969">
        <w:rPr>
          <w:rFonts w:ascii="Bookman Old Style" w:hAnsi="Bookman Old Style"/>
          <w:sz w:val="20"/>
          <w:szCs w:val="20"/>
          <w:lang w:val="en-US"/>
        </w:rPr>
        <w:t>P. 634.</w:t>
      </w:r>
      <w:proofErr w:type="gramEnd"/>
    </w:p>
  </w:footnote>
  <w:footnote w:id="20">
    <w:p w:rsidR="003E63EB" w:rsidRPr="003F2969" w:rsidRDefault="003E63EB" w:rsidP="003E63EB">
      <w:pPr>
        <w:spacing w:after="0" w:line="240" w:lineRule="auto"/>
        <w:jc w:val="both"/>
        <w:rPr>
          <w:rFonts w:ascii="Bookman Old Style" w:hAnsi="Bookman Old Style"/>
          <w:sz w:val="20"/>
          <w:szCs w:val="20"/>
          <w:lang w:val="en-US"/>
        </w:rPr>
      </w:pPr>
      <w:r w:rsidRPr="003F2969">
        <w:rPr>
          <w:rStyle w:val="Refdenotaalpie"/>
          <w:rFonts w:ascii="Bookman Old Style" w:hAnsi="Bookman Old Style"/>
          <w:sz w:val="20"/>
          <w:szCs w:val="20"/>
        </w:rPr>
        <w:footnoteRef/>
      </w:r>
      <w:r w:rsidRPr="003F2969">
        <w:rPr>
          <w:rFonts w:ascii="Bookman Old Style" w:hAnsi="Bookman Old Style"/>
          <w:sz w:val="20"/>
          <w:szCs w:val="20"/>
          <w:lang w:val="en-US"/>
        </w:rPr>
        <w:t xml:space="preserve"> CAROZZA, Paolo (2003): “Subsidiarity as a Structural Principle of International Human Rights Law”, </w:t>
      </w:r>
      <w:r w:rsidRPr="003F2969">
        <w:rPr>
          <w:rFonts w:ascii="Bookman Old Style" w:hAnsi="Bookman Old Style"/>
          <w:i/>
          <w:sz w:val="20"/>
          <w:szCs w:val="20"/>
          <w:lang w:val="en-US"/>
        </w:rPr>
        <w:t xml:space="preserve">Notre Dame Law School, Scholarly </w:t>
      </w:r>
      <w:proofErr w:type="spellStart"/>
      <w:r w:rsidRPr="003F2969">
        <w:rPr>
          <w:rFonts w:ascii="Bookman Old Style" w:hAnsi="Bookman Old Style"/>
          <w:i/>
          <w:sz w:val="20"/>
          <w:szCs w:val="20"/>
          <w:lang w:val="en-US"/>
        </w:rPr>
        <w:t>Works</w:t>
      </w:r>
      <w:r w:rsidRPr="003F2969">
        <w:rPr>
          <w:rFonts w:ascii="Bookman Old Style" w:hAnsi="Bookman Old Style"/>
          <w:sz w:val="20"/>
          <w:szCs w:val="20"/>
          <w:lang w:val="en-US"/>
        </w:rPr>
        <w:t>p</w:t>
      </w:r>
      <w:proofErr w:type="spellEnd"/>
      <w:r w:rsidRPr="003F2969">
        <w:rPr>
          <w:rFonts w:ascii="Bookman Old Style" w:hAnsi="Bookman Old Style"/>
          <w:sz w:val="20"/>
          <w:szCs w:val="20"/>
          <w:lang w:val="en-US"/>
        </w:rPr>
        <w:t xml:space="preserve">. 57, </w:t>
      </w:r>
      <w:proofErr w:type="spellStart"/>
      <w:r w:rsidRPr="003F2969">
        <w:rPr>
          <w:rFonts w:ascii="Bookman Old Style" w:hAnsi="Bookman Old Style"/>
          <w:sz w:val="20"/>
          <w:szCs w:val="20"/>
          <w:lang w:val="en-US"/>
        </w:rPr>
        <w:t>traducción</w:t>
      </w:r>
      <w:proofErr w:type="spellEnd"/>
      <w:r w:rsidRPr="003F2969">
        <w:rPr>
          <w:rFonts w:ascii="Bookman Old Style" w:hAnsi="Bookman Old Style"/>
          <w:sz w:val="20"/>
          <w:szCs w:val="20"/>
          <w:lang w:val="en-US"/>
        </w:rPr>
        <w:t xml:space="preserve"> </w:t>
      </w:r>
      <w:proofErr w:type="spellStart"/>
      <w:r w:rsidRPr="003F2969">
        <w:rPr>
          <w:rFonts w:ascii="Bookman Old Style" w:hAnsi="Bookman Old Style"/>
          <w:sz w:val="20"/>
          <w:szCs w:val="20"/>
          <w:lang w:val="en-US"/>
        </w:rPr>
        <w:t>propia</w:t>
      </w:r>
      <w:proofErr w:type="spellEnd"/>
      <w:r w:rsidRPr="003F2969">
        <w:rPr>
          <w:rFonts w:ascii="Bookman Old Style" w:hAnsi="Bookman Old Style"/>
          <w:sz w:val="20"/>
          <w:szCs w:val="20"/>
          <w:lang w:val="en-US"/>
        </w:rPr>
        <w:t>: “Subsidiarity is applicable whenever a community cannot be said to be capable of achieving that common good in a self-sufficient manner.”</w:t>
      </w:r>
    </w:p>
  </w:footnote>
  <w:footnote w:id="21">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Ibídem.</w:t>
      </w:r>
    </w:p>
  </w:footnote>
  <w:footnote w:id="22">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INFORME DE LA COMISIÓN INTERAMERICANA DE DERECHOS HUMANOS No. 39/96 (15 de octubre de 1996). Párr. 48.</w:t>
      </w:r>
    </w:p>
  </w:footnote>
  <w:footnote w:id="23">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INFORME DE LA COMISIÓN INTERAMERICANA DE DERECHOS HUMANOS- INADMISIBILIDAD No. 86/03 (22 de octubre de 2003). Párr. 30.</w:t>
      </w:r>
    </w:p>
  </w:footnote>
  <w:footnote w:id="24">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Ibídem.</w:t>
      </w:r>
    </w:p>
  </w:footnote>
  <w:footnote w:id="25">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i/>
          <w:iCs/>
          <w:sz w:val="20"/>
          <w:szCs w:val="20"/>
        </w:rPr>
        <w:t xml:space="preserve"> </w:t>
      </w:r>
      <w:r w:rsidRPr="003F2969">
        <w:rPr>
          <w:rFonts w:ascii="Bookman Old Style" w:hAnsi="Bookman Old Style"/>
          <w:i/>
          <w:sz w:val="20"/>
          <w:szCs w:val="20"/>
        </w:rPr>
        <w:t>VELÁSQUEZ RODRÍGUEZ VS. HONDURAS</w:t>
      </w:r>
      <w:r w:rsidRPr="003F2969">
        <w:rPr>
          <w:rFonts w:ascii="Bookman Old Style" w:hAnsi="Bookman Old Style"/>
          <w:sz w:val="20"/>
          <w:szCs w:val="20"/>
        </w:rPr>
        <w:t>. Corte Interamericana de Derechos Humanos. Sentencia de Fondo de 29 de julio de 1988. Serie C No. 1. Párr. 61.</w:t>
      </w:r>
    </w:p>
  </w:footnote>
  <w:footnote w:id="26">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Style w:val="nfasis"/>
          <w:rFonts w:ascii="Bookman Old Style" w:hAnsi="Bookman Old Style"/>
          <w:sz w:val="20"/>
          <w:szCs w:val="20"/>
        </w:rPr>
        <w:t>LAS PALMERAS VS. COLOMBIA</w:t>
      </w:r>
      <w:r w:rsidRPr="003F2969">
        <w:rPr>
          <w:rFonts w:ascii="Bookman Old Style" w:hAnsi="Bookman Old Style"/>
          <w:sz w:val="20"/>
          <w:szCs w:val="20"/>
        </w:rPr>
        <w:t xml:space="preserve">. Corte Interamericana de Derechos Humanos. Sentencia de Fondo de 6 de diciembre de 2001. Párr. 33. </w:t>
      </w:r>
    </w:p>
  </w:footnote>
  <w:footnote w:id="27">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hAnsi="Bookman Old Style"/>
          <w:i/>
          <w:sz w:val="20"/>
          <w:szCs w:val="20"/>
        </w:rPr>
        <w:t>GODÍNEZ CRUZ VS. HONDURAS</w:t>
      </w:r>
      <w:r w:rsidRPr="003F2969">
        <w:rPr>
          <w:rFonts w:ascii="Bookman Old Style" w:hAnsi="Bookman Old Style"/>
          <w:sz w:val="20"/>
          <w:szCs w:val="20"/>
        </w:rPr>
        <w:t>. Corte Interamericana de Derechos Humanos. Sentencia de Fondo de 20 de enero de 1989. Párr. 64. FAIRÉN GARBI Y SOLÍS CORRALES VS. HONDURAS. Corte Interamericana de Derechos Humanos. Sentencia de fondo de 15 de marzo de 1989. Párr. 85.</w:t>
      </w:r>
    </w:p>
  </w:footnote>
  <w:footnote w:id="28">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hAnsi="Bookman Old Style"/>
          <w:i/>
          <w:sz w:val="20"/>
          <w:szCs w:val="20"/>
        </w:rPr>
        <w:t>RÍOS Y OTROS VS. VENEZUELA</w:t>
      </w:r>
      <w:r w:rsidRPr="003F2969">
        <w:rPr>
          <w:rFonts w:ascii="Bookman Old Style" w:hAnsi="Bookman Old Style"/>
          <w:sz w:val="20"/>
          <w:szCs w:val="20"/>
        </w:rPr>
        <w:t>. Corte Interamericana de Derechos Humanos. Sentencia de Excepciones Preliminares, Fondo, Reparaciones y Costas de 28 de enero de 2009. Párr. 53.</w:t>
      </w:r>
    </w:p>
  </w:footnote>
  <w:footnote w:id="29">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hAnsi="Bookman Old Style"/>
          <w:i/>
          <w:sz w:val="20"/>
          <w:szCs w:val="20"/>
        </w:rPr>
        <w:t>ATALA RIFFO E HIJAS VS. CHILE</w:t>
      </w:r>
      <w:r w:rsidRPr="003F2969">
        <w:rPr>
          <w:rFonts w:ascii="Bookman Old Style" w:hAnsi="Bookman Old Style"/>
          <w:sz w:val="20"/>
          <w:szCs w:val="20"/>
        </w:rPr>
        <w:t>. Corte Interamericana de Derechos Humanos. Sentencia de Fondo, Reparaciones y Costas de 24 de febrero de 2012. Párr. 65.</w:t>
      </w:r>
    </w:p>
  </w:footnote>
  <w:footnote w:id="30">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hAnsi="Bookman Old Style"/>
          <w:i/>
          <w:sz w:val="20"/>
          <w:szCs w:val="20"/>
        </w:rPr>
        <w:t>VIVIANA GALLARDO Y OTRAS VS COSTA RICA</w:t>
      </w:r>
      <w:r w:rsidRPr="003F2969">
        <w:rPr>
          <w:rFonts w:ascii="Bookman Old Style" w:hAnsi="Bookman Old Style"/>
          <w:sz w:val="20"/>
          <w:szCs w:val="20"/>
        </w:rPr>
        <w:t>. Corte Interamericana de Derechos Humanos. Resolución del Presidente de 13 de noviembre de 1981. Párr. 26.</w:t>
      </w:r>
    </w:p>
  </w:footnote>
  <w:footnote w:id="31">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ANNUARIE DE L’INSITITUT DE DROIT INTERNATIONAL citado en MIAJA DE LA MUELA, Adolfo (2004):“El agotamiento de los recursos internos como supuesto de las reclamaciones internacionales”. P.18. Disponible en: </w:t>
      </w:r>
      <w:hyperlink r:id="rId2" w:history="1">
        <w:r w:rsidRPr="003F2969">
          <w:rPr>
            <w:rStyle w:val="Hipervnculo"/>
            <w:rFonts w:ascii="Bookman Old Style" w:hAnsi="Bookman Old Style"/>
            <w:sz w:val="20"/>
            <w:szCs w:val="20"/>
          </w:rPr>
          <w:t>http://www.corteidh.or.cr/tablas/22897.pdf</w:t>
        </w:r>
      </w:hyperlink>
      <w:r w:rsidRPr="003F2969">
        <w:rPr>
          <w:rFonts w:ascii="Bookman Old Style" w:hAnsi="Bookman Old Style"/>
          <w:sz w:val="20"/>
          <w:szCs w:val="20"/>
        </w:rPr>
        <w:t>. Fecha de consulta: 15 de junio de 2017.</w:t>
      </w:r>
    </w:p>
  </w:footnote>
  <w:footnote w:id="32">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AGUIRRE ARANGO, José Pedro: “La interpretación de la Convención Americana sobre Derechos Humanos”. P. 74. Disponible en: </w:t>
      </w:r>
      <w:hyperlink r:id="rId3" w:history="1">
        <w:r w:rsidRPr="003F2969">
          <w:rPr>
            <w:rStyle w:val="Hipervnculo"/>
            <w:rFonts w:ascii="Bookman Old Style" w:hAnsi="Bookman Old Style"/>
            <w:sz w:val="20"/>
            <w:szCs w:val="20"/>
          </w:rPr>
          <w:t>http://www.corteidh.or.cr/tablas/R22853.pdf</w:t>
        </w:r>
      </w:hyperlink>
      <w:r w:rsidRPr="003F2969">
        <w:rPr>
          <w:rFonts w:ascii="Bookman Old Style" w:hAnsi="Bookman Old Style"/>
          <w:sz w:val="20"/>
          <w:szCs w:val="20"/>
        </w:rPr>
        <w:t>. Fecha de consulta: 10 de octubre de 2017.</w:t>
      </w:r>
    </w:p>
  </w:footnote>
  <w:footnote w:id="33">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CONVENCIÓN DE VIENA SOBRE EL DERECHOS DE LOS TRATADOS, Viena (23 de mayo de 1969). artículo 31, numerales 1, 2 y 4.</w:t>
      </w:r>
    </w:p>
  </w:footnote>
  <w:footnote w:id="34">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hAnsi="Bookman Old Style"/>
          <w:i/>
          <w:sz w:val="20"/>
          <w:szCs w:val="20"/>
        </w:rPr>
        <w:t>COMUNIDAD MAYAGNA (SUMO) AWAS TINGNI VS. NICARAGUA</w:t>
      </w:r>
      <w:r w:rsidRPr="003F2969">
        <w:rPr>
          <w:rFonts w:ascii="Bookman Old Style" w:hAnsi="Bookman Old Style"/>
          <w:sz w:val="20"/>
          <w:szCs w:val="20"/>
        </w:rPr>
        <w:t>. Corte Interamericana de Derechos Humanos. Voto razonado concurrente del Juez Sergio García Ramírez a la sentencia de fondo y reparaciones, de 31 de agosto de 2001. Párr. 2.</w:t>
      </w:r>
    </w:p>
  </w:footnote>
  <w:footnote w:id="35">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i/>
          <w:sz w:val="20"/>
          <w:szCs w:val="20"/>
        </w:rPr>
        <w:t xml:space="preserve"> LÓPEZ MENDOZA VS VENEZUELA</w:t>
      </w:r>
      <w:r w:rsidRPr="003F2969">
        <w:rPr>
          <w:rFonts w:ascii="Bookman Old Style" w:hAnsi="Bookman Old Style"/>
          <w:sz w:val="20"/>
          <w:szCs w:val="20"/>
        </w:rPr>
        <w:t>. Corte Interamericana de Derechos Humanos.  Voto concurrente del Juez Eduardo Vio Grossi a la sentencia de 1 de septiembre de 2011. P. 1</w:t>
      </w:r>
    </w:p>
  </w:footnote>
  <w:footnote w:id="36">
    <w:p w:rsidR="003E63EB" w:rsidRPr="003F2969" w:rsidRDefault="003E63EB" w:rsidP="003E63EB">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hAnsi="Bookman Old Style"/>
          <w:i/>
          <w:sz w:val="20"/>
          <w:szCs w:val="20"/>
        </w:rPr>
        <w:t>LÓPEZ MENDOZA VS VENEZUELA</w:t>
      </w:r>
      <w:r w:rsidRPr="003F2969">
        <w:rPr>
          <w:rFonts w:ascii="Bookman Old Style" w:hAnsi="Bookman Old Style"/>
          <w:sz w:val="20"/>
          <w:szCs w:val="20"/>
        </w:rPr>
        <w:t>. Corte Interamericana de Derechos Humanos.  Voto concurrente del Juez Eduardo Vio Grossi a la sentencia de 1 de septiembre de 2011.</w:t>
      </w:r>
      <w:r w:rsidRPr="003F2969">
        <w:rPr>
          <w:rFonts w:ascii="Bookman Old Style" w:eastAsia="Bookman Old Style" w:hAnsi="Bookman Old Style" w:cs="Bookman Old Style"/>
          <w:sz w:val="20"/>
          <w:szCs w:val="20"/>
        </w:rPr>
        <w:t xml:space="preserve"> P. 4, punto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83CAE"/>
    <w:multiLevelType w:val="multilevel"/>
    <w:tmpl w:val="9FDC5924"/>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34AE4176"/>
    <w:multiLevelType w:val="multilevel"/>
    <w:tmpl w:val="46AEDC0A"/>
    <w:lvl w:ilvl="0">
      <w:start w:val="1"/>
      <w:numFmt w:val="decimal"/>
      <w:lvlText w:val="%1."/>
      <w:lvlJc w:val="left"/>
      <w:pPr>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4BB345C9"/>
    <w:multiLevelType w:val="multilevel"/>
    <w:tmpl w:val="90F4591E"/>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lang w:val="es-EC"/>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3EB"/>
    <w:rsid w:val="00342086"/>
    <w:rsid w:val="003E63EB"/>
    <w:rsid w:val="00D30012"/>
    <w:rsid w:val="00D35C36"/>
    <w:rsid w:val="00E31DBA"/>
    <w:rsid w:val="00F5538C"/>
    <w:rsid w:val="00FF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3EB"/>
    <w:rPr>
      <w:lang w:val="es-EC"/>
    </w:rPr>
  </w:style>
  <w:style w:type="paragraph" w:styleId="Ttulo3">
    <w:name w:val="heading 3"/>
    <w:basedOn w:val="Normal"/>
    <w:next w:val="Normal"/>
    <w:link w:val="Ttulo3Car"/>
    <w:uiPriority w:val="9"/>
    <w:unhideWhenUsed/>
    <w:qFormat/>
    <w:rsid w:val="003E63EB"/>
    <w:pPr>
      <w:keepNext/>
      <w:keepLines/>
      <w:spacing w:before="40" w:after="0"/>
      <w:outlineLvl w:val="2"/>
    </w:pPr>
    <w:rPr>
      <w:rFonts w:ascii="Bookman Old Style" w:eastAsiaTheme="majorEastAsia" w:hAnsi="Bookman Old Style"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E63EB"/>
    <w:rPr>
      <w:rFonts w:ascii="Bookman Old Style" w:eastAsiaTheme="majorEastAsia" w:hAnsi="Bookman Old Style" w:cstheme="majorBidi"/>
      <w:b/>
      <w:sz w:val="24"/>
      <w:szCs w:val="24"/>
      <w:lang w:val="es-EC"/>
    </w:rPr>
  </w:style>
  <w:style w:type="paragraph" w:styleId="Textocomentario">
    <w:name w:val="annotation text"/>
    <w:basedOn w:val="Normal"/>
    <w:link w:val="TextocomentarioCar"/>
    <w:uiPriority w:val="99"/>
    <w:unhideWhenUsed/>
    <w:rsid w:val="003E63EB"/>
    <w:pPr>
      <w:spacing w:line="240" w:lineRule="auto"/>
    </w:pPr>
    <w:rPr>
      <w:sz w:val="20"/>
      <w:szCs w:val="20"/>
    </w:rPr>
  </w:style>
  <w:style w:type="character" w:customStyle="1" w:styleId="TextocomentarioCar">
    <w:name w:val="Texto comentario Car"/>
    <w:basedOn w:val="Fuentedeprrafopredeter"/>
    <w:link w:val="Textocomentario"/>
    <w:uiPriority w:val="99"/>
    <w:rsid w:val="003E63EB"/>
    <w:rPr>
      <w:sz w:val="20"/>
      <w:szCs w:val="20"/>
      <w:lang w:val="es-EC"/>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FA Fu?notente"/>
    <w:basedOn w:val="Normal"/>
    <w:link w:val="TextonotapieCar"/>
    <w:uiPriority w:val="99"/>
    <w:unhideWhenUsed/>
    <w:qFormat/>
    <w:rsid w:val="003E63E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E63EB"/>
    <w:rPr>
      <w:sz w:val="20"/>
      <w:szCs w:val="20"/>
      <w:lang w:val="es-EC"/>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
    <w:basedOn w:val="Fuentedeprrafopredeter"/>
    <w:uiPriority w:val="99"/>
    <w:unhideWhenUsed/>
    <w:qFormat/>
    <w:rsid w:val="003E63EB"/>
    <w:rPr>
      <w:vertAlign w:val="superscript"/>
    </w:rPr>
  </w:style>
  <w:style w:type="character" w:styleId="Refdecomentario">
    <w:name w:val="annotation reference"/>
    <w:basedOn w:val="Fuentedeprrafopredeter"/>
    <w:uiPriority w:val="99"/>
    <w:semiHidden/>
    <w:unhideWhenUsed/>
    <w:rsid w:val="003E63EB"/>
    <w:rPr>
      <w:sz w:val="16"/>
      <w:szCs w:val="16"/>
    </w:rPr>
  </w:style>
  <w:style w:type="character" w:styleId="nfasis">
    <w:name w:val="Emphasis"/>
    <w:uiPriority w:val="20"/>
    <w:qFormat/>
    <w:rsid w:val="003E63EB"/>
    <w:rPr>
      <w:b/>
      <w:bCs/>
      <w:i/>
      <w:iCs/>
      <w:spacing w:val="10"/>
      <w:bdr w:val="none" w:sz="0" w:space="0" w:color="auto"/>
      <w:shd w:val="clear" w:color="auto" w:fill="auto"/>
    </w:rPr>
  </w:style>
  <w:style w:type="character" w:styleId="Hipervnculo">
    <w:name w:val="Hyperlink"/>
    <w:basedOn w:val="Fuentedeprrafopredeter"/>
    <w:uiPriority w:val="99"/>
    <w:unhideWhenUsed/>
    <w:rsid w:val="003E63EB"/>
    <w:rPr>
      <w:color w:val="0000FF"/>
      <w:u w:val="single"/>
    </w:rPr>
  </w:style>
  <w:style w:type="paragraph" w:styleId="Textodeglobo">
    <w:name w:val="Balloon Text"/>
    <w:basedOn w:val="Normal"/>
    <w:link w:val="TextodegloboCar"/>
    <w:uiPriority w:val="99"/>
    <w:semiHidden/>
    <w:unhideWhenUsed/>
    <w:rsid w:val="003E63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63EB"/>
    <w:rPr>
      <w:rFonts w:ascii="Segoe UI" w:hAnsi="Segoe UI" w:cs="Segoe UI"/>
      <w:sz w:val="18"/>
      <w:szCs w:val="18"/>
      <w:lang w:val="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3EB"/>
    <w:rPr>
      <w:lang w:val="es-EC"/>
    </w:rPr>
  </w:style>
  <w:style w:type="paragraph" w:styleId="Ttulo3">
    <w:name w:val="heading 3"/>
    <w:basedOn w:val="Normal"/>
    <w:next w:val="Normal"/>
    <w:link w:val="Ttulo3Car"/>
    <w:uiPriority w:val="9"/>
    <w:unhideWhenUsed/>
    <w:qFormat/>
    <w:rsid w:val="003E63EB"/>
    <w:pPr>
      <w:keepNext/>
      <w:keepLines/>
      <w:spacing w:before="40" w:after="0"/>
      <w:outlineLvl w:val="2"/>
    </w:pPr>
    <w:rPr>
      <w:rFonts w:ascii="Bookman Old Style" w:eastAsiaTheme="majorEastAsia" w:hAnsi="Bookman Old Style"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E63EB"/>
    <w:rPr>
      <w:rFonts w:ascii="Bookman Old Style" w:eastAsiaTheme="majorEastAsia" w:hAnsi="Bookman Old Style" w:cstheme="majorBidi"/>
      <w:b/>
      <w:sz w:val="24"/>
      <w:szCs w:val="24"/>
      <w:lang w:val="es-EC"/>
    </w:rPr>
  </w:style>
  <w:style w:type="paragraph" w:styleId="Textocomentario">
    <w:name w:val="annotation text"/>
    <w:basedOn w:val="Normal"/>
    <w:link w:val="TextocomentarioCar"/>
    <w:uiPriority w:val="99"/>
    <w:unhideWhenUsed/>
    <w:rsid w:val="003E63EB"/>
    <w:pPr>
      <w:spacing w:line="240" w:lineRule="auto"/>
    </w:pPr>
    <w:rPr>
      <w:sz w:val="20"/>
      <w:szCs w:val="20"/>
    </w:rPr>
  </w:style>
  <w:style w:type="character" w:customStyle="1" w:styleId="TextocomentarioCar">
    <w:name w:val="Texto comentario Car"/>
    <w:basedOn w:val="Fuentedeprrafopredeter"/>
    <w:link w:val="Textocomentario"/>
    <w:uiPriority w:val="99"/>
    <w:rsid w:val="003E63EB"/>
    <w:rPr>
      <w:sz w:val="20"/>
      <w:szCs w:val="20"/>
      <w:lang w:val="es-EC"/>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FA Fu?notente"/>
    <w:basedOn w:val="Normal"/>
    <w:link w:val="TextonotapieCar"/>
    <w:uiPriority w:val="99"/>
    <w:unhideWhenUsed/>
    <w:qFormat/>
    <w:rsid w:val="003E63E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E63EB"/>
    <w:rPr>
      <w:sz w:val="20"/>
      <w:szCs w:val="20"/>
      <w:lang w:val="es-EC"/>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
    <w:basedOn w:val="Fuentedeprrafopredeter"/>
    <w:uiPriority w:val="99"/>
    <w:unhideWhenUsed/>
    <w:qFormat/>
    <w:rsid w:val="003E63EB"/>
    <w:rPr>
      <w:vertAlign w:val="superscript"/>
    </w:rPr>
  </w:style>
  <w:style w:type="character" w:styleId="Refdecomentario">
    <w:name w:val="annotation reference"/>
    <w:basedOn w:val="Fuentedeprrafopredeter"/>
    <w:uiPriority w:val="99"/>
    <w:semiHidden/>
    <w:unhideWhenUsed/>
    <w:rsid w:val="003E63EB"/>
    <w:rPr>
      <w:sz w:val="16"/>
      <w:szCs w:val="16"/>
    </w:rPr>
  </w:style>
  <w:style w:type="character" w:styleId="nfasis">
    <w:name w:val="Emphasis"/>
    <w:uiPriority w:val="20"/>
    <w:qFormat/>
    <w:rsid w:val="003E63EB"/>
    <w:rPr>
      <w:b/>
      <w:bCs/>
      <w:i/>
      <w:iCs/>
      <w:spacing w:val="10"/>
      <w:bdr w:val="none" w:sz="0" w:space="0" w:color="auto"/>
      <w:shd w:val="clear" w:color="auto" w:fill="auto"/>
    </w:rPr>
  </w:style>
  <w:style w:type="character" w:styleId="Hipervnculo">
    <w:name w:val="Hyperlink"/>
    <w:basedOn w:val="Fuentedeprrafopredeter"/>
    <w:uiPriority w:val="99"/>
    <w:unhideWhenUsed/>
    <w:rsid w:val="003E63EB"/>
    <w:rPr>
      <w:color w:val="0000FF"/>
      <w:u w:val="single"/>
    </w:rPr>
  </w:style>
  <w:style w:type="paragraph" w:styleId="Textodeglobo">
    <w:name w:val="Balloon Text"/>
    <w:basedOn w:val="Normal"/>
    <w:link w:val="TextodegloboCar"/>
    <w:uiPriority w:val="99"/>
    <w:semiHidden/>
    <w:unhideWhenUsed/>
    <w:rsid w:val="003E63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63EB"/>
    <w:rPr>
      <w:rFonts w:ascii="Segoe UI" w:hAnsi="Segoe UI" w:cs="Segoe UI"/>
      <w:sz w:val="18"/>
      <w:szCs w:val="18"/>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rteidh.or.cr/tablas/R22853.pdf" TargetMode="External"/><Relationship Id="rId2" Type="http://schemas.openxmlformats.org/officeDocument/2006/relationships/hyperlink" Target="http://www.corteidh.or.cr/tablas/22897.pdf" TargetMode="External"/><Relationship Id="rId1" Type="http://schemas.openxmlformats.org/officeDocument/2006/relationships/hyperlink" Target="https://archivos.juridicas.unam.mx/www/bjv/libros/5/2496/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54C91-98A9-465E-B552-A73EC302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3228</Words>
  <Characters>17760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Vivanco Carla</cp:lastModifiedBy>
  <cp:revision>2</cp:revision>
  <dcterms:created xsi:type="dcterms:W3CDTF">2018-07-30T19:26:00Z</dcterms:created>
  <dcterms:modified xsi:type="dcterms:W3CDTF">2018-07-30T19:26:00Z</dcterms:modified>
</cp:coreProperties>
</file>