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0F4" w:rsidRDefault="00C60DAB" w:rsidP="007620F4">
      <w:pPr>
        <w:jc w:val="both"/>
      </w:pPr>
      <w:r w:rsidRPr="00D76512">
        <w:rPr>
          <w:noProof/>
          <w:lang w:eastAsia="es-EC"/>
        </w:rPr>
        <mc:AlternateContent>
          <mc:Choice Requires="wps">
            <w:drawing>
              <wp:anchor distT="0" distB="0" distL="114300" distR="114300" simplePos="0" relativeHeight="251661312" behindDoc="0" locked="0" layoutInCell="1" allowOverlap="1" wp14:anchorId="14598C52" wp14:editId="4A68D7B1">
                <wp:simplePos x="0" y="0"/>
                <wp:positionH relativeFrom="margin">
                  <wp:align>left</wp:align>
                </wp:positionH>
                <wp:positionV relativeFrom="paragraph">
                  <wp:posOffset>107466</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2B108A" w:rsidRPr="003B02FA" w:rsidRDefault="002B108A" w:rsidP="00C60DAB">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B108A" w:rsidRPr="003B02FA" w:rsidRDefault="002B108A" w:rsidP="00C60DAB">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B108A" w:rsidRPr="00B97AE5" w:rsidRDefault="002B108A" w:rsidP="00C60DAB">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OCTUBRE DEL 2015 </w:t>
                            </w:r>
                            <w:r w:rsidRPr="00B97AE5">
                              <w:rPr>
                                <w:rFonts w:ascii="Bookman Old Style" w:hAnsi="Bookman Old Style" w:cs="Arial"/>
                                <w:b/>
                                <w:color w:val="FFFF00"/>
                              </w:rPr>
                              <w:t xml:space="preserve"> </w:t>
                            </w:r>
                          </w:p>
                          <w:p w:rsidR="002B108A" w:rsidRDefault="002B108A" w:rsidP="00C60DAB"/>
                          <w:p w:rsidR="002B108A" w:rsidRDefault="002B108A" w:rsidP="00C60DAB"/>
                          <w:p w:rsidR="002B108A" w:rsidRDefault="002B108A" w:rsidP="00C60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598C52" id="_x0000_t202" coordsize="21600,21600" o:spt="202" path="m,l,21600r21600,l21600,xe">
                <v:stroke joinstyle="miter"/>
                <v:path gradientshapeok="t" o:connecttype="rect"/>
              </v:shapetype>
              <v:shape id="Cuadro de texto 15" o:spid="_x0000_s1026" type="#_x0000_t202" style="position:absolute;left:0;text-align:left;margin-left:0;margin-top:8.45pt;width:462.25pt;height:7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J4MJ4vdAAAABwEAAA8AAABkcnMvZG93bnJl&#10;di54bWxMj8tOwzAQRfdI/QdrKrGjTp/QNE6FeC26o4Sq7Nx4mkSNx1HsJuHvGVawnHtHZ84k28HW&#10;osPWV44UTCcRCKTcmYoKBdnH690DCB80GV07QgXf6GGbjm4SHRvX0zt2+1AIhpCPtYIyhCaW0ucl&#10;Wu0nrkHi7uxaqwOPbSFNq3uG21rOomglra6IL5S6wacS88v+aplymO8Oz0V3Pr718y+bvVyO0Wem&#10;1O14eNyACDiEv2X41Wd1SNnp5K5kvKgV8COB09UaBLfr2WIJ4sTB8n4BMk3kf//0BwAA//8DAFBL&#10;AQItABQABgAIAAAAIQC2gziS/gAAAOEBAAATAAAAAAAAAAAAAAAAAAAAAABbQ29udGVudF9UeXBl&#10;c10ueG1sUEsBAi0AFAAGAAgAAAAhADj9If/WAAAAlAEAAAsAAAAAAAAAAAAAAAAALwEAAF9yZWxz&#10;Ly5yZWxzUEsBAi0AFAAGAAgAAAAhAD6dZRIrAgAAWQQAAA4AAAAAAAAAAAAAAAAALgIAAGRycy9l&#10;Mm9Eb2MueG1sUEsBAi0AFAAGAAgAAAAhAJ4MJ4vdAAAABwEAAA8AAAAAAAAAAAAAAAAAhQQAAGRy&#10;cy9kb3ducmV2LnhtbFBLBQYAAAAABAAEAPMAAACPBQAAAAA=&#10;" fillcolor="navy" strokecolor="navy">
                <v:textbox>
                  <w:txbxContent>
                    <w:p w:rsidR="00C60DAB" w:rsidRPr="003B02FA" w:rsidRDefault="00C60DAB" w:rsidP="00C60DAB">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C60DAB" w:rsidRPr="003B02FA" w:rsidRDefault="00C60DAB" w:rsidP="00C60DAB">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C60DAB" w:rsidRPr="00B97AE5" w:rsidRDefault="00C60DAB" w:rsidP="00C60DAB">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OCTUBRE DEL 2015 </w:t>
                      </w:r>
                      <w:r w:rsidRPr="00B97AE5">
                        <w:rPr>
                          <w:rFonts w:ascii="Bookman Old Style" w:hAnsi="Bookman Old Style" w:cs="Arial"/>
                          <w:b/>
                          <w:color w:val="FFFF00"/>
                        </w:rPr>
                        <w:t xml:space="preserve"> </w:t>
                      </w:r>
                    </w:p>
                    <w:p w:rsidR="00C60DAB" w:rsidRDefault="00C60DAB" w:rsidP="00C60DAB"/>
                    <w:p w:rsidR="00C60DAB" w:rsidRDefault="00C60DAB" w:rsidP="00C60DAB"/>
                    <w:p w:rsidR="00C60DAB" w:rsidRDefault="00C60DAB" w:rsidP="00C60DAB"/>
                  </w:txbxContent>
                </v:textbox>
                <w10:wrap anchorx="margin"/>
              </v:shape>
            </w:pict>
          </mc:Fallback>
        </mc:AlternateContent>
      </w:r>
    </w:p>
    <w:p w:rsidR="007620F4" w:rsidRDefault="007620F4" w:rsidP="007620F4">
      <w:pPr>
        <w:jc w:val="both"/>
      </w:pPr>
    </w:p>
    <w:p w:rsidR="007620F4" w:rsidRDefault="007620F4" w:rsidP="007620F4">
      <w:pPr>
        <w:jc w:val="both"/>
      </w:pPr>
    </w:p>
    <w:p w:rsidR="00C60DAB" w:rsidRDefault="00C60DAB" w:rsidP="007620F4">
      <w:pPr>
        <w:jc w:val="both"/>
      </w:pPr>
      <w:r w:rsidRPr="00610B20">
        <w:rPr>
          <w:noProof/>
          <w:lang w:eastAsia="es-EC"/>
        </w:rPr>
        <mc:AlternateContent>
          <mc:Choice Requires="wps">
            <w:drawing>
              <wp:anchor distT="0" distB="0" distL="114300" distR="114300" simplePos="0" relativeHeight="251659264" behindDoc="0" locked="0" layoutInCell="1" allowOverlap="1" wp14:anchorId="580C9738" wp14:editId="761217D5">
                <wp:simplePos x="0" y="0"/>
                <wp:positionH relativeFrom="margin">
                  <wp:align>left</wp:align>
                </wp:positionH>
                <wp:positionV relativeFrom="paragraph">
                  <wp:posOffset>269344</wp:posOffset>
                </wp:positionV>
                <wp:extent cx="1398896" cy="228600"/>
                <wp:effectExtent l="0" t="0" r="11430"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896" cy="228600"/>
                        </a:xfrm>
                        <a:prstGeom prst="rect">
                          <a:avLst/>
                        </a:prstGeom>
                        <a:solidFill>
                          <a:srgbClr val="000080"/>
                        </a:solidFill>
                        <a:ln w="9525">
                          <a:solidFill>
                            <a:srgbClr val="000080"/>
                          </a:solidFill>
                          <a:miter lim="800000"/>
                          <a:headEnd/>
                          <a:tailEnd/>
                        </a:ln>
                      </wps:spPr>
                      <wps:txbx>
                        <w:txbxContent>
                          <w:p w:rsidR="002B108A" w:rsidRPr="00567E83" w:rsidRDefault="002B108A" w:rsidP="00C60DAB">
                            <w:pPr>
                              <w:jc w:val="both"/>
                              <w:rPr>
                                <w:rFonts w:ascii="Arial" w:hAnsi="Arial" w:cs="Arial"/>
                                <w:b/>
                                <w:color w:val="FFFFFF"/>
                                <w:sz w:val="20"/>
                                <w:szCs w:val="20"/>
                              </w:rPr>
                            </w:pPr>
                            <w:r>
                              <w:rPr>
                                <w:rFonts w:ascii="Arial" w:hAnsi="Arial" w:cs="Arial"/>
                                <w:b/>
                                <w:color w:val="FFFFFF"/>
                                <w:sz w:val="20"/>
                                <w:szCs w:val="20"/>
                              </w:rPr>
                              <w:t>Lunes 5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C9738" id="Cuadro de texto 9" o:spid="_x0000_s1027" type="#_x0000_t202" style="position:absolute;left:0;text-align:left;margin-left:0;margin-top:21.2pt;width:110.15pt;height: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WPLAIAAF4EAAAOAAAAZHJzL2Uyb0RvYy54bWysVNtu2zAMfR+wfxD0vjjJkiwx4hRdug4D&#10;ugvQ7QMUSY6FyaJGKbGzry8lp222vRXLgyCG1CF5eOj1Vd9adtQYDLiKT0ZjzrSToIzbV/zH99s3&#10;S85CFE4JC05X/KQDv9q8frXufKmn0IBVGhmBuFB2vuJNjL4siiAb3YowAq8dOWvAVkQycV8oFB2h&#10;t7aYjseLogNUHkHqEOjfm8HJNxm/rrWMX+s66Mhsxam2mE/M5y6dxWYtyj0K3xh5LkO8oIpWGEdJ&#10;n6BuRBTsgOYfqNZIhAB1HEloC6hrI3XugbqZjP/q5r4RXudeiJzgn2gK/w9Wfjl+Q2ZUxVecOdHS&#10;iLYHoRCY0izqPgJbJZI6H0qKvfcUHfv30NOwc8PB34H8GZiDbSPcXl8jQtdooajISXpZXDwdcEIC&#10;2XWfQVE2cYiQgfoa28QgccIInYZ1ehoQ1cFkSvl2tVyuFpxJ8k2ny8U4T7AQ5eNrjyF+1NCydKk4&#10;kgAyujjehZiqEeVjSEoWwBp1a6zNBu53W4vsKJJY6Ld8RP8jzDrWEV3z6Xwg4AUQrYmkemvaii9T&#10;orMOE20fnMqajMLY4U4lW3fmMVE3kBj7XZ/nlklOHO9AnYhYhEHktJR0aQB/c9aRwCsefh0Eas7s&#10;J0fDWU1ms7QR2ZjN303JwEvP7tIjnCSoikfOhus2Dlt08Gj2DWUa5ODgmgZam8z1c1Xn8knEeQTn&#10;hUtbcmnnqOfPwuYBAAD//wMAUEsDBBQABgAIAAAAIQDZKiE63QAAAAYBAAAPAAAAZHJzL2Rvd25y&#10;ZXYueG1sTI9NT4NAEIbvJv6HzZh4s0uBaENZGuPXwZsVm3rbslMgZWcJuwX8946nepy8b573mXwz&#10;206MOPjWkYLlIgKBVDnTUq2g/Hy9W4HwQZPRnSNU8IMeNsX1Va4z4yb6wHEbasEQ8plW0ITQZ1L6&#10;qkGr/cL1SJwd3WB14HOopRn0xHDbyTiK7qXVLfFCo3t8arA6bc+WKbvkffdcj8f925R82/LltI++&#10;SqVub+bHNYiAc7iU4U+f1aFgp4M7k/GiU8CPBAVpnILgNI6jBMRBwcMqBVnk8r9+8QsAAP//AwBQ&#10;SwECLQAUAAYACAAAACEAtoM4kv4AAADhAQAAEwAAAAAAAAAAAAAAAAAAAAAAW0NvbnRlbnRfVHlw&#10;ZXNdLnhtbFBLAQItABQABgAIAAAAIQA4/SH/1gAAAJQBAAALAAAAAAAAAAAAAAAAAC8BAABfcmVs&#10;cy8ucmVsc1BLAQItABQABgAIAAAAIQDOM7WPLAIAAF4EAAAOAAAAAAAAAAAAAAAAAC4CAABkcnMv&#10;ZTJvRG9jLnhtbFBLAQItABQABgAIAAAAIQDZKiE63QAAAAYBAAAPAAAAAAAAAAAAAAAAAIYEAABk&#10;cnMvZG93bnJldi54bWxQSwUGAAAAAAQABADzAAAAkAUAAAAA&#10;" fillcolor="navy" strokecolor="navy">
                <v:textbox>
                  <w:txbxContent>
                    <w:p w:rsidR="00C60DAB" w:rsidRPr="00567E83" w:rsidRDefault="00C60DAB" w:rsidP="00C60DAB">
                      <w:pPr>
                        <w:jc w:val="both"/>
                        <w:rPr>
                          <w:rFonts w:ascii="Arial" w:hAnsi="Arial" w:cs="Arial"/>
                          <w:b/>
                          <w:color w:val="FFFFFF"/>
                          <w:sz w:val="20"/>
                          <w:szCs w:val="20"/>
                        </w:rPr>
                      </w:pPr>
                      <w:r>
                        <w:rPr>
                          <w:rFonts w:ascii="Arial" w:hAnsi="Arial" w:cs="Arial"/>
                          <w:b/>
                          <w:color w:val="FFFFFF"/>
                          <w:sz w:val="20"/>
                          <w:szCs w:val="20"/>
                        </w:rPr>
                        <w:t>Lunes 5 de Octubre</w:t>
                      </w:r>
                    </w:p>
                  </w:txbxContent>
                </v:textbox>
                <w10:wrap anchorx="margin"/>
              </v:shape>
            </w:pict>
          </mc:Fallback>
        </mc:AlternateContent>
      </w:r>
    </w:p>
    <w:p w:rsidR="00C60DAB" w:rsidRDefault="00C60DAB" w:rsidP="007620F4">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620F4" w:rsidRPr="00610B20" w:rsidTr="002B108A">
        <w:trPr>
          <w:trHeight w:val="1380"/>
        </w:trPr>
        <w:tc>
          <w:tcPr>
            <w:tcW w:w="9257" w:type="dxa"/>
            <w:shd w:val="clear" w:color="auto" w:fill="DDFFFF"/>
          </w:tcPr>
          <w:p w:rsidR="007620F4" w:rsidRPr="00610B20" w:rsidRDefault="007620F4" w:rsidP="002B108A">
            <w:pPr>
              <w:spacing w:after="0"/>
              <w:jc w:val="left"/>
              <w:rPr>
                <w:rFonts w:ascii="Times New Roman" w:eastAsia="Times New Roman" w:hAnsi="Times New Roman" w:cs="Times New Roman"/>
                <w:sz w:val="24"/>
                <w:szCs w:val="24"/>
                <w:lang w:eastAsia="es-ES"/>
              </w:rPr>
            </w:pPr>
          </w:p>
          <w:p w:rsidR="007620F4" w:rsidRDefault="002371B1" w:rsidP="002B108A">
            <w:pPr>
              <w:spacing w:after="0"/>
              <w:rPr>
                <w:rFonts w:ascii="Arial" w:eastAsia="Times New Roman" w:hAnsi="Arial" w:cs="Arial"/>
                <w:b/>
                <w:color w:val="000080"/>
                <w:sz w:val="20"/>
                <w:szCs w:val="20"/>
                <w:lang w:val="es-ES_tradnl" w:eastAsia="es-ES"/>
              </w:rPr>
            </w:pPr>
            <w:r w:rsidRPr="002371B1">
              <w:rPr>
                <w:rFonts w:ascii="Arial" w:eastAsia="Times New Roman" w:hAnsi="Arial" w:cs="Arial"/>
                <w:b/>
                <w:color w:val="000080"/>
                <w:sz w:val="20"/>
                <w:szCs w:val="20"/>
                <w:lang w:val="es-ES_tradnl" w:eastAsia="es-ES"/>
              </w:rPr>
              <w:t>REGLAMENTO PARA R</w:t>
            </w:r>
            <w:r>
              <w:rPr>
                <w:rFonts w:ascii="Arial" w:eastAsia="Times New Roman" w:hAnsi="Arial" w:cs="Arial"/>
                <w:b/>
                <w:color w:val="000080"/>
                <w:sz w:val="20"/>
                <w:szCs w:val="20"/>
                <w:lang w:val="es-ES_tradnl" w:eastAsia="es-ES"/>
              </w:rPr>
              <w:t>ECLAMOS CONTRA ACTOS NORMATIVOS</w:t>
            </w:r>
            <w:r w:rsidRPr="002371B1">
              <w:rPr>
                <w:rFonts w:ascii="Arial" w:eastAsia="Times New Roman" w:hAnsi="Arial" w:cs="Arial"/>
                <w:b/>
                <w:color w:val="000080"/>
                <w:sz w:val="20"/>
                <w:szCs w:val="20"/>
                <w:lang w:val="es-ES_tradnl" w:eastAsia="es-ES"/>
              </w:rPr>
              <w:t xml:space="preserve"> Y ACTOS ADMINISTRATIVOS REGULADOS POR EL ARTÍCULO 42 DE LEY GENERAL DE SEGUROS; Y, PARA LA INTERPOSICIÓN DE LOS RECURSOS DE APELACIÓN Y EXTRAORDINARIO DE REVISIÓN CONTRA ACTOS DE LA SUPERINTENDENCIA DE COMPAÑÍAS, VALORES Y SEGUROS</w:t>
            </w:r>
          </w:p>
          <w:p w:rsidR="002371B1" w:rsidRPr="00610B20" w:rsidRDefault="002371B1" w:rsidP="002B108A">
            <w:pPr>
              <w:spacing w:after="0"/>
              <w:rPr>
                <w:rFonts w:ascii="Arial" w:eastAsia="Times New Roman" w:hAnsi="Arial" w:cs="Arial"/>
                <w:b/>
                <w:color w:val="000080"/>
                <w:sz w:val="20"/>
                <w:szCs w:val="20"/>
                <w:lang w:val="es-ES_tradnl" w:eastAsia="es-ES"/>
              </w:rPr>
            </w:pPr>
          </w:p>
          <w:p w:rsidR="007620F4" w:rsidRPr="00610B20" w:rsidRDefault="007620F4"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de la </w:t>
            </w:r>
            <w:r w:rsidR="002371B1">
              <w:rPr>
                <w:rFonts w:ascii="Arial" w:eastAsia="Times New Roman" w:hAnsi="Arial" w:cs="Arial"/>
                <w:color w:val="000080"/>
                <w:sz w:val="20"/>
                <w:szCs w:val="20"/>
                <w:lang w:eastAsia="es-ES"/>
              </w:rPr>
              <w:t>Superintendencia de Compañías 013</w:t>
            </w:r>
            <w:r w:rsidRPr="00610B20">
              <w:rPr>
                <w:rFonts w:ascii="Arial" w:eastAsia="Times New Roman" w:hAnsi="Arial" w:cs="Arial"/>
                <w:color w:val="000080"/>
                <w:sz w:val="20"/>
                <w:szCs w:val="20"/>
                <w:lang w:eastAsia="es-ES"/>
              </w:rPr>
              <w:t xml:space="preserve">, publicada en el Registro Oficial </w:t>
            </w:r>
            <w:r w:rsidR="002371B1">
              <w:rPr>
                <w:rFonts w:ascii="Arial" w:eastAsia="Times New Roman" w:hAnsi="Arial" w:cs="Arial"/>
                <w:color w:val="000080"/>
                <w:sz w:val="20"/>
                <w:szCs w:val="20"/>
                <w:lang w:eastAsia="es-ES"/>
              </w:rPr>
              <w:t>601 de 5</w:t>
            </w:r>
            <w:r w:rsidRPr="00610B20">
              <w:rPr>
                <w:rFonts w:ascii="Arial" w:eastAsia="Times New Roman" w:hAnsi="Arial" w:cs="Arial"/>
                <w:color w:val="000080"/>
                <w:sz w:val="20"/>
                <w:szCs w:val="20"/>
                <w:lang w:eastAsia="es-ES"/>
              </w:rPr>
              <w:t xml:space="preserve"> de </w:t>
            </w:r>
            <w:r w:rsidR="002371B1">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7620F4" w:rsidRDefault="007620F4"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2B108A" w:rsidRPr="002B108A" w:rsidRDefault="002B108A" w:rsidP="002B108A">
            <w:pPr>
              <w:spacing w:after="0"/>
              <w:jc w:val="both"/>
              <w:rPr>
                <w:rFonts w:ascii="Arial" w:eastAsia="Times New Roman" w:hAnsi="Arial" w:cs="Arial"/>
                <w:b/>
                <w:color w:val="000080"/>
                <w:sz w:val="20"/>
                <w:szCs w:val="20"/>
                <w:lang w:eastAsia="es-ES"/>
              </w:rPr>
            </w:pPr>
            <w:hyperlink r:id="rId8" w:history="1">
              <w:r w:rsidRPr="002B108A">
                <w:rPr>
                  <w:rStyle w:val="Hipervnculo"/>
                  <w:rFonts w:ascii="Arial" w:eastAsia="Times New Roman" w:hAnsi="Arial" w:cs="Arial"/>
                  <w:b/>
                  <w:sz w:val="20"/>
                  <w:szCs w:val="20"/>
                  <w:lang w:eastAsia="es-ES"/>
                </w:rPr>
                <w:t>Ver vigencia</w:t>
              </w:r>
            </w:hyperlink>
            <w:r w:rsidRPr="002B108A">
              <w:rPr>
                <w:rFonts w:ascii="Arial" w:eastAsia="Times New Roman" w:hAnsi="Arial" w:cs="Arial"/>
                <w:b/>
                <w:color w:val="000080"/>
                <w:sz w:val="20"/>
                <w:szCs w:val="20"/>
                <w:lang w:eastAsia="es-ES"/>
              </w:rPr>
              <w:t xml:space="preserve"> </w:t>
            </w:r>
          </w:p>
          <w:p w:rsidR="002371B1" w:rsidRDefault="002371B1" w:rsidP="002B108A">
            <w:pPr>
              <w:spacing w:after="0"/>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1 - El presente reglamento norma la sustanciación de los reclamos previstos en el artículo 42 de la Ley General de Seguros, así como la impugnación de actos o resoluciones emitidos por la Superintendencia de Compañías, Valores y Seguros, que produzcan efectos jurídicos individuales en forma directa.</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Los actos normativos expedidos por la Superintendencia podrán ser reformados o derogados en cualquier tiempo, de oficio o a petición de parte. Consecuentemente, su modificación o extinción no está sujeta al procedimiento reglado por las secciones IV y V del presente reglamento.</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No son susceptibles de recurso alguno los actos de simple administración, como aquellos con los que se notifique la inadmisión a trámite, se corre traslado o se informa lo aportado al proceso por la otra parte o por un tercero, o con los que se requiere la entrega de información, o se previene de una sanción a una entidad controlada.</w:t>
            </w: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 xml:space="preserve"> </w:t>
            </w: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SECCIÓN II DEL RECLAMO ADMINISTRATIVO</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2.- El reclamo administrativo deberá presentarse ante el Superintendente de Compañías, Valores y Seguros, y se podrá plantear en los siguientes casos:</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2.1</w:t>
            </w:r>
            <w:r w:rsidRPr="002371B1">
              <w:rPr>
                <w:rFonts w:ascii="Arial" w:eastAsia="Times New Roman" w:hAnsi="Arial" w:cs="Arial"/>
                <w:color w:val="000080"/>
                <w:sz w:val="20"/>
                <w:szCs w:val="20"/>
                <w:lang w:eastAsia="es-ES"/>
              </w:rPr>
              <w:tab/>
              <w:t>Cuando vencido el plazo concedido por el inciso primero del artículo 42 de la Ley General de Seguros, la empresa de seguros no pague la indemnización, renta o capital, o no formule objeciones por escrito y motivadas. Dicho plazo se contará a partir de la fecha en que el asegurado o beneficiario presenten por escrito la correspondiente reclamación y completen la documentación requerida, de conformidad con la póliza, y que tenga pertinencia con la materia del reclamo, las circunstancias del siniestro y la naturaleza del contrato;</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2.2</w:t>
            </w:r>
            <w:r w:rsidRPr="002371B1">
              <w:rPr>
                <w:rFonts w:ascii="Arial" w:eastAsia="Times New Roman" w:hAnsi="Arial" w:cs="Arial"/>
                <w:color w:val="000080"/>
                <w:sz w:val="20"/>
                <w:szCs w:val="20"/>
                <w:lang w:eastAsia="es-ES"/>
              </w:rPr>
              <w:tab/>
              <w:t>Cuando el reclamante no acepte, justificadamente, los fundamentos de la negativa de la aseguradora;</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2.3</w:t>
            </w:r>
            <w:r w:rsidRPr="002371B1">
              <w:rPr>
                <w:rFonts w:ascii="Arial" w:eastAsia="Times New Roman" w:hAnsi="Arial" w:cs="Arial"/>
                <w:color w:val="000080"/>
                <w:sz w:val="20"/>
                <w:szCs w:val="20"/>
                <w:lang w:eastAsia="es-ES"/>
              </w:rPr>
              <w:tab/>
              <w:t>Cuando existe un acuerdo entre asegurado y aseguradora y a pesar de ello ésta no paga;</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2.4</w:t>
            </w:r>
            <w:r w:rsidRPr="002371B1">
              <w:rPr>
                <w:rFonts w:ascii="Arial" w:eastAsia="Times New Roman" w:hAnsi="Arial" w:cs="Arial"/>
                <w:color w:val="000080"/>
                <w:sz w:val="20"/>
                <w:szCs w:val="20"/>
                <w:lang w:eastAsia="es-ES"/>
              </w:rPr>
              <w:tab/>
              <w:t>Cuando la empresa de seguros formule sus objeciones en forma extemporánea; y,</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2.5</w:t>
            </w:r>
            <w:r w:rsidRPr="002371B1">
              <w:rPr>
                <w:rFonts w:ascii="Arial" w:eastAsia="Times New Roman" w:hAnsi="Arial" w:cs="Arial"/>
                <w:color w:val="000080"/>
                <w:sz w:val="20"/>
                <w:szCs w:val="20"/>
                <w:lang w:eastAsia="es-ES"/>
              </w:rPr>
              <w:tab/>
              <w:t>Cuando aceptada la ocurrencia del siniestro, exista controversia en cuanto a la valoración de los daños.</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 xml:space="preserve">Art. 3.- Se admitirán también al trámite, para estudio y pronunciamiento, de ser procedente, los reclamos por la diferencia existente entre la suma reclamada por el beneficiario o asegurado a la aseguradora, y lo que efectivamente ésta les haya pagado por acuerdo </w:t>
            </w:r>
            <w:r w:rsidRPr="002371B1">
              <w:rPr>
                <w:rFonts w:ascii="Arial" w:eastAsia="Times New Roman" w:hAnsi="Arial" w:cs="Arial"/>
                <w:color w:val="000080"/>
                <w:sz w:val="20"/>
                <w:szCs w:val="20"/>
                <w:lang w:eastAsia="es-ES"/>
              </w:rPr>
              <w:lastRenderedPageBreak/>
              <w:t>transaccional.</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4.- El reclamo administrativo será presentado por el asegurado o por el beneficiario.</w:t>
            </w: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Cuando lo hagan por medio de procurador judicial o apoderado, sin acreditar instrumentalmente estas calidades, el Superintendente de Compañías, Valores y Seguros, antes de dar inicio al trámite, dispondrá que el reclamante legitime su intervención en el término de cuarenta y ocho (48) horas contado a partir de la fecha de notificación. Sin la legitimación pertinente no se podrá dar inicio al trámite del reclamo, y se ordenara el archivo.</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Los reclamos presentados por quienes no tengan la calidad de asegurados o beneficiarios, o sus legítimos sucesores en derecho, no serán admitidos.</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5.- El escrito de reclamación con el que se inicia el trámite de reclamo administrativo debe contener lo siguiente:</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5.1</w:t>
            </w:r>
            <w:r w:rsidRPr="002371B1">
              <w:rPr>
                <w:rFonts w:ascii="Arial" w:eastAsia="Times New Roman" w:hAnsi="Arial" w:cs="Arial"/>
                <w:color w:val="000080"/>
                <w:sz w:val="20"/>
                <w:szCs w:val="20"/>
                <w:lang w:eastAsia="es-ES"/>
              </w:rPr>
              <w:tab/>
              <w:t>Nombres y apellidos completos del reclamante, y copia de la cédula de identidad o pasaporte;</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5.2</w:t>
            </w:r>
            <w:r w:rsidRPr="002371B1">
              <w:rPr>
                <w:rFonts w:ascii="Arial" w:eastAsia="Times New Roman" w:hAnsi="Arial" w:cs="Arial"/>
                <w:color w:val="000080"/>
                <w:sz w:val="20"/>
                <w:szCs w:val="20"/>
                <w:lang w:eastAsia="es-ES"/>
              </w:rPr>
              <w:tab/>
              <w:t>Nombre de la empresa de seguros contra la cual se interpone el reclamo;</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5.3</w:t>
            </w:r>
            <w:r w:rsidRPr="002371B1">
              <w:rPr>
                <w:rFonts w:ascii="Arial" w:eastAsia="Times New Roman" w:hAnsi="Arial" w:cs="Arial"/>
                <w:color w:val="000080"/>
                <w:sz w:val="20"/>
                <w:szCs w:val="20"/>
                <w:lang w:eastAsia="es-ES"/>
              </w:rPr>
              <w:tab/>
              <w:t>Referencia de la póliza de seguro en la que se sustenta la reclamación;</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5.4</w:t>
            </w:r>
            <w:r w:rsidRPr="002371B1">
              <w:rPr>
                <w:rFonts w:ascii="Arial" w:eastAsia="Times New Roman" w:hAnsi="Arial" w:cs="Arial"/>
                <w:color w:val="000080"/>
                <w:sz w:val="20"/>
                <w:szCs w:val="20"/>
                <w:lang w:eastAsia="es-ES"/>
              </w:rPr>
              <w:tab/>
              <w:t>Constancia escrita de haber presentado el reclamo ante la empresa de seguros junto con los documentos determinados en la póliza, o que sean pertinentes a las circunstancias del siniestro y la naturaleza del contrato;</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5.5</w:t>
            </w:r>
            <w:r w:rsidRPr="002371B1">
              <w:rPr>
                <w:rFonts w:ascii="Arial" w:eastAsia="Times New Roman" w:hAnsi="Arial" w:cs="Arial"/>
                <w:color w:val="000080"/>
                <w:sz w:val="20"/>
                <w:szCs w:val="20"/>
                <w:lang w:eastAsia="es-ES"/>
              </w:rPr>
              <w:tab/>
              <w:t>Fundamentos de hecho y de derecho en los que basa su reclamación, expuestos con claridad;</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5.6</w:t>
            </w:r>
            <w:r w:rsidRPr="002371B1">
              <w:rPr>
                <w:rFonts w:ascii="Arial" w:eastAsia="Times New Roman" w:hAnsi="Arial" w:cs="Arial"/>
                <w:color w:val="000080"/>
                <w:sz w:val="20"/>
                <w:szCs w:val="20"/>
                <w:lang w:eastAsia="es-ES"/>
              </w:rPr>
              <w:tab/>
              <w:t>La determinación de la cuantía de la indemnización reclamada; y,</w:t>
            </w:r>
          </w:p>
          <w:p w:rsidR="002371B1" w:rsidRPr="002371B1" w:rsidRDefault="002371B1" w:rsidP="002371B1">
            <w:pPr>
              <w:spacing w:after="0"/>
              <w:ind w:left="1447"/>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5.7</w:t>
            </w:r>
            <w:r w:rsidRPr="002371B1">
              <w:rPr>
                <w:rFonts w:ascii="Arial" w:eastAsia="Times New Roman" w:hAnsi="Arial" w:cs="Arial"/>
                <w:color w:val="000080"/>
                <w:sz w:val="20"/>
                <w:szCs w:val="20"/>
                <w:lang w:eastAsia="es-ES"/>
              </w:rPr>
              <w:tab/>
              <w:t>La documentación que respalde lo alegado por el reclamante.</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6.- Si en el escrito de reclamación faltare uno o más de los requisitos antes señalados, se dispondrá que se aclare o complete en el término de cuarenta y ocho (48) horas.</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7.- El reclamo se inadmitirá al trámite si al revisarlo se determina que el asegurado o beneficiario, previo a presentar el reclamo administrativo, no formalizó su reclamo ante la empresa de seguros o no cumplió con lo dispuesto en el artículo 22 del Decreto Supremo No. 1147, publicado en el Registro Oficial No. 123 de 7 de diciembre de 1963 o no dio cumplimiento en los artículos 5 y 6 de esta Resolución.</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El reclamante podrá volver a presentar su petición ante este organismo de control, una vez que formalice su reclamo ante la aseguradora y cumpla los requisitos señalados en esta normativa.</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8.- Cumplidos los requisitos de admisibilidad del reclamo, el Superintendente así lo calificará y correrá traslado a la empresa de seguros contra la cual se reclama, a fin de que, en el término de cinco (5) días presente las explicaciones correspondientes, acompañando la documentación que forma parte del expediente del siniestro en sustento de sus descargos.</w:t>
            </w: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Si la empresa de seguros no cumple con lo requerido en el término concedido, se podrá resolver con la documentación que conste en el expediente, a fin de cumplir con el plazo de treinta (30) días que concede la ley, el cual se contará desde la notificación de la admisión a trámite, a las partes.</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9.- Dejando a salvo otros análisis jurídicos pertinentes que puedan influir en la decisión, se ordenará el pago total o parcial de lo reclamado, con sus intereses, principalmente cuando:</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Pr="002371B1" w:rsidRDefault="002371B1" w:rsidP="002371B1">
            <w:pPr>
              <w:spacing w:after="0"/>
              <w:ind w:left="1305"/>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9.1</w:t>
            </w:r>
            <w:r w:rsidRPr="002371B1">
              <w:rPr>
                <w:rFonts w:ascii="Arial" w:eastAsia="Times New Roman" w:hAnsi="Arial" w:cs="Arial"/>
                <w:color w:val="000080"/>
                <w:sz w:val="20"/>
                <w:szCs w:val="20"/>
                <w:lang w:eastAsia="es-ES"/>
              </w:rPr>
              <w:tab/>
              <w:t>Transcurrido el plazo establecido en el inciso primero del artículo 42 de la Ley General de Seguros, la empresa de seguros no haya pagado la indemnización, capital o renta, o no haya formulado objeción alguna;</w:t>
            </w:r>
          </w:p>
          <w:p w:rsidR="002371B1" w:rsidRPr="002371B1" w:rsidRDefault="002371B1" w:rsidP="002371B1">
            <w:pPr>
              <w:spacing w:after="0"/>
              <w:ind w:left="1305"/>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9.2</w:t>
            </w:r>
            <w:r w:rsidRPr="002371B1">
              <w:rPr>
                <w:rFonts w:ascii="Arial" w:eastAsia="Times New Roman" w:hAnsi="Arial" w:cs="Arial"/>
                <w:color w:val="000080"/>
                <w:sz w:val="20"/>
                <w:szCs w:val="20"/>
                <w:lang w:eastAsia="es-ES"/>
              </w:rPr>
              <w:tab/>
              <w:t>Las objeciones de la empresa de seguros, fundamentadas o no, hayan sido extemporáneas, es decir, fuera del plazo seña</w:t>
            </w:r>
            <w:r>
              <w:rPr>
                <w:rFonts w:ascii="Arial" w:eastAsia="Times New Roman" w:hAnsi="Arial" w:cs="Arial"/>
                <w:color w:val="000080"/>
                <w:sz w:val="20"/>
                <w:szCs w:val="20"/>
                <w:lang w:eastAsia="es-ES"/>
              </w:rPr>
              <w:t>lado por la ley para el efecto;</w:t>
            </w:r>
          </w:p>
          <w:p w:rsidR="002371B1" w:rsidRPr="002371B1" w:rsidRDefault="002371B1" w:rsidP="002371B1">
            <w:pPr>
              <w:spacing w:after="0"/>
              <w:ind w:left="1305"/>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9.3</w:t>
            </w:r>
            <w:r w:rsidRPr="002371B1">
              <w:rPr>
                <w:rFonts w:ascii="Arial" w:eastAsia="Times New Roman" w:hAnsi="Arial" w:cs="Arial"/>
                <w:color w:val="000080"/>
                <w:sz w:val="20"/>
                <w:szCs w:val="20"/>
                <w:lang w:eastAsia="es-ES"/>
              </w:rPr>
              <w:tab/>
              <w:t xml:space="preserve">La empresa de seguros haya formulado objeciones en forma total o parcial, que no están debidamente fundamentadas o que no demuestran fehacientemente la </w:t>
            </w:r>
            <w:r w:rsidRPr="002371B1">
              <w:rPr>
                <w:rFonts w:ascii="Arial" w:eastAsia="Times New Roman" w:hAnsi="Arial" w:cs="Arial"/>
                <w:color w:val="000080"/>
                <w:sz w:val="20"/>
                <w:szCs w:val="20"/>
                <w:lang w:eastAsia="es-ES"/>
              </w:rPr>
              <w:lastRenderedPageBreak/>
              <w:t>existencia de causas excluyentes de su responsabilidad, aun cuando éstas hayan sido notificadas al asegurado o beneficiario dentro del plazo establecido en la ley;</w:t>
            </w:r>
          </w:p>
          <w:p w:rsidR="002371B1" w:rsidRPr="002371B1" w:rsidRDefault="002371B1" w:rsidP="002371B1">
            <w:pPr>
              <w:spacing w:after="0"/>
              <w:ind w:left="1305"/>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9.4</w:t>
            </w:r>
            <w:r w:rsidRPr="002371B1">
              <w:rPr>
                <w:rFonts w:ascii="Arial" w:eastAsia="Times New Roman" w:hAnsi="Arial" w:cs="Arial"/>
                <w:color w:val="000080"/>
                <w:sz w:val="20"/>
                <w:szCs w:val="20"/>
                <w:lang w:eastAsia="es-ES"/>
              </w:rPr>
              <w:tab/>
              <w:t>La aseguradora no haya pagado lo convenido en el acuerdo transaccional celebrado con el reclamante; y,</w:t>
            </w:r>
          </w:p>
          <w:p w:rsidR="002371B1" w:rsidRPr="002371B1" w:rsidRDefault="002371B1" w:rsidP="002371B1">
            <w:pPr>
              <w:spacing w:after="0"/>
              <w:ind w:left="1305"/>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9.5</w:t>
            </w:r>
            <w:r w:rsidRPr="002371B1">
              <w:rPr>
                <w:rFonts w:ascii="Arial" w:eastAsia="Times New Roman" w:hAnsi="Arial" w:cs="Arial"/>
                <w:color w:val="000080"/>
                <w:sz w:val="20"/>
                <w:szCs w:val="20"/>
                <w:lang w:eastAsia="es-ES"/>
              </w:rPr>
              <w:tab/>
              <w:t>Verificada la ocurrencia del siniestro, sin existir acuerdo en la cuantía, la Superintendencia de Compañía. Valores y Seguros determine la suma que deba pagarse.</w:t>
            </w:r>
          </w:p>
          <w:p w:rsidR="002371B1" w:rsidRDefault="002371B1" w:rsidP="002371B1">
            <w:pPr>
              <w:spacing w:after="0"/>
              <w:ind w:left="738"/>
              <w:jc w:val="both"/>
              <w:rPr>
                <w:rFonts w:ascii="Arial" w:eastAsia="Times New Roman" w:hAnsi="Arial" w:cs="Arial"/>
                <w:color w:val="000080"/>
                <w:sz w:val="20"/>
                <w:szCs w:val="20"/>
                <w:lang w:eastAsia="es-ES"/>
              </w:rPr>
            </w:pPr>
          </w:p>
          <w:p w:rsidR="002371B1" w:rsidRDefault="002371B1" w:rsidP="002371B1">
            <w:pPr>
              <w:spacing w:after="0"/>
              <w:ind w:left="738"/>
              <w:jc w:val="both"/>
              <w:rPr>
                <w:rFonts w:ascii="Arial" w:eastAsia="Times New Roman" w:hAnsi="Arial" w:cs="Arial"/>
                <w:color w:val="000080"/>
                <w:sz w:val="20"/>
                <w:szCs w:val="20"/>
                <w:lang w:eastAsia="es-ES"/>
              </w:rPr>
            </w:pPr>
            <w:r w:rsidRPr="002371B1">
              <w:rPr>
                <w:rFonts w:ascii="Arial" w:eastAsia="Times New Roman" w:hAnsi="Arial" w:cs="Arial"/>
                <w:color w:val="000080"/>
                <w:sz w:val="20"/>
                <w:szCs w:val="20"/>
                <w:lang w:eastAsia="es-ES"/>
              </w:rPr>
              <w:t>Art. 10.- La resolución que emita el Superintendente de Compañías, Valores y Seguros, aceptando o rechazando el reclamo, deberá estar debidamente motivada.</w:t>
            </w:r>
          </w:p>
          <w:p w:rsidR="00312A72" w:rsidRDefault="00312A72" w:rsidP="00312A72">
            <w:pPr>
              <w:spacing w:after="0"/>
              <w:jc w:val="both"/>
              <w:rPr>
                <w:rFonts w:ascii="Arial" w:eastAsia="Times New Roman" w:hAnsi="Arial" w:cs="Arial"/>
                <w:color w:val="000080"/>
                <w:sz w:val="20"/>
                <w:szCs w:val="20"/>
                <w:lang w:eastAsia="es-ES"/>
              </w:rPr>
            </w:pPr>
          </w:p>
          <w:p w:rsidR="00312A72" w:rsidRPr="00312A72" w:rsidRDefault="00312A72" w:rsidP="00312A72">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7620F4" w:rsidRPr="00610B20" w:rsidRDefault="007620F4" w:rsidP="002B108A">
            <w:pPr>
              <w:spacing w:after="0"/>
              <w:jc w:val="both"/>
              <w:rPr>
                <w:rFonts w:ascii="Times New Roman" w:eastAsia="Times New Roman" w:hAnsi="Times New Roman" w:cs="Times New Roman"/>
                <w:sz w:val="24"/>
                <w:szCs w:val="24"/>
                <w:lang w:eastAsia="es-ES"/>
              </w:rPr>
            </w:pPr>
          </w:p>
        </w:tc>
      </w:tr>
    </w:tbl>
    <w:p w:rsidR="00C60DAB" w:rsidRDefault="00CF4017" w:rsidP="007620F4">
      <w:pPr>
        <w:jc w:val="both"/>
      </w:pPr>
      <w:r w:rsidRPr="00610B20">
        <w:rPr>
          <w:noProof/>
          <w:lang w:eastAsia="es-EC"/>
        </w:rPr>
        <w:lastRenderedPageBreak/>
        <mc:AlternateContent>
          <mc:Choice Requires="wps">
            <w:drawing>
              <wp:anchor distT="0" distB="0" distL="114300" distR="114300" simplePos="0" relativeHeight="251663360" behindDoc="0" locked="0" layoutInCell="1" allowOverlap="1" wp14:anchorId="349F9D55" wp14:editId="6A638378">
                <wp:simplePos x="0" y="0"/>
                <wp:positionH relativeFrom="margin">
                  <wp:posOffset>0</wp:posOffset>
                </wp:positionH>
                <wp:positionV relativeFrom="paragraph">
                  <wp:posOffset>12539</wp:posOffset>
                </wp:positionV>
                <wp:extent cx="1398896" cy="228600"/>
                <wp:effectExtent l="0" t="0" r="1143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896" cy="228600"/>
                        </a:xfrm>
                        <a:prstGeom prst="rect">
                          <a:avLst/>
                        </a:prstGeom>
                        <a:solidFill>
                          <a:srgbClr val="000080"/>
                        </a:solidFill>
                        <a:ln w="9525">
                          <a:solidFill>
                            <a:srgbClr val="000080"/>
                          </a:solidFill>
                          <a:miter lim="800000"/>
                          <a:headEnd/>
                          <a:tailEnd/>
                        </a:ln>
                      </wps:spPr>
                      <wps:txbx>
                        <w:txbxContent>
                          <w:p w:rsidR="002B108A" w:rsidRPr="00567E83" w:rsidRDefault="002B108A" w:rsidP="00CF4017">
                            <w:pPr>
                              <w:jc w:val="both"/>
                              <w:rPr>
                                <w:rFonts w:ascii="Arial" w:hAnsi="Arial" w:cs="Arial"/>
                                <w:b/>
                                <w:color w:val="FFFFFF"/>
                                <w:sz w:val="20"/>
                                <w:szCs w:val="20"/>
                              </w:rPr>
                            </w:pPr>
                            <w:r>
                              <w:rPr>
                                <w:rFonts w:ascii="Arial" w:hAnsi="Arial" w:cs="Arial"/>
                                <w:b/>
                                <w:color w:val="FFFFFF"/>
                                <w:sz w:val="20"/>
                                <w:szCs w:val="20"/>
                              </w:rPr>
                              <w:t>Martes 6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9F9D55" id="Cuadro de texto 2" o:spid="_x0000_s1028" type="#_x0000_t202" style="position:absolute;left:0;text-align:left;margin-left:0;margin-top:1pt;width:110.15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4VLQIAAF4EAAAOAAAAZHJzL2Uyb0RvYy54bWysVNtu2zAMfR+wfxD0vjrxki4x6hRdug4D&#10;ugvQ7QMUSY6FyaJGKbG7rx8lu1m2vRXLgyCG1CF5Dumr66Gz7KgxGHA1n1/MONNOgjJuX/NvX+9e&#10;rTgLUTglLDhd80cd+PXm5Yur3le6hBas0sgIxIWq9zVvY/RVUQTZ6k6EC/DakbMB7EQkE/eFQtET&#10;emeLcja7LHpA5RGkDoH+vR2dfJPxm0bL+Llpgo7M1pxqi/nEfO7SWWyuRLVH4VsjpzLEM6rohHGU&#10;9AR1K6JgBzT/QHVGIgRo4oWEroCmMVLnHqib+eyvbh5a4XXuhcgJ/kRT+H+w8tPxCzKjal5y5kRH&#10;Em0PQiEwpVnUQwRWJpJ6HyqKffAUHYe3MJDYueHg70F+D8zBthVur28QoW+1UFTkPL0szp6OOCGB&#10;7PqPoCibOETIQEODXWKQOGGETmI9ngSiOphMKV+vV6v1JWeSfGW5upxlBQtRPb32GOJ7DR1Ll5oj&#10;DUBGF8f7EFM1onoKSckCWKPujLXZwP1ua5EdRRoW+q2e0P8Is471NV8vy+VIwDMgOhNp6q3par5K&#10;iaY5TLS9cyrPZBTGjncq2bqJx0TdSGIcdsOk2yTPDtQjEYswDjktJV1awJ+c9TTgNQ8/DgI1Z/aD&#10;I3HW88UibUQ2Fss3JRl47tmde4STBFXzyNl43cZxiw4ezb6lTOM4OLghQRuTuU7Kj1VN5dMQZwmm&#10;hUtbcm7nqN+fhc0vAAAA//8DAFBLAwQUAAYACAAAACEAS3jnRtwAAAAFAQAADwAAAGRycy9kb3du&#10;cmV2LnhtbEyPwU7DMAyG70h7h8iTuLFkrYSm0nRCDDhwY5Rp3LLGa6s1TtVkbXl7zAlOlvX/+vw5&#10;386uEyMOofWkYb1SIJAqb1uqNZQfL3cbECEasqbzhBq+McC2WNzkJrN+oncc97EWDKGQGQ1NjH0m&#10;ZagadCasfI/E2dkPzkReh1rawUwMd51MlLqXzrTEFxrT41OD1WV/dUw5pG+HXT2ej69T+uXK58tR&#10;fZZa3y7nxwcQEef4V4ZffVaHgp1O/ko2iE4DPxI1JDw4TBKVgjhpSDcKZJHL//bFDwAAAP//AwBQ&#10;SwECLQAUAAYACAAAACEAtoM4kv4AAADhAQAAEwAAAAAAAAAAAAAAAAAAAAAAW0NvbnRlbnRfVHlw&#10;ZXNdLnhtbFBLAQItABQABgAIAAAAIQA4/SH/1gAAAJQBAAALAAAAAAAAAAAAAAAAAC8BAABfcmVs&#10;cy8ucmVsc1BLAQItABQABgAIAAAAIQD35T4VLQIAAF4EAAAOAAAAAAAAAAAAAAAAAC4CAABkcnMv&#10;ZTJvRG9jLnhtbFBLAQItABQABgAIAAAAIQBLeOdG3AAAAAUBAAAPAAAAAAAAAAAAAAAAAIcEAABk&#10;cnMvZG93bnJldi54bWxQSwUGAAAAAAQABADzAAAAkAUAAAAA&#10;" fillcolor="navy" strokecolor="navy">
                <v:textbox>
                  <w:txbxContent>
                    <w:p w:rsidR="00CF4017" w:rsidRPr="00567E83" w:rsidRDefault="00CF4017" w:rsidP="00CF4017">
                      <w:pPr>
                        <w:jc w:val="both"/>
                        <w:rPr>
                          <w:rFonts w:ascii="Arial" w:hAnsi="Arial" w:cs="Arial"/>
                          <w:b/>
                          <w:color w:val="FFFFFF"/>
                          <w:sz w:val="20"/>
                          <w:szCs w:val="20"/>
                        </w:rPr>
                      </w:pPr>
                      <w:r>
                        <w:rPr>
                          <w:rFonts w:ascii="Arial" w:hAnsi="Arial" w:cs="Arial"/>
                          <w:b/>
                          <w:color w:val="FFFFFF"/>
                          <w:sz w:val="20"/>
                          <w:szCs w:val="20"/>
                        </w:rPr>
                        <w:t>Martes 6 de 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60DAB" w:rsidRPr="00610B20" w:rsidTr="002B108A">
        <w:trPr>
          <w:trHeight w:val="1380"/>
        </w:trPr>
        <w:tc>
          <w:tcPr>
            <w:tcW w:w="9257" w:type="dxa"/>
            <w:shd w:val="clear" w:color="auto" w:fill="E6F1DF"/>
          </w:tcPr>
          <w:p w:rsidR="00C60DAB" w:rsidRPr="00610B20" w:rsidRDefault="00C60DAB" w:rsidP="002B108A">
            <w:pPr>
              <w:spacing w:after="0"/>
              <w:jc w:val="left"/>
              <w:rPr>
                <w:rFonts w:ascii="Times New Roman" w:eastAsia="Times New Roman" w:hAnsi="Times New Roman" w:cs="Times New Roman"/>
                <w:sz w:val="24"/>
                <w:szCs w:val="24"/>
                <w:lang w:eastAsia="es-ES"/>
              </w:rPr>
            </w:pPr>
          </w:p>
          <w:p w:rsidR="00C60DAB" w:rsidRDefault="00CF4017" w:rsidP="002B108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REGLAMENTO DE </w:t>
            </w:r>
            <w:r w:rsidRPr="00C60DAB">
              <w:rPr>
                <w:rFonts w:ascii="Arial" w:eastAsia="Times New Roman" w:hAnsi="Arial" w:cs="Arial"/>
                <w:b/>
                <w:color w:val="000080"/>
                <w:sz w:val="20"/>
                <w:szCs w:val="20"/>
                <w:lang w:val="es-ES_tradnl" w:eastAsia="es-ES"/>
              </w:rPr>
              <w:t xml:space="preserve">EVALUACIÓN </w:t>
            </w:r>
            <w:r>
              <w:rPr>
                <w:rFonts w:ascii="Arial" w:eastAsia="Times New Roman" w:hAnsi="Arial" w:cs="Arial"/>
                <w:b/>
                <w:color w:val="000080"/>
                <w:sz w:val="20"/>
                <w:szCs w:val="20"/>
                <w:lang w:val="es-ES_tradnl" w:eastAsia="es-ES"/>
              </w:rPr>
              <w:t>Y</w:t>
            </w:r>
            <w:r w:rsidRPr="00C60DAB">
              <w:rPr>
                <w:rFonts w:ascii="Arial" w:eastAsia="Times New Roman" w:hAnsi="Arial" w:cs="Arial"/>
                <w:b/>
                <w:color w:val="000080"/>
                <w:sz w:val="20"/>
                <w:szCs w:val="20"/>
                <w:lang w:val="es-ES_tradnl" w:eastAsia="es-ES"/>
              </w:rPr>
              <w:t xml:space="preserve"> EXAMEN DE HABILITACIÓN PARA EL EJERCICIO PROFESIONAL </w:t>
            </w:r>
          </w:p>
          <w:p w:rsidR="00CF4017" w:rsidRPr="00610B20" w:rsidRDefault="00CF4017" w:rsidP="002B108A">
            <w:pPr>
              <w:spacing w:after="0"/>
              <w:rPr>
                <w:rFonts w:ascii="Arial" w:eastAsia="Times New Roman" w:hAnsi="Arial" w:cs="Arial"/>
                <w:b/>
                <w:color w:val="000080"/>
                <w:sz w:val="20"/>
                <w:szCs w:val="20"/>
                <w:lang w:eastAsia="es-ES"/>
              </w:rPr>
            </w:pPr>
          </w:p>
          <w:p w:rsidR="00C60DAB" w:rsidRPr="00610B20" w:rsidRDefault="00C60DAB"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Resolución de</w:t>
            </w:r>
            <w:r>
              <w:rPr>
                <w:rFonts w:ascii="Arial" w:eastAsia="Times New Roman" w:hAnsi="Arial" w:cs="Arial"/>
                <w:color w:val="000080"/>
                <w:sz w:val="20"/>
                <w:szCs w:val="20"/>
                <w:lang w:eastAsia="es-ES"/>
              </w:rPr>
              <w:t>l CEAACES 121</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602 de 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C60DAB" w:rsidRDefault="00C60DAB"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C60DAB" w:rsidRDefault="002B108A" w:rsidP="002B108A">
            <w:pPr>
              <w:spacing w:after="0"/>
              <w:jc w:val="both"/>
              <w:rPr>
                <w:rFonts w:ascii="Arial" w:eastAsia="Times New Roman" w:hAnsi="Arial" w:cs="Arial"/>
                <w:b/>
                <w:color w:val="000080"/>
                <w:sz w:val="20"/>
                <w:szCs w:val="20"/>
                <w:lang w:eastAsia="es-ES"/>
              </w:rPr>
            </w:pPr>
            <w:hyperlink r:id="rId9"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1.- Objeto.- El presente Reglamento tiene por objeto regular el diseño, aplicación y evaluación del examen de habilitación para el ejercicio profesional en las carreras consideradas de interés público que puedan poner en riesgo la vida, la salud y la seguridad de la ciudadanía, conforme lo determine el Consejo de Evaluación, Acreditación y Aseguramiento de la Calidad de la Educación Superior (CEAACES) y la Secretaría de Educación Superior, Ciencia, Tecnología e Innovación (SENESCYT).</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2.- Del ámbito de aplicación.- Este Reglamento se aplicará en el territorio nacional y será de obligatorio cumplimiento para las personas que pretendan ejercer la actividad profesional en aquellas carreras consideradas de interés público, de conformidad con lo establecido en el artículo 104 de la Ley Orgánica de Educación Superior (LOES) y las disposiciones de este Reglamento.</w:t>
            </w: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 xml:space="preserve"> </w:t>
            </w: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3.- Evaluación.- La evaluación de la aptitud profesional tiene por finalidad acreditar, de modo objetivo, que el profesional cuenta con una formación suficiente para el desenvolvimiento en el ejercicio profesional.</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4.- Contenido y diseño del examen de habilitación para el ejercicio profesional.- La determinación de los contenidos y el diseño del examen de habilitación para el ejercicio profesional serán de responsabilidad del Consejo de Evaluación, Acreditación y Aseguramiento de la Calidad de la Educación Superior, se realizará con base a un análisis de los planes de estudio de las carreras de interés público, en coordinación con las instituciones rectoras del campo del ejercicio profesional correspondiente y con las instituciones de educación superior.</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La Comisión Permanente del Examen de Habilitación para el Ejercicio Profesional propondrá al Pleno del CEAACES, para su aprobación, el diseño y contenidos del examen para cada una de las carreras consideradas de interés público.</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Los contenidos del examen de habilitación para el ejercicio profesional serán los mismos en todo el territorio nacional, en cada convocatoria en particular.</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reformado mediante Resolución No. 542-CEAACES-SE-16-2015, expedida en la Décima Sexta Sesión Extraordinaria del Pleno del Consejo de Evaluación, Acreditación y Aseguramiento de la Calidad de la Educación Superior, desarrollada el 07 de agosto de 2015).</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5.- Instrumentos de evaluación.- Constituyen instrumentos de evaluación, con la finalidad de valorar los resultados de aprendizaje en conocimientos relacionados a cada carrera: los reactivos, el examen y las guías metodológicas.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La elaboración de estos instrumentos será responsabilidad de la dirección técnica correspondiente del CEAACES, en coordinación con un equipo de especialistas. Las guías metodológicas serán revisadas por la Comisión Permanente del Examen de Habilitación para el Ejercicio Profesional, para su aprobación por el Pleno del CEAACES.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6.- De los equipos de especialistas.- La Comisión Permanente del Examen de Habilitación para el Ejercicio Profesional conformará equipos de especialistas con profesionales y académicos expertos en cada uno de los campos del conocimiento relacionados a las carreras consideradas de interés público, con la finalidad de que participen en el desarrollo del diseño y contenido de los instrumentos que se emplearán en el examen de habilitación para el ejercicio profesional.</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Los integrantes de los equipos de especialistas deberán tener formación académica y profesional en el campo de conocimiento relacionado a la carrera considerada de interés público y deberán cumplir, al menos, los requisitos para ser evaluador externo, establecidos en el Reglamento de Evaluadores Externos de la Educación Superior.</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5B1C50">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7.- Oblig</w:t>
            </w:r>
            <w:r w:rsidR="005B1C50">
              <w:rPr>
                <w:rFonts w:ascii="Arial" w:eastAsia="Times New Roman" w:hAnsi="Arial" w:cs="Arial"/>
                <w:color w:val="000080"/>
                <w:sz w:val="20"/>
                <w:szCs w:val="20"/>
                <w:lang w:eastAsia="es-ES"/>
              </w:rPr>
              <w:t xml:space="preserve">atoriedad de rendir el examen.- </w:t>
            </w:r>
            <w:r w:rsidRPr="00FF7479">
              <w:rPr>
                <w:rFonts w:ascii="Arial" w:eastAsia="Times New Roman" w:hAnsi="Arial" w:cs="Arial"/>
                <w:color w:val="000080"/>
                <w:sz w:val="20"/>
                <w:szCs w:val="20"/>
                <w:lang w:eastAsia="es-ES"/>
              </w:rPr>
              <w:t>Conforme a lo establecido en el artículo 104 de la LOES, el CEAACES, en coordinación con la Secretaría de Educación Superior, Ciencia, Tecnología e Innovación (SENESCYT), determinarán la obligatoriedad de rendir el examen de habilitación para el ejercicio profesional en las carreras consideradas de interés público.</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8.- Cronograma.- El CEAACES aprobará el cronograma para la implementación de los exámenes de habilitación para el ejercicio profesional para cada una de las carreras consideradas de interés público, lo publicará en su página web y, de ser el caso, notificará a las instituciones de educación superior que oferten tales carreras.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reformado mediante Resolución No. 542-CEAACES-SE-16-2015, expedida en la Décima Sexta Sesión Extraordinaria del Pleno del Consejo de Evaluación, Acreditación y Aseguramiento de la Calidad de la Educación Superior, desarrollada el 07 de agosto de 2015).</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9.- Convocatoria a quienes deben rendir el examen de habilitación para el ejercicio profesional.- El CEAACES convocará a quienes deban rendir el examen de habilitación para el ejercicio profesional, al menos con cuarenta y cinco (45) días plazo de antelación a la fecha de su aplicación.</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La convocatoria se realizará a través de, al menos, una publicación en dos medios impresos de circulación nacional, ésta deberá contener el lugar, día y hora en el que se aplicará el examen de habilitación para el ejercicio profesional.</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El CEAACES pondrá en conocimiento de las instituciones de educación superior la convocatoria a rendir el examen de habilitación para el ejercicio profesional, con la finalidad de que la difundan a través de su página web institucional y otros medios.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 xml:space="preserve">(Artículo reformado mediante Resolución No. 542-CEAACES-SE-16-2015, expedida en la Décima Sexta Sesión Extraordinaria </w:t>
            </w:r>
            <w:r w:rsidR="005B1C50">
              <w:rPr>
                <w:rFonts w:ascii="Arial" w:eastAsia="Times New Roman" w:hAnsi="Arial" w:cs="Arial"/>
                <w:color w:val="000080"/>
                <w:sz w:val="20"/>
                <w:szCs w:val="20"/>
                <w:lang w:eastAsia="es-ES"/>
              </w:rPr>
              <w:t>del Pleno del Consejo de Evalua</w:t>
            </w:r>
            <w:r w:rsidRPr="00FF7479">
              <w:rPr>
                <w:rFonts w:ascii="Arial" w:eastAsia="Times New Roman" w:hAnsi="Arial" w:cs="Arial"/>
                <w:color w:val="000080"/>
                <w:sz w:val="20"/>
                <w:szCs w:val="20"/>
                <w:lang w:eastAsia="es-ES"/>
              </w:rPr>
              <w:t>ción, Acreditación y Aseguramiento de la Calidad de la Educación Superior, desarrollada el 07 de agosto de 2015; y, reformada mediante Resolución No. 598-CEAACES-SE-18-2015, expedida en la Décima Octava Sesión Extraordinaria del Pleno del Consejo de Evaluación, Acreditación y Aseguramiento de la Calidad de la Educación Superior, desarrollada el 10 de septiembre de 2015).</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 xml:space="preserve">Artículo 10.- De la nómina de los convocados.- El CEAACES podrá solicitar a la SENESCYT </w:t>
            </w:r>
            <w:r w:rsidRPr="00FF7479">
              <w:rPr>
                <w:rFonts w:ascii="Arial" w:eastAsia="Times New Roman" w:hAnsi="Arial" w:cs="Arial"/>
                <w:color w:val="000080"/>
                <w:sz w:val="20"/>
                <w:szCs w:val="20"/>
                <w:lang w:eastAsia="es-ES"/>
              </w:rPr>
              <w:lastRenderedPageBreak/>
              <w:t>y/o a las instituciones de educación superior, según corresponda, la nómina de quienes deban rendir el examen de habilitación para el ejercicio profesional.</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5B1C50">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11.- Inscripción al examen.- Quienes sean convocados a rendir el examen de habilitación para el</w:t>
            </w:r>
            <w:r w:rsidR="005B1C50">
              <w:rPr>
                <w:rFonts w:ascii="Arial" w:eastAsia="Times New Roman" w:hAnsi="Arial" w:cs="Arial"/>
                <w:color w:val="000080"/>
                <w:sz w:val="20"/>
                <w:szCs w:val="20"/>
                <w:lang w:eastAsia="es-ES"/>
              </w:rPr>
              <w:t xml:space="preserve"> </w:t>
            </w:r>
            <w:r w:rsidRPr="00FF7479">
              <w:rPr>
                <w:rFonts w:ascii="Arial" w:eastAsia="Times New Roman" w:hAnsi="Arial" w:cs="Arial"/>
                <w:color w:val="000080"/>
                <w:sz w:val="20"/>
                <w:szCs w:val="20"/>
                <w:lang w:eastAsia="es-ES"/>
              </w:rPr>
              <w:t xml:space="preserve">ejercicio profesional </w:t>
            </w:r>
            <w:proofErr w:type="gramStart"/>
            <w:r w:rsidRPr="00FF7479">
              <w:rPr>
                <w:rFonts w:ascii="Arial" w:eastAsia="Times New Roman" w:hAnsi="Arial" w:cs="Arial"/>
                <w:color w:val="000080"/>
                <w:sz w:val="20"/>
                <w:szCs w:val="20"/>
                <w:lang w:eastAsia="es-ES"/>
              </w:rPr>
              <w:t>deberán</w:t>
            </w:r>
            <w:proofErr w:type="gramEnd"/>
            <w:r w:rsidRPr="00FF7479">
              <w:rPr>
                <w:rFonts w:ascii="Arial" w:eastAsia="Times New Roman" w:hAnsi="Arial" w:cs="Arial"/>
                <w:color w:val="000080"/>
                <w:sz w:val="20"/>
                <w:szCs w:val="20"/>
                <w:lang w:eastAsia="es-ES"/>
              </w:rPr>
              <w:t xml:space="preserve"> inscribirse a través del portal web del CEAACES, completando los datos requeridos en el formulario que estará disponible para este efecto. Una vez culminado el proceso de inscripción, deberán imprimir la constancia de haberlo realizado. Este documento será considerado habilitante y deberá ser presentado al momento de rendir el examen.</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El CEAACES establecerá en la convocatoria el plazo para realizar el proceso de inscripción.</w:t>
            </w: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12.- Guía de orientación para rendir el examen.- La guía de orientación será elaborada por la Comisión Permanente del Examen de Habilitación para el Ejercicio Profesional con el apoyo de un equipo de especialistas, y será puesta en conocimiento del Pleno del CEAACES para su aprobación.</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La guía deberá contener al menos: los componentes, subcomponentes y temas incluidos en el examen, tipos de preguntas y ejemplos, la ponderación de las preguntas, instrucciones para rendir el examen, indicaciones para llenar correctamente la hoja de respuesta y las disposiciones disciplinarias.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La guía será publicada en la página web del CEAACES con al menos treinta (30) días plazo de anticipación a la fecha en la que se rendirá el examen.</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reformado mediante Resolución No. 542-CEAACES-SE-16-2015, expedida en la Décima Sexta Sesión Extraordinaria del Pleno del Consejo de Evaluación, Acreditación y Aseguramiento de la Calidad de la Educación Superior, desarrollada el 07 de agosto de 2015).</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13.- De la selección y capacitación del personal requerido para la aplicación del examen de habilitación para el ejercicio profesional.- El CEAACES, a través de la Comisión Permanente del Examen de Habilitación para el Ejercicio Profesional, realizará la selección y capacitación del personal que participará en la aplicación del examen de habilitación para el ejercicio profesional.</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14.- De la logística para la aplicación del examen de habilitación para el ejercicio profesional.- El CEAACES será el responsable de la aplicación del examen de acuerdo a la modalidad o modalidades escogidas, debiendo para ello tomar las medidas necesarias para garantizar la seguridad y transparencia de todas las fases y etapas del proceso de aplicación.</w:t>
            </w: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El CEAACES elegirá los recintos en los que se aplicará el examen de habilitación para el ejercicio profesional, debiendo garantizar que éstos cuenten con las medidas de seguridad y condiciones necesarias para su adecuada implementación.</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15.- De la presentación a rendir el examen.- El examen de habilitación para el ejercicio profesional será aplicado a las personas que pretendan ejercer la actividad profesional en aquellas carreras consideradas de interés público, de conformidad con la convocatoria que efectúe el CEAACES.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5B1C50">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Para poder ingresar a rendir el examen será obligatorio presentar el registro de ins</w:t>
            </w:r>
            <w:r w:rsidR="005B1C50">
              <w:rPr>
                <w:rFonts w:ascii="Arial" w:eastAsia="Times New Roman" w:hAnsi="Arial" w:cs="Arial"/>
                <w:color w:val="000080"/>
                <w:sz w:val="20"/>
                <w:szCs w:val="20"/>
                <w:lang w:eastAsia="es-ES"/>
              </w:rPr>
              <w:t xml:space="preserve">cripción impreso y el documento </w:t>
            </w:r>
            <w:r w:rsidRPr="00FF7479">
              <w:rPr>
                <w:rFonts w:ascii="Arial" w:eastAsia="Times New Roman" w:hAnsi="Arial" w:cs="Arial"/>
                <w:color w:val="000080"/>
                <w:sz w:val="20"/>
                <w:szCs w:val="20"/>
                <w:lang w:eastAsia="es-ES"/>
              </w:rPr>
              <w:t>de identidad emitido por el Registro Civil o, en su defecto, el pasaporte o carné de refugiado, documentos que deberán estar vigentes y en buen estado. No podrán ingresar quienes no presenten tales documentos. Tampoco se podrá ingresar a rendir el examen en caso de que los documentos presentados sean ilegibles.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(Artículo reformado mediante Resolución No. 542-CEAACES-SE-16-2015, expedida en la Décima Sexta Sesión Extraordinaria del Pleno del Consejo de Evaluación, Acreditación y Aseguramiento de la Calidad de la Educación Superior, desarrollada el 07 de agosto de 2015).</w:t>
            </w: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 xml:space="preserve">Artículo 16.- De la aplicación del examen de habilitación para el ejercicio profesional.- La </w:t>
            </w:r>
            <w:r w:rsidRPr="00FF7479">
              <w:rPr>
                <w:rFonts w:ascii="Arial" w:eastAsia="Times New Roman" w:hAnsi="Arial" w:cs="Arial"/>
                <w:color w:val="000080"/>
                <w:sz w:val="20"/>
                <w:szCs w:val="20"/>
                <w:lang w:eastAsia="es-ES"/>
              </w:rPr>
              <w:lastRenderedPageBreak/>
              <w:t>aplicación del examen contempla la constatación de asistencia de quienes deben rendir el examen, la entrega de los instrumentos del examen, el desarrollo del examen en el tiempo establecido y la entrega del examen resuelto por parte de los concurrentes.</w:t>
            </w:r>
          </w:p>
          <w:p w:rsidR="005B1C50" w:rsidRDefault="005B1C50" w:rsidP="002B108A">
            <w:pPr>
              <w:spacing w:after="0"/>
              <w:ind w:left="738"/>
              <w:jc w:val="both"/>
              <w:rPr>
                <w:rFonts w:ascii="Arial" w:eastAsia="Times New Roman" w:hAnsi="Arial" w:cs="Arial"/>
                <w:color w:val="000080"/>
                <w:sz w:val="20"/>
                <w:szCs w:val="20"/>
                <w:lang w:eastAsia="es-ES"/>
              </w:rPr>
            </w:pPr>
          </w:p>
          <w:p w:rsidR="00C60DAB" w:rsidRPr="00FF7479"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Se deberá rendir el examen en el tiempo establecido en la guía de orientación. Al finalizar el examen, se entregará un comprobante de haberlo rendido y se firmará un registro de control de asistencia.</w:t>
            </w:r>
          </w:p>
          <w:p w:rsidR="005B1C50" w:rsidRDefault="005B1C50" w:rsidP="002B108A">
            <w:pPr>
              <w:spacing w:after="0"/>
              <w:ind w:left="738"/>
              <w:jc w:val="both"/>
              <w:rPr>
                <w:rFonts w:ascii="Arial" w:eastAsia="Times New Roman" w:hAnsi="Arial" w:cs="Arial"/>
                <w:color w:val="000080"/>
                <w:sz w:val="20"/>
                <w:szCs w:val="20"/>
                <w:lang w:eastAsia="es-ES"/>
              </w:rPr>
            </w:pPr>
          </w:p>
          <w:p w:rsidR="005B1C50" w:rsidRDefault="005B1C50" w:rsidP="002B108A">
            <w:pPr>
              <w:spacing w:after="0"/>
              <w:ind w:left="738"/>
              <w:jc w:val="both"/>
              <w:rPr>
                <w:rFonts w:ascii="Arial" w:eastAsia="Times New Roman" w:hAnsi="Arial" w:cs="Arial"/>
                <w:color w:val="000080"/>
                <w:sz w:val="20"/>
                <w:szCs w:val="20"/>
                <w:lang w:eastAsia="es-ES"/>
              </w:rPr>
            </w:pPr>
          </w:p>
          <w:p w:rsidR="005B1C50" w:rsidRDefault="005B1C50" w:rsidP="002B108A">
            <w:pPr>
              <w:spacing w:after="0"/>
              <w:ind w:left="738"/>
              <w:jc w:val="both"/>
              <w:rPr>
                <w:rFonts w:ascii="Arial" w:eastAsia="Times New Roman" w:hAnsi="Arial" w:cs="Arial"/>
                <w:color w:val="000080"/>
                <w:sz w:val="20"/>
                <w:szCs w:val="20"/>
                <w:lang w:eastAsia="es-ES"/>
              </w:rPr>
            </w:pPr>
          </w:p>
          <w:p w:rsidR="00C60DAB" w:rsidRDefault="00C60DAB" w:rsidP="002B108A">
            <w:pPr>
              <w:spacing w:after="0"/>
              <w:ind w:left="738"/>
              <w:jc w:val="both"/>
              <w:rPr>
                <w:rFonts w:ascii="Arial" w:eastAsia="Times New Roman" w:hAnsi="Arial" w:cs="Arial"/>
                <w:color w:val="000080"/>
                <w:sz w:val="20"/>
                <w:szCs w:val="20"/>
                <w:lang w:eastAsia="es-ES"/>
              </w:rPr>
            </w:pPr>
            <w:r w:rsidRPr="00FF7479">
              <w:rPr>
                <w:rFonts w:ascii="Arial" w:eastAsia="Times New Roman" w:hAnsi="Arial" w:cs="Arial"/>
                <w:color w:val="000080"/>
                <w:sz w:val="20"/>
                <w:szCs w:val="20"/>
                <w:lang w:eastAsia="es-ES"/>
              </w:rPr>
              <w:t>El comprobante será la única evidencia de haber rendido el examen; en caso de pérdida o destrucción de este documento, el aspirante deberá solicitar al CEAACES un nuevo comprobante.</w:t>
            </w:r>
          </w:p>
          <w:p w:rsidR="005B1C50" w:rsidRDefault="005B1C50" w:rsidP="005B1C50">
            <w:pPr>
              <w:spacing w:after="0"/>
              <w:jc w:val="both"/>
              <w:rPr>
                <w:rFonts w:ascii="Arial" w:eastAsia="Times New Roman" w:hAnsi="Arial" w:cs="Arial"/>
                <w:color w:val="000080"/>
                <w:sz w:val="20"/>
                <w:szCs w:val="20"/>
                <w:lang w:eastAsia="es-ES"/>
              </w:rPr>
            </w:pPr>
          </w:p>
          <w:p w:rsidR="005B1C50" w:rsidRPr="005B1C50" w:rsidRDefault="005B1C50" w:rsidP="005B1C50">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C60DAB" w:rsidRPr="00610B20" w:rsidRDefault="00C60DAB" w:rsidP="002B108A">
            <w:pPr>
              <w:spacing w:after="0"/>
              <w:ind w:left="738"/>
              <w:jc w:val="both"/>
              <w:rPr>
                <w:rFonts w:ascii="Arial" w:eastAsia="Times New Roman" w:hAnsi="Arial" w:cs="Arial"/>
                <w:b/>
                <w:color w:val="000080"/>
                <w:sz w:val="20"/>
                <w:szCs w:val="20"/>
                <w:lang w:eastAsia="es-ES"/>
              </w:rPr>
            </w:pPr>
          </w:p>
        </w:tc>
      </w:tr>
    </w:tbl>
    <w:p w:rsidR="003613E6" w:rsidRDefault="003613E6" w:rsidP="007620F4">
      <w:pPr>
        <w:jc w:val="both"/>
      </w:pPr>
      <w:r w:rsidRPr="00610B20">
        <w:rPr>
          <w:noProof/>
          <w:lang w:eastAsia="es-EC"/>
        </w:rPr>
        <w:lastRenderedPageBreak/>
        <mc:AlternateContent>
          <mc:Choice Requires="wps">
            <w:drawing>
              <wp:anchor distT="0" distB="0" distL="114300" distR="114300" simplePos="0" relativeHeight="251665408" behindDoc="0" locked="0" layoutInCell="1" allowOverlap="1" wp14:anchorId="43A12C5A" wp14:editId="192F42A7">
                <wp:simplePos x="0" y="0"/>
                <wp:positionH relativeFrom="margin">
                  <wp:align>left</wp:align>
                </wp:positionH>
                <wp:positionV relativeFrom="paragraph">
                  <wp:posOffset>23609</wp:posOffset>
                </wp:positionV>
                <wp:extent cx="1569493" cy="228600"/>
                <wp:effectExtent l="0" t="0" r="1206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493" cy="228600"/>
                        </a:xfrm>
                        <a:prstGeom prst="rect">
                          <a:avLst/>
                        </a:prstGeom>
                        <a:solidFill>
                          <a:srgbClr val="000080"/>
                        </a:solidFill>
                        <a:ln w="9525">
                          <a:solidFill>
                            <a:srgbClr val="000080"/>
                          </a:solidFill>
                          <a:miter lim="800000"/>
                          <a:headEnd/>
                          <a:tailEnd/>
                        </a:ln>
                      </wps:spPr>
                      <wps:txbx>
                        <w:txbxContent>
                          <w:p w:rsidR="002B108A" w:rsidRPr="00567E83" w:rsidRDefault="002B108A" w:rsidP="003613E6">
                            <w:pPr>
                              <w:jc w:val="both"/>
                              <w:rPr>
                                <w:rFonts w:ascii="Arial" w:hAnsi="Arial" w:cs="Arial"/>
                                <w:b/>
                                <w:color w:val="FFFFFF"/>
                                <w:sz w:val="20"/>
                                <w:szCs w:val="20"/>
                              </w:rPr>
                            </w:pPr>
                            <w:r>
                              <w:rPr>
                                <w:rFonts w:ascii="Arial" w:hAnsi="Arial" w:cs="Arial"/>
                                <w:b/>
                                <w:color w:val="FFFFFF"/>
                                <w:sz w:val="20"/>
                                <w:szCs w:val="20"/>
                              </w:rPr>
                              <w:t>Miércoles 7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A12C5A" id="Cuadro de texto 3" o:spid="_x0000_s1029" type="#_x0000_t202" style="position:absolute;left:0;text-align:left;margin-left:0;margin-top:1.85pt;width:123.6pt;height:1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1ALQIAAF4EAAAOAAAAZHJzL2Uyb0RvYy54bWysVNtu2zAMfR+wfxD0vjhJky4x4hRdug4D&#10;ugvQ7QMUSY6FyaJGKbG7ry8lu122vRXLgyCG1CF5DunNVd9adtIYDLiKzyZTzrSToIw7VPz7t9s3&#10;K85CFE4JC05X/EEHfrV9/WrT+VLPoQGrNDICcaHsfMWbGH1ZFEE2uhVhAl47ctaArYhk4qFQKDpC&#10;b20xn04viw5QeQSpQ6B/bwYn32b8utYyfqnroCOzFafaYj4xn/t0FtuNKA8ofGPkWIZ4QRWtMI6S&#10;PkPdiCjYEc0/UK2RCAHqOJHQFlDXRurcA3Uzm/7VzX0jvM69EDnBP9MU/h+s/Hz6isyoil9w5kRL&#10;Eu2OQiEwpVnUfQR2kUjqfCgp9t5TdOzfQU9i54aDvwP5IzAHu0a4g75GhK7RQlGRs/SyOHs64IQE&#10;su8+gaJs4hghA/U1tolB4oQROon18CwQ1cFkSrm8XC/WVKkk33y+upxmBQtRPr32GOIHDS1Ll4oj&#10;DUBGF6e7EFM1onwKSckCWKNujbXZwMN+Z5GdRBoW+q2e0P8Is451FV8v58uBgBdAtCbS1FvTVnyV&#10;Eo1zmGh771SeySiMHe5UsnUjj4m6gcTY7/tRt1GePagHIhZhGHJaSro0gL8462jAKx5+HgVqzuxH&#10;R+KsZ4tF2ohsLJZv52TguWd/7hFOElTFI2fDdReHLTp6NIeGMg3j4OCaBK1N5jopP1Q1lk9DnCUY&#10;Fy5tybmdo35/FraPAAAA//8DAFBLAwQUAAYACAAAACEAu8QaTtwAAAAFAQAADwAAAGRycy9kb3du&#10;cmV2LnhtbEyPTU+DQBCG7yb+h82YeLOLYMQiS2P8OnhrpU29bdkpkLKzhN0C/nvHkx7fvJPnfSZf&#10;zbYTIw6+daTgdhGBQKqcaalWUH6+3TyA8EGT0Z0jVPCNHlbF5UWuM+MmWuO4CbVgCPlMK2hC6DMp&#10;fdWg1X7heiTujm6wOnAcamkGPTHcdjKOontpdUu80OgenxusTpuzZcou+di91ONx/z4lX7Z8Pe2j&#10;banU9dX89Agi4Bz+juFXn9WhYKeDO5PxolPAjwQFSQqCy/gujUEcOC9TkEUu/9sXPwAAAP//AwBQ&#10;SwECLQAUAAYACAAAACEAtoM4kv4AAADhAQAAEwAAAAAAAAAAAAAAAAAAAAAAW0NvbnRlbnRfVHlw&#10;ZXNdLnhtbFBLAQItABQABgAIAAAAIQA4/SH/1gAAAJQBAAALAAAAAAAAAAAAAAAAAC8BAABfcmVs&#10;cy8ucmVsc1BLAQItABQABgAIAAAAIQCEea1ALQIAAF4EAAAOAAAAAAAAAAAAAAAAAC4CAABkcnMv&#10;ZTJvRG9jLnhtbFBLAQItABQABgAIAAAAIQC7xBpO3AAAAAUBAAAPAAAAAAAAAAAAAAAAAIcEAABk&#10;cnMvZG93bnJldi54bWxQSwUGAAAAAAQABADzAAAAkAUAAAAA&#10;" fillcolor="navy" strokecolor="navy">
                <v:textbox>
                  <w:txbxContent>
                    <w:p w:rsidR="003613E6" w:rsidRPr="00567E83" w:rsidRDefault="003613E6" w:rsidP="003613E6">
                      <w:pPr>
                        <w:jc w:val="both"/>
                        <w:rPr>
                          <w:rFonts w:ascii="Arial" w:hAnsi="Arial" w:cs="Arial"/>
                          <w:b/>
                          <w:color w:val="FFFFFF"/>
                          <w:sz w:val="20"/>
                          <w:szCs w:val="20"/>
                        </w:rPr>
                      </w:pPr>
                      <w:r>
                        <w:rPr>
                          <w:rFonts w:ascii="Arial" w:hAnsi="Arial" w:cs="Arial"/>
                          <w:b/>
                          <w:color w:val="FFFFFF"/>
                          <w:sz w:val="20"/>
                          <w:szCs w:val="20"/>
                        </w:rPr>
                        <w:t>Miércoles 7 de 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613E6" w:rsidRPr="00610B20" w:rsidTr="002B108A">
        <w:trPr>
          <w:trHeight w:val="1380"/>
        </w:trPr>
        <w:tc>
          <w:tcPr>
            <w:tcW w:w="9257" w:type="dxa"/>
            <w:shd w:val="clear" w:color="auto" w:fill="DDFFFF"/>
          </w:tcPr>
          <w:p w:rsidR="003613E6" w:rsidRPr="00610B20" w:rsidRDefault="003613E6" w:rsidP="002B108A">
            <w:pPr>
              <w:spacing w:after="0"/>
              <w:jc w:val="left"/>
              <w:rPr>
                <w:rFonts w:ascii="Times New Roman" w:eastAsia="Times New Roman" w:hAnsi="Times New Roman" w:cs="Times New Roman"/>
                <w:sz w:val="24"/>
                <w:szCs w:val="24"/>
                <w:lang w:eastAsia="es-ES"/>
              </w:rPr>
            </w:pPr>
          </w:p>
          <w:p w:rsidR="003613E6" w:rsidRDefault="007E11CE" w:rsidP="002B108A">
            <w:pPr>
              <w:spacing w:after="0"/>
              <w:rPr>
                <w:rFonts w:ascii="Arial" w:eastAsia="Times New Roman" w:hAnsi="Arial" w:cs="Arial"/>
                <w:b/>
                <w:color w:val="000080"/>
                <w:sz w:val="20"/>
                <w:szCs w:val="20"/>
                <w:lang w:val="es-ES_tradnl" w:eastAsia="es-ES"/>
              </w:rPr>
            </w:pPr>
            <w:r w:rsidRPr="007E11CE">
              <w:rPr>
                <w:rFonts w:ascii="Arial" w:eastAsia="Times New Roman" w:hAnsi="Arial" w:cs="Arial"/>
                <w:b/>
                <w:color w:val="000080"/>
                <w:sz w:val="20"/>
                <w:szCs w:val="20"/>
                <w:lang w:val="es-ES_tradnl" w:eastAsia="es-ES"/>
              </w:rPr>
              <w:t xml:space="preserve">LEY GENERAL DE LOS SERVICIOS POSTALES </w:t>
            </w:r>
          </w:p>
          <w:p w:rsidR="007E11CE" w:rsidRPr="00610B20" w:rsidRDefault="007E11CE" w:rsidP="002B108A">
            <w:pPr>
              <w:spacing w:after="0"/>
              <w:rPr>
                <w:rFonts w:ascii="Arial" w:eastAsia="Times New Roman" w:hAnsi="Arial" w:cs="Arial"/>
                <w:b/>
                <w:color w:val="000080"/>
                <w:sz w:val="20"/>
                <w:szCs w:val="20"/>
                <w:lang w:val="es-ES_tradnl" w:eastAsia="es-ES"/>
              </w:rPr>
            </w:pPr>
          </w:p>
          <w:p w:rsidR="003613E6" w:rsidRPr="00610B20" w:rsidRDefault="003613E6"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7E11CE">
              <w:rPr>
                <w:rFonts w:ascii="Arial" w:eastAsia="Times New Roman" w:hAnsi="Arial" w:cs="Arial"/>
                <w:color w:val="000080"/>
                <w:sz w:val="20"/>
                <w:szCs w:val="20"/>
                <w:lang w:eastAsia="es-ES"/>
              </w:rPr>
              <w:t>Ley s/n</w:t>
            </w:r>
            <w:r w:rsidRPr="00610B20">
              <w:rPr>
                <w:rFonts w:ascii="Arial" w:eastAsia="Times New Roman" w:hAnsi="Arial" w:cs="Arial"/>
                <w:color w:val="000080"/>
                <w:sz w:val="20"/>
                <w:szCs w:val="20"/>
                <w:lang w:eastAsia="es-ES"/>
              </w:rPr>
              <w:t xml:space="preserve">, publicada en el </w:t>
            </w:r>
            <w:r w:rsidR="00806106">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7E11CE">
              <w:rPr>
                <w:rFonts w:ascii="Arial" w:eastAsia="Times New Roman" w:hAnsi="Arial" w:cs="Arial"/>
                <w:color w:val="000080"/>
                <w:sz w:val="20"/>
                <w:szCs w:val="20"/>
                <w:lang w:eastAsia="es-ES"/>
              </w:rPr>
              <w:t>603 de 7</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3613E6" w:rsidRDefault="003613E6"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Pr>
                <w:rFonts w:ascii="Arial" w:eastAsia="Times New Roman" w:hAnsi="Arial" w:cs="Arial"/>
                <w:color w:val="000080"/>
                <w:sz w:val="20"/>
                <w:szCs w:val="20"/>
                <w:lang w:eastAsia="es-ES"/>
              </w:rPr>
              <w:t xml:space="preserve"> </w:t>
            </w:r>
            <w:r w:rsidR="007E11CE">
              <w:rPr>
                <w:rFonts w:ascii="Arial" w:eastAsia="Times New Roman" w:hAnsi="Arial" w:cs="Arial"/>
                <w:color w:val="000080"/>
                <w:sz w:val="20"/>
                <w:szCs w:val="20"/>
                <w:lang w:eastAsia="es-ES"/>
              </w:rPr>
              <w:t>Nueva</w:t>
            </w:r>
          </w:p>
          <w:p w:rsidR="003613E6" w:rsidRDefault="002B108A" w:rsidP="002B108A">
            <w:pPr>
              <w:spacing w:after="0"/>
              <w:jc w:val="both"/>
              <w:rPr>
                <w:rFonts w:ascii="Arial" w:eastAsia="Times New Roman" w:hAnsi="Arial" w:cs="Arial"/>
                <w:b/>
                <w:color w:val="000080"/>
                <w:sz w:val="20"/>
                <w:szCs w:val="20"/>
                <w:lang w:eastAsia="es-ES"/>
              </w:rPr>
            </w:pPr>
            <w:hyperlink r:id="rId10"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Artículo 1.- Objeto. La presente Ley tiene por objeto regular y controlar la administración y gestión de los servicios postales para garantizar el derecho de los usuarios a la prestación eficiente, oportuna y segura de estos servicios.</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Los servicios postales se consideran servicios de interés general y son administrados, regulados y controlados por el Estado, de conformidad con lo dispuesto en la presente Ley.</w:t>
            </w: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Se considera únicamente al Servicio Postal Universal (SPU) como un servicio público.</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Artículo 2.- Ámbito de aplicación. Esta Ley será aplicable a todos los operadores postales, es decir, a todas las personas naturales o jurídicas, nacionales o extranjeras, privadas o públicas, que realicen uno o más de los procesos que conforman el servicio postal, incluido el servicio postal logístico de manera directa o indirecta a nivel local, nacional o internacional, así como a las relaciones que se generen entre ellos y a sus usuarios.</w:t>
            </w: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 xml:space="preserve"> </w:t>
            </w: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También se aplicará, en lo que corresponda, a las personas naturales o jurídicas, nacionales o extranjeras, privadas o públicas distintas de los operadores postales que tengan relación con las actividades postales.</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Artículo 3.- Principios. El Servicio Postal Universal (SPU) responde a todos los principios consagrados en la Constitución de la República respecto de los servicios públicos y a lo dispuesto en los convenios internacionales ratificados en el Ecuador.</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Los servicios postales se prestarán conforme con los principios de permanencia, seguridad, asequibilidad y eficiencia.</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Artículo 4.- Secreto e inviolabilidad. La obligación del secreto de los envíos postales protege el contenido y su divulgación, lo que implica la absoluta prohibición para los operadores postales de facilitar datos relativos a la existencia o contenido del envío u objeto postal, a su clase, a sus circunstancias y características exteriores, a la identidad del remitente y del destinatario o a sus direcciones, salvo petición de estos, sus representantes legales o apoderados o mediante autorización judicial, de conformidad con la ley. La inviolabilidad es el deber de fidelidad en la custodia y gestión de los envíos postales.</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 xml:space="preserve">Se entiende por violación de los envíos postales a la retención arbitraria e ilegal, desvío </w:t>
            </w:r>
            <w:r w:rsidRPr="007E11CE">
              <w:rPr>
                <w:rFonts w:ascii="Arial" w:eastAsia="Times New Roman" w:hAnsi="Arial" w:cs="Arial"/>
                <w:color w:val="000080"/>
                <w:sz w:val="20"/>
                <w:szCs w:val="20"/>
                <w:lang w:eastAsia="es-ES"/>
              </w:rPr>
              <w:lastRenderedPageBreak/>
              <w:t xml:space="preserve">doloso, apertura, sustracción, destrucción, retención u ocultamiento, así como indagar o conocer su </w:t>
            </w:r>
            <w:r>
              <w:rPr>
                <w:rFonts w:ascii="Arial" w:eastAsia="Times New Roman" w:hAnsi="Arial" w:cs="Arial"/>
                <w:color w:val="000080"/>
                <w:sz w:val="20"/>
                <w:szCs w:val="20"/>
                <w:lang w:eastAsia="es-ES"/>
              </w:rPr>
              <w:t xml:space="preserve">contenido sin llegar a abrirlos o, </w:t>
            </w:r>
            <w:r w:rsidRPr="007E11CE">
              <w:rPr>
                <w:rFonts w:ascii="Arial" w:eastAsia="Times New Roman" w:hAnsi="Arial" w:cs="Arial"/>
                <w:color w:val="000080"/>
                <w:sz w:val="20"/>
                <w:szCs w:val="20"/>
                <w:lang w:eastAsia="es-ES"/>
              </w:rPr>
              <w:t>en general, cualquier acto de infidencia en su custodia. No constituirán violación los casos que se encuentren expresamente establecidos en la presente Ley u otras disposiciones nacionales o internacionales.</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Artículo 5.- Excepciones. La obligación de secreto e inviolabilidad tendrá las siguientes excepciones:</w:t>
            </w:r>
          </w:p>
          <w:p w:rsidR="007E11CE" w:rsidRDefault="007E11CE" w:rsidP="007E11CE">
            <w:pPr>
              <w:spacing w:after="0"/>
              <w:ind w:left="738"/>
              <w:jc w:val="both"/>
              <w:rPr>
                <w:rFonts w:ascii="Arial" w:eastAsia="Times New Roman" w:hAnsi="Arial" w:cs="Arial"/>
                <w:color w:val="000080"/>
                <w:sz w:val="20"/>
                <w:szCs w:val="20"/>
                <w:lang w:eastAsia="es-ES"/>
              </w:rPr>
            </w:pPr>
          </w:p>
          <w:p w:rsidR="007E11CE" w:rsidRPr="007E11CE"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1.</w:t>
            </w:r>
            <w:r w:rsidRPr="007E11CE">
              <w:rPr>
                <w:rFonts w:ascii="Arial" w:eastAsia="Times New Roman" w:hAnsi="Arial" w:cs="Arial"/>
                <w:color w:val="000080"/>
                <w:sz w:val="20"/>
                <w:szCs w:val="20"/>
                <w:lang w:eastAsia="es-ES"/>
              </w:rPr>
              <w:tab/>
              <w:t>Los envíos postales solo podrán ser retenidos, abiertos, interceptados y examinados por orden judicial y cuando intervengan dentro del ámbito de sus competencias las respectivas autoridades, de conformidad con la Constitución y la ley.</w:t>
            </w:r>
          </w:p>
          <w:p w:rsidR="003613E6" w:rsidRDefault="007E11CE" w:rsidP="007E11CE">
            <w:pPr>
              <w:spacing w:after="0"/>
              <w:ind w:left="738"/>
              <w:jc w:val="both"/>
              <w:rPr>
                <w:rFonts w:ascii="Arial" w:eastAsia="Times New Roman" w:hAnsi="Arial" w:cs="Arial"/>
                <w:color w:val="000080"/>
                <w:sz w:val="20"/>
                <w:szCs w:val="20"/>
                <w:lang w:eastAsia="es-ES"/>
              </w:rPr>
            </w:pPr>
            <w:r w:rsidRPr="007E11CE">
              <w:rPr>
                <w:rFonts w:ascii="Arial" w:eastAsia="Times New Roman" w:hAnsi="Arial" w:cs="Arial"/>
                <w:color w:val="000080"/>
                <w:sz w:val="20"/>
                <w:szCs w:val="20"/>
                <w:lang w:eastAsia="es-ES"/>
              </w:rPr>
              <w:t>2.</w:t>
            </w:r>
            <w:r w:rsidRPr="007E11CE">
              <w:rPr>
                <w:rFonts w:ascii="Arial" w:eastAsia="Times New Roman" w:hAnsi="Arial" w:cs="Arial"/>
                <w:color w:val="000080"/>
                <w:sz w:val="20"/>
                <w:szCs w:val="20"/>
                <w:lang w:eastAsia="es-ES"/>
              </w:rPr>
              <w:tab/>
              <w:t>Cuando se presuma que los envíos postales al momento de ser verificados contienen material bélico, explosivos o cualquier otro objeto o material que pueda usarse en actos de terrorismo, sustancias catalogadas sujetas a fiscalización, pornografía infantil, animales vivos, excepto los considerados para investigación científica, flora y fauna protegida, dinero y objetos preciosos u otros de similar naturaleza y que se encuentren prohibidos de ser transportados. En estos casos, el operador postal deberá dar aviso a la autoridad competente a fin de que se aplique el procedimiento determinado en el ordenamiento jurídico vigente.</w:t>
            </w:r>
          </w:p>
          <w:p w:rsidR="007E11CE" w:rsidRDefault="007E11CE" w:rsidP="007E11CE">
            <w:pPr>
              <w:spacing w:after="0"/>
              <w:jc w:val="both"/>
              <w:rPr>
                <w:rFonts w:ascii="Arial" w:eastAsia="Times New Roman" w:hAnsi="Arial" w:cs="Arial"/>
                <w:color w:val="000080"/>
                <w:sz w:val="20"/>
                <w:szCs w:val="20"/>
                <w:lang w:eastAsia="es-ES"/>
              </w:rPr>
            </w:pPr>
          </w:p>
          <w:p w:rsidR="007E11CE" w:rsidRPr="007E11CE" w:rsidRDefault="007E11CE" w:rsidP="007E11CE">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3613E6" w:rsidRPr="00610B20" w:rsidRDefault="003613E6" w:rsidP="002B108A">
            <w:pPr>
              <w:spacing w:after="0"/>
              <w:jc w:val="both"/>
              <w:rPr>
                <w:rFonts w:ascii="Times New Roman" w:eastAsia="Times New Roman" w:hAnsi="Times New Roman" w:cs="Times New Roman"/>
                <w:sz w:val="24"/>
                <w:szCs w:val="24"/>
                <w:lang w:eastAsia="es-ES"/>
              </w:rPr>
            </w:pPr>
          </w:p>
        </w:tc>
      </w:tr>
    </w:tbl>
    <w:p w:rsidR="00D47940" w:rsidRDefault="00D47940" w:rsidP="007620F4">
      <w:pPr>
        <w:jc w:val="both"/>
      </w:pPr>
      <w:r w:rsidRPr="00610B20">
        <w:rPr>
          <w:noProof/>
          <w:lang w:eastAsia="es-EC"/>
        </w:rPr>
        <w:lastRenderedPageBreak/>
        <mc:AlternateContent>
          <mc:Choice Requires="wps">
            <w:drawing>
              <wp:anchor distT="0" distB="0" distL="114300" distR="114300" simplePos="0" relativeHeight="251667456" behindDoc="0" locked="0" layoutInCell="1" allowOverlap="1" wp14:anchorId="1325B067" wp14:editId="27ED25ED">
                <wp:simplePos x="0" y="0"/>
                <wp:positionH relativeFrom="margin">
                  <wp:align>left</wp:align>
                </wp:positionH>
                <wp:positionV relativeFrom="paragraph">
                  <wp:posOffset>20273</wp:posOffset>
                </wp:positionV>
                <wp:extent cx="1412543" cy="228600"/>
                <wp:effectExtent l="0" t="0" r="1651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543" cy="228600"/>
                        </a:xfrm>
                        <a:prstGeom prst="rect">
                          <a:avLst/>
                        </a:prstGeom>
                        <a:solidFill>
                          <a:srgbClr val="000080"/>
                        </a:solidFill>
                        <a:ln w="9525">
                          <a:solidFill>
                            <a:srgbClr val="000080"/>
                          </a:solidFill>
                          <a:miter lim="800000"/>
                          <a:headEnd/>
                          <a:tailEnd/>
                        </a:ln>
                      </wps:spPr>
                      <wps:txbx>
                        <w:txbxContent>
                          <w:p w:rsidR="002B108A" w:rsidRPr="00567E83" w:rsidRDefault="002B108A" w:rsidP="00D47940">
                            <w:pPr>
                              <w:jc w:val="both"/>
                              <w:rPr>
                                <w:rFonts w:ascii="Arial" w:hAnsi="Arial" w:cs="Arial"/>
                                <w:b/>
                                <w:color w:val="FFFFFF"/>
                                <w:sz w:val="20"/>
                                <w:szCs w:val="20"/>
                              </w:rPr>
                            </w:pPr>
                            <w:r>
                              <w:rPr>
                                <w:rFonts w:ascii="Arial" w:hAnsi="Arial" w:cs="Arial"/>
                                <w:b/>
                                <w:color w:val="FFFFFF"/>
                                <w:sz w:val="20"/>
                                <w:szCs w:val="20"/>
                              </w:rPr>
                              <w:t>Jueves 8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25B067" id="Cuadro de texto 4" o:spid="_x0000_s1030" type="#_x0000_t202" style="position:absolute;left:0;text-align:left;margin-left:0;margin-top:1.6pt;width:111.2pt;height:18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VPFLAIAAF4EAAAOAAAAZHJzL2Uyb0RvYy54bWysVNtu2zAMfR+wfxD0vjrxnC416hRdug4D&#10;ugvQ7QMUSY6FyaJGKbG7rx8lu122vRXLgyCG1CF5DunLq7G37KgxGHANX54tONNOgjJu3/BvX29f&#10;rTkLUTglLDjd8Acd+NXm5YvLwde6hA6s0sgIxIV68A3vYvR1UQTZ6V6EM/DakbMF7EUkE/eFQjEQ&#10;em+LcrE4LwZA5RGkDoH+vZmcfJPx21bL+Lltg47MNpxqi/nEfO7SWWwuRb1H4Tsj5zLEM6rohXGU&#10;9AnqRkTBDmj+geqNRAjQxjMJfQFta6TOPVA3y8Vf3dx3wuvcC5ET/BNN4f/Byk/HL8iManjFmRM9&#10;SbQ9CIXAlGZRjxFYlUgafKgp9t5TdBzfwkhi54aDvwP5PTAH2064vb5GhKHTQlGRy/SyOHk64YQE&#10;shs+gqJs4hAhA40t9olB4oQROon18CQQ1cFkSlkty1X1mjNJvrJcny+ygoWoH197DPG9hp6lS8OR&#10;BiCji+NdiKkaUT+GpGQBrFG3xtps4H63tciOIg0L/daP6H+EWceGhl+sytVEwDMgehNp6q3pG75O&#10;ieY5TLS9cyrPZBTGTncq2bqZx0TdRGIcd+Os2yzPDtQDEYswDTktJV06wJ+cDTTgDQ8/DgI1Z/aD&#10;I3EullWVNiIb1epNSQaeenanHuEkQTU8cjZdt3HaooNHs+8o0zQODq5J0NZkrpPyU1Vz+TTEWYJ5&#10;4dKWnNo56vdnYfMLAAD//wMAUEsDBBQABgAIAAAAIQA0Qer32wAAAAUBAAAPAAAAZHJzL2Rvd25y&#10;ZXYueG1sTI/LTsMwEEX3SPyDNUjsqIODEKRxKsRrwY4SqnbnxtMkajyOYjcJf8+wKsurOzr3TL6a&#10;XSdGHELrScPtIgGBVHnbUq2h/Hq7eQARoiFrOk+o4QcDrIrLi9xk1k/0ieM61oIhFDKjoYmxz6QM&#10;VYPOhIXvkbg7+MGZyHGopR3MxHDXSZUk99KZlnihMT0+N1gd1yfHlE36sXmpx8P2fUp3rnw9bpPv&#10;Uuvrq/lpCSLiHM/H8KfP6lCw096fyAbRaeBHooZUgeBSKXUHYs/5UYEscvnfvvgFAAD//wMAUEsB&#10;Ai0AFAAGAAgAAAAhALaDOJL+AAAA4QEAABMAAAAAAAAAAAAAAAAAAAAAAFtDb250ZW50X1R5cGVz&#10;XS54bWxQSwECLQAUAAYACAAAACEAOP0h/9YAAACUAQAACwAAAAAAAAAAAAAAAAAvAQAAX3JlbHMv&#10;LnJlbHNQSwECLQAUAAYACAAAACEACOFTxSwCAABeBAAADgAAAAAAAAAAAAAAAAAuAgAAZHJzL2Uy&#10;b0RvYy54bWxQSwECLQAUAAYACAAAACEANEHq99sAAAAFAQAADwAAAAAAAAAAAAAAAACGBAAAZHJz&#10;L2Rvd25yZXYueG1sUEsFBgAAAAAEAAQA8wAAAI4FAAAAAA==&#10;" fillcolor="navy" strokecolor="navy">
                <v:textbox>
                  <w:txbxContent>
                    <w:p w:rsidR="00D47940" w:rsidRPr="00567E83" w:rsidRDefault="00D47940" w:rsidP="00D47940">
                      <w:pPr>
                        <w:jc w:val="both"/>
                        <w:rPr>
                          <w:rFonts w:ascii="Arial" w:hAnsi="Arial" w:cs="Arial"/>
                          <w:b/>
                          <w:color w:val="FFFFFF"/>
                          <w:sz w:val="20"/>
                          <w:szCs w:val="20"/>
                        </w:rPr>
                      </w:pPr>
                      <w:r>
                        <w:rPr>
                          <w:rFonts w:ascii="Arial" w:hAnsi="Arial" w:cs="Arial"/>
                          <w:b/>
                          <w:color w:val="FFFFFF"/>
                          <w:sz w:val="20"/>
                          <w:szCs w:val="20"/>
                        </w:rPr>
                        <w:t>Jueves 8 de 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47940" w:rsidRPr="00610B20" w:rsidTr="002B108A">
        <w:trPr>
          <w:trHeight w:val="1380"/>
        </w:trPr>
        <w:tc>
          <w:tcPr>
            <w:tcW w:w="9257" w:type="dxa"/>
            <w:shd w:val="clear" w:color="auto" w:fill="E6F1DF"/>
          </w:tcPr>
          <w:p w:rsidR="00D47940" w:rsidRPr="00610B20" w:rsidRDefault="00D47940" w:rsidP="002B108A">
            <w:pPr>
              <w:spacing w:after="0"/>
              <w:jc w:val="left"/>
              <w:rPr>
                <w:rFonts w:ascii="Times New Roman" w:eastAsia="Times New Roman" w:hAnsi="Times New Roman" w:cs="Times New Roman"/>
                <w:sz w:val="24"/>
                <w:szCs w:val="24"/>
                <w:lang w:eastAsia="es-ES"/>
              </w:rPr>
            </w:pPr>
          </w:p>
          <w:p w:rsidR="00D47940" w:rsidRDefault="00440ADD" w:rsidP="002B108A">
            <w:pPr>
              <w:spacing w:after="0"/>
              <w:rPr>
                <w:rFonts w:ascii="Arial" w:eastAsia="Times New Roman" w:hAnsi="Arial" w:cs="Arial"/>
                <w:b/>
                <w:color w:val="000080"/>
                <w:sz w:val="20"/>
                <w:szCs w:val="20"/>
                <w:lang w:val="es-ES_tradnl" w:eastAsia="es-ES"/>
              </w:rPr>
            </w:pPr>
            <w:r w:rsidRPr="00D47940">
              <w:rPr>
                <w:rFonts w:ascii="Arial" w:eastAsia="Times New Roman" w:hAnsi="Arial" w:cs="Arial"/>
                <w:b/>
                <w:color w:val="000080"/>
                <w:sz w:val="20"/>
                <w:szCs w:val="20"/>
                <w:lang w:val="es-ES_tradnl" w:eastAsia="es-ES"/>
              </w:rPr>
              <w:t xml:space="preserve">NORMAS QUE REGULAN EL PROCEDIMIENTO PARA LA DEVOLUCIÓN DEL IMPUESTO AL </w:t>
            </w:r>
            <w:r>
              <w:rPr>
                <w:rFonts w:ascii="Arial" w:eastAsia="Times New Roman" w:hAnsi="Arial" w:cs="Arial"/>
                <w:b/>
                <w:color w:val="000080"/>
                <w:sz w:val="20"/>
                <w:szCs w:val="20"/>
                <w:lang w:val="es-ES_tradnl" w:eastAsia="es-ES"/>
              </w:rPr>
              <w:t>I</w:t>
            </w:r>
            <w:r w:rsidRPr="00D47940">
              <w:rPr>
                <w:rFonts w:ascii="Arial" w:eastAsia="Times New Roman" w:hAnsi="Arial" w:cs="Arial"/>
                <w:b/>
                <w:color w:val="000080"/>
                <w:sz w:val="20"/>
                <w:szCs w:val="20"/>
                <w:lang w:val="es-ES_tradnl" w:eastAsia="es-ES"/>
              </w:rPr>
              <w:t xml:space="preserve">VA </w:t>
            </w:r>
            <w:r>
              <w:rPr>
                <w:rFonts w:ascii="Arial" w:eastAsia="Times New Roman" w:hAnsi="Arial" w:cs="Arial"/>
                <w:b/>
                <w:color w:val="000080"/>
                <w:sz w:val="20"/>
                <w:szCs w:val="20"/>
                <w:lang w:val="es-ES_tradnl" w:eastAsia="es-ES"/>
              </w:rPr>
              <w:t>Y LA DEVOLUCIÓN EXCEPCIONAL</w:t>
            </w:r>
            <w:r w:rsidRPr="00D47940">
              <w:rPr>
                <w:rFonts w:ascii="Arial" w:eastAsia="Times New Roman" w:hAnsi="Arial" w:cs="Arial"/>
                <w:b/>
                <w:color w:val="000080"/>
                <w:sz w:val="20"/>
                <w:szCs w:val="20"/>
                <w:lang w:val="es-ES_tradnl" w:eastAsia="es-ES"/>
              </w:rPr>
              <w:t xml:space="preserve"> A LOS EXPORTADORES DE BIENES </w:t>
            </w:r>
          </w:p>
          <w:p w:rsidR="00440ADD" w:rsidRPr="00610B20" w:rsidRDefault="00440ADD" w:rsidP="002B108A">
            <w:pPr>
              <w:spacing w:after="0"/>
              <w:rPr>
                <w:rFonts w:ascii="Arial" w:eastAsia="Times New Roman" w:hAnsi="Arial" w:cs="Arial"/>
                <w:b/>
                <w:color w:val="000080"/>
                <w:sz w:val="20"/>
                <w:szCs w:val="20"/>
                <w:lang w:eastAsia="es-ES"/>
              </w:rPr>
            </w:pPr>
          </w:p>
          <w:p w:rsidR="002D0D70" w:rsidRPr="00610B20" w:rsidRDefault="002D0D70" w:rsidP="002D0D70">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w:t>
            </w:r>
            <w:r>
              <w:rPr>
                <w:rFonts w:ascii="Arial" w:eastAsia="Times New Roman" w:hAnsi="Arial" w:cs="Arial"/>
                <w:color w:val="000080"/>
                <w:sz w:val="20"/>
                <w:szCs w:val="20"/>
                <w:lang w:eastAsia="es-ES"/>
              </w:rPr>
              <w:t>del SRI 0730</w:t>
            </w:r>
            <w:r w:rsidRPr="00610B20">
              <w:rPr>
                <w:rFonts w:ascii="Arial" w:eastAsia="Times New Roman" w:hAnsi="Arial" w:cs="Arial"/>
                <w:color w:val="000080"/>
                <w:sz w:val="20"/>
                <w:szCs w:val="20"/>
                <w:lang w:eastAsia="es-ES"/>
              </w:rPr>
              <w:t xml:space="preserve">, publicada en el </w:t>
            </w:r>
            <w:r>
              <w:rPr>
                <w:rFonts w:ascii="Arial" w:eastAsia="Times New Roman" w:hAnsi="Arial" w:cs="Arial"/>
                <w:color w:val="000080"/>
                <w:sz w:val="20"/>
                <w:szCs w:val="20"/>
                <w:lang w:eastAsia="es-ES"/>
              </w:rPr>
              <w:t xml:space="preserve">Tercer Suplemento del </w:t>
            </w:r>
            <w:r w:rsidRPr="00610B20">
              <w:rPr>
                <w:rFonts w:ascii="Arial" w:eastAsia="Times New Roman" w:hAnsi="Arial" w:cs="Arial"/>
                <w:color w:val="000080"/>
                <w:sz w:val="20"/>
                <w:szCs w:val="20"/>
                <w:lang w:eastAsia="es-ES"/>
              </w:rPr>
              <w:t xml:space="preserve">Registro Oficial </w:t>
            </w:r>
            <w:r>
              <w:rPr>
                <w:rFonts w:ascii="Arial" w:eastAsia="Times New Roman" w:hAnsi="Arial" w:cs="Arial"/>
                <w:color w:val="000080"/>
                <w:sz w:val="20"/>
                <w:szCs w:val="20"/>
                <w:lang w:eastAsia="es-ES"/>
              </w:rPr>
              <w:t>604 de 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D47940" w:rsidRDefault="00D47940"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440ADD" w:rsidRDefault="002B108A" w:rsidP="002B108A">
            <w:pPr>
              <w:spacing w:after="0"/>
              <w:jc w:val="both"/>
              <w:rPr>
                <w:rFonts w:ascii="Arial" w:eastAsia="Times New Roman" w:hAnsi="Arial" w:cs="Arial"/>
                <w:b/>
                <w:color w:val="000080"/>
                <w:sz w:val="20"/>
                <w:szCs w:val="20"/>
                <w:lang w:eastAsia="es-ES"/>
              </w:rPr>
            </w:pPr>
            <w:hyperlink r:id="rId11"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Artículo 1.- Ámbito de aplicación.- Establézcanse las normas que regulan el procedimiento para la devolución del impuesto al valor agregado, incluyendo la devolución provisional automática, la devolución provisional mediante compensación automática con retenciones del I VA efectuadas, y la devolución excepcional a los exportadores de bienes de conformidad con lo dispuesto en el presente acto normativo.</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Artículo 2.- Periodicidad.- Los exportadores de bienes presentarán sus solicitudes de devolución del IVA por periodos mensuales, excepto cuando los bienes objeto de exportación sean de producción o elaboración por periodos cíclicos, en cuyo caso las solicitudes se presentarán una vez concluido el ciclo y efectuada la exportación.</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Para efectos de la presente resolución entiéndase como producción o elaboración por periodos cíclicos a aquellos procesos de producción o elaboración que generen el bien exportable cada determinado periodo de tiempo, siempre que sea mayor a un mes.</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Artículo 3.- Mecanismos de devolución del IVA.- Los mecanismos de devolución del IVA pagado y retenido por los exportadores de bienes son:</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pStyle w:val="Prrafodelista"/>
              <w:numPr>
                <w:ilvl w:val="0"/>
                <w:numId w:val="1"/>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Devolución provisional automática.</w:t>
            </w:r>
          </w:p>
          <w:p w:rsidR="00440ADD" w:rsidRPr="00440ADD" w:rsidRDefault="00440ADD" w:rsidP="00440ADD">
            <w:pPr>
              <w:pStyle w:val="Prrafodelista"/>
              <w:numPr>
                <w:ilvl w:val="0"/>
                <w:numId w:val="1"/>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Devolución     provisional     mediante     compensación automática con retenciones del I VA efectuadas.</w:t>
            </w:r>
          </w:p>
          <w:p w:rsidR="00440ADD" w:rsidRPr="00440ADD" w:rsidRDefault="00440ADD" w:rsidP="00440ADD">
            <w:pPr>
              <w:pStyle w:val="Prrafodelista"/>
              <w:numPr>
                <w:ilvl w:val="0"/>
                <w:numId w:val="1"/>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Devolución excepcional.</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Los exportadores de bienes ingresarán su solicitud por medio de la página www.sri.gob.ec, con excepción de los sujetos que utilicen el mecanismo señalado en la letra c) del presente artículo.</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lastRenderedPageBreak/>
              <w:t>Artículo 4.- Requisitos previos.- Previo a la presentación de la solicitud de devolución del impuesto al valor agregado, los exportadores de bienes deberán cumplir con:</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a)</w:t>
            </w:r>
            <w:r w:rsidRPr="00440ADD">
              <w:rPr>
                <w:rFonts w:ascii="Arial" w:eastAsia="Times New Roman" w:hAnsi="Arial" w:cs="Arial"/>
                <w:color w:val="000080"/>
                <w:sz w:val="20"/>
                <w:szCs w:val="20"/>
                <w:lang w:eastAsia="es-ES"/>
              </w:rPr>
              <w:tab/>
              <w:t>Los requisitos previos generales a los mecanismos de devolución del I VA los cuales son:</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pStyle w:val="Prrafodelista"/>
              <w:numPr>
                <w:ilvl w:val="0"/>
                <w:numId w:val="3"/>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Cumplir con todas las formalidades aduaneras relacionadas al perfeccionamiento de la exportación definitiva.</w:t>
            </w:r>
          </w:p>
          <w:p w:rsidR="00440ADD" w:rsidRPr="00440ADD" w:rsidRDefault="00440ADD" w:rsidP="00440ADD">
            <w:pPr>
              <w:pStyle w:val="Prrafodelista"/>
              <w:numPr>
                <w:ilvl w:val="0"/>
                <w:numId w:val="3"/>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Encontrarse inscrito en el Registro Único de Contribuyentes (RUC) con estado activo, así como en los registros pertinentes que el Servicio de Rentas Internas cree para el efecto en relación a dicha actividad económica.</w:t>
            </w:r>
          </w:p>
          <w:p w:rsidR="00440ADD" w:rsidRPr="00440ADD" w:rsidRDefault="00440ADD" w:rsidP="00440ADD">
            <w:pPr>
              <w:pStyle w:val="Prrafodelista"/>
              <w:numPr>
                <w:ilvl w:val="0"/>
                <w:numId w:val="3"/>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Que el derecho a la devolución del I VA por el mes solicitado no se encuentre prescrito.</w:t>
            </w:r>
          </w:p>
          <w:p w:rsidR="00440ADD" w:rsidRPr="00440ADD" w:rsidRDefault="00440ADD" w:rsidP="00440ADD">
            <w:pPr>
              <w:pStyle w:val="Prrafodelista"/>
              <w:numPr>
                <w:ilvl w:val="0"/>
                <w:numId w:val="3"/>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 xml:space="preserve">Haber efectuado el correspondiente proceso de </w:t>
            </w:r>
            <w:proofErr w:type="spellStart"/>
            <w:r w:rsidRPr="00440ADD">
              <w:rPr>
                <w:rFonts w:ascii="Arial" w:eastAsia="Times New Roman" w:hAnsi="Arial" w:cs="Arial"/>
                <w:color w:val="000080"/>
                <w:sz w:val="20"/>
                <w:szCs w:val="20"/>
                <w:lang w:eastAsia="es-ES"/>
              </w:rPr>
              <w:t>prevalidación</w:t>
            </w:r>
            <w:proofErr w:type="spellEnd"/>
            <w:r w:rsidRPr="00440ADD">
              <w:rPr>
                <w:rFonts w:ascii="Arial" w:eastAsia="Times New Roman" w:hAnsi="Arial" w:cs="Arial"/>
                <w:color w:val="000080"/>
                <w:sz w:val="20"/>
                <w:szCs w:val="20"/>
                <w:lang w:eastAsia="es-ES"/>
              </w:rPr>
              <w:t>.</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b)</w:t>
            </w:r>
            <w:r w:rsidRPr="00440ADD">
              <w:rPr>
                <w:rFonts w:ascii="Arial" w:eastAsia="Times New Roman" w:hAnsi="Arial" w:cs="Arial"/>
                <w:color w:val="000080"/>
                <w:sz w:val="20"/>
                <w:szCs w:val="20"/>
                <w:lang w:eastAsia="es-ES"/>
              </w:rPr>
              <w:tab/>
              <w:t>Para la devolución provisional automática:</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pStyle w:val="Prrafodelista"/>
              <w:numPr>
                <w:ilvl w:val="0"/>
                <w:numId w:val="5"/>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Haber presentado la respectiva declaración del IVA.</w:t>
            </w:r>
          </w:p>
          <w:p w:rsidR="00440ADD" w:rsidRPr="00440ADD" w:rsidRDefault="00440ADD" w:rsidP="00440ADD">
            <w:pPr>
              <w:pStyle w:val="Prrafodelista"/>
              <w:numPr>
                <w:ilvl w:val="0"/>
                <w:numId w:val="5"/>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Haber presentado el anexo transaccional simplificado, correspondiente al periodo sobre el cual solicitará la devolución del IVA, de conformidad con la normativa tributaria vigente.</w:t>
            </w:r>
          </w:p>
          <w:p w:rsidR="00440ADD" w:rsidRPr="00440ADD" w:rsidRDefault="00440ADD" w:rsidP="00440ADD">
            <w:pPr>
              <w:pStyle w:val="Prrafodelista"/>
              <w:numPr>
                <w:ilvl w:val="0"/>
                <w:numId w:val="5"/>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Encontrarse registrado en el catastro del sistema de devoluciones de IVA.</w:t>
            </w:r>
          </w:p>
          <w:p w:rsidR="00440ADD" w:rsidRPr="00440ADD" w:rsidRDefault="00440ADD" w:rsidP="00440ADD">
            <w:pPr>
              <w:pStyle w:val="Prrafodelista"/>
              <w:numPr>
                <w:ilvl w:val="0"/>
                <w:numId w:val="5"/>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Suscribir por una sola vez el acuerdo sobre liquidación provisional de compensación con retenciones del I VA efectuadas y/o de devolución automática previa a la resolución de devolución de impuesto al valor agregado a exportadores de bienes.</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c)</w:t>
            </w:r>
            <w:r w:rsidRPr="00440ADD">
              <w:rPr>
                <w:rFonts w:ascii="Arial" w:eastAsia="Times New Roman" w:hAnsi="Arial" w:cs="Arial"/>
                <w:color w:val="000080"/>
                <w:sz w:val="20"/>
                <w:szCs w:val="20"/>
                <w:lang w:eastAsia="es-ES"/>
              </w:rPr>
              <w:tab/>
              <w:t>Para la devolución provisional mediante compensación a</w:t>
            </w:r>
            <w:r>
              <w:rPr>
                <w:rFonts w:ascii="Arial" w:eastAsia="Times New Roman" w:hAnsi="Arial" w:cs="Arial"/>
                <w:color w:val="000080"/>
                <w:sz w:val="20"/>
                <w:szCs w:val="20"/>
                <w:lang w:eastAsia="es-ES"/>
              </w:rPr>
              <w:t>utomática con retenciones del I</w:t>
            </w:r>
            <w:r w:rsidRPr="00440ADD">
              <w:rPr>
                <w:rFonts w:ascii="Arial" w:eastAsia="Times New Roman" w:hAnsi="Arial" w:cs="Arial"/>
                <w:color w:val="000080"/>
                <w:sz w:val="20"/>
                <w:szCs w:val="20"/>
                <w:lang w:eastAsia="es-ES"/>
              </w:rPr>
              <w:t>VA efectuadas:</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pStyle w:val="Prrafodelista"/>
              <w:numPr>
                <w:ilvl w:val="0"/>
                <w:numId w:val="7"/>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Ser exportadores habituales.</w:t>
            </w:r>
          </w:p>
          <w:p w:rsidR="00440ADD" w:rsidRPr="00440ADD" w:rsidRDefault="00440ADD" w:rsidP="00440ADD">
            <w:pPr>
              <w:pStyle w:val="Prrafodelista"/>
              <w:numPr>
                <w:ilvl w:val="0"/>
                <w:numId w:val="7"/>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Encontrarse obligados a llevar contabilidad.</w:t>
            </w:r>
          </w:p>
          <w:p w:rsidR="00440ADD" w:rsidRPr="00440ADD" w:rsidRDefault="00440ADD" w:rsidP="00440ADD">
            <w:pPr>
              <w:pStyle w:val="Prrafodelista"/>
              <w:numPr>
                <w:ilvl w:val="0"/>
                <w:numId w:val="7"/>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Encontrarse registrado en el catastro del sistema de devoluciones de IVA.</w:t>
            </w:r>
          </w:p>
          <w:p w:rsidR="00440ADD" w:rsidRPr="00440ADD" w:rsidRDefault="00440ADD" w:rsidP="00440ADD">
            <w:pPr>
              <w:pStyle w:val="Prrafodelista"/>
              <w:numPr>
                <w:ilvl w:val="0"/>
                <w:numId w:val="7"/>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Suscribir por una sola vez el acuerdo sobre liquidación provisional de compensación con retenciones del IVA efectuadas y/o de devolución automática previa a la resolución de devolución de impuesto al valor agregado a exportadores de bienes.</w:t>
            </w:r>
          </w:p>
          <w:p w:rsidR="00440ADD" w:rsidRPr="00440ADD" w:rsidRDefault="00440ADD" w:rsidP="00440ADD">
            <w:pPr>
              <w:pStyle w:val="Prrafodelista"/>
              <w:numPr>
                <w:ilvl w:val="0"/>
                <w:numId w:val="7"/>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Haber presentado el anexo transaccional simplificado del periodo fiscal por el que se realiza la solicitud, al mes siguiente conforme los plazos establecidos para el ingreso al módulo de compensación.</w:t>
            </w:r>
          </w:p>
          <w:p w:rsidR="00440ADD" w:rsidRPr="00440ADD" w:rsidRDefault="00440ADD" w:rsidP="00440ADD">
            <w:pPr>
              <w:pStyle w:val="Prrafodelista"/>
              <w:numPr>
                <w:ilvl w:val="0"/>
                <w:numId w:val="7"/>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Cargar la declaración del I VA y la respectiva solicitud por medio del sistema de devoluciones de IVA por internet a exportadores, módulo de compensación automática, con por lo menos 48 horas de antelación a la fecha máxima de vencimiento de la declaración de acuerdo al noveno dígito del RUC. En caso que no se cumpla con dicho plazo, el exportador de bienes podrá presentar su declaración a través de servicios en línea en la opción declaración de impuestos y solicitar la devolución del IVA por medio del mecanismo que corresponda, distinto al señalado en la presente letra.</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d)   Para la devolución excepcional:</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pStyle w:val="Prrafodelista"/>
              <w:numPr>
                <w:ilvl w:val="0"/>
                <w:numId w:val="9"/>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Haber presentado la respectiva declaración del IVA.</w:t>
            </w:r>
          </w:p>
          <w:p w:rsidR="00440ADD" w:rsidRPr="00440ADD" w:rsidRDefault="00440ADD" w:rsidP="00440ADD">
            <w:pPr>
              <w:pStyle w:val="Prrafodelista"/>
              <w:numPr>
                <w:ilvl w:val="0"/>
                <w:numId w:val="9"/>
              </w:numPr>
              <w:spacing w:after="0"/>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Haber presentado el anexo transaccional simplificado, correspondiente al periodo sobre el cual solicitará la devolución del IVA, de conformidad con la normativa tributaria vigente.</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P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 xml:space="preserve">Artículo 5.- Registro en el catastro del sistema.- El exportador de bienes que presente sus solicitudes de devolución del IVA, excepto en el caso en que el mismo utilice el mecanismo de devolución excepcional de conformidad con el presente acto normativo, deberá registrarse en las oficinas del Servicio de Rentas Internas, con estado activo en el catastro del sistema de devoluciones del I VA por internet, y entregando el acuerdo sobre liquidación provisional de compensación con retenciones del I VA efectuadas y/o de devolución </w:t>
            </w:r>
            <w:r w:rsidRPr="00440ADD">
              <w:rPr>
                <w:rFonts w:ascii="Arial" w:eastAsia="Times New Roman" w:hAnsi="Arial" w:cs="Arial"/>
                <w:color w:val="000080"/>
                <w:sz w:val="20"/>
                <w:szCs w:val="20"/>
                <w:lang w:eastAsia="es-ES"/>
              </w:rPr>
              <w:lastRenderedPageBreak/>
              <w:t>automática. Los requisitos y formatos para el registro se publicarán en la página www.sri.gob.ec.</w:t>
            </w:r>
          </w:p>
          <w:p w:rsidR="00440ADD" w:rsidRDefault="00440ADD" w:rsidP="00440ADD">
            <w:pPr>
              <w:spacing w:after="0"/>
              <w:ind w:left="738"/>
              <w:jc w:val="both"/>
              <w:rPr>
                <w:rFonts w:ascii="Arial" w:eastAsia="Times New Roman" w:hAnsi="Arial" w:cs="Arial"/>
                <w:color w:val="000080"/>
                <w:sz w:val="20"/>
                <w:szCs w:val="20"/>
                <w:lang w:eastAsia="es-ES"/>
              </w:rPr>
            </w:pPr>
          </w:p>
          <w:p w:rsidR="00440ADD" w:rsidRDefault="00440ADD" w:rsidP="00440ADD">
            <w:pPr>
              <w:spacing w:after="0"/>
              <w:ind w:left="738"/>
              <w:jc w:val="both"/>
              <w:rPr>
                <w:rFonts w:ascii="Arial" w:eastAsia="Times New Roman" w:hAnsi="Arial" w:cs="Arial"/>
                <w:color w:val="000080"/>
                <w:sz w:val="20"/>
                <w:szCs w:val="20"/>
                <w:lang w:eastAsia="es-ES"/>
              </w:rPr>
            </w:pPr>
            <w:r w:rsidRPr="00440ADD">
              <w:rPr>
                <w:rFonts w:ascii="Arial" w:eastAsia="Times New Roman" w:hAnsi="Arial" w:cs="Arial"/>
                <w:color w:val="000080"/>
                <w:sz w:val="20"/>
                <w:szCs w:val="20"/>
                <w:lang w:eastAsia="es-ES"/>
              </w:rPr>
              <w:t>La información consignada en el catastro del sistema deberá ser actualizada siempre que el exportador de bienes realice alguna modificación en los datos registrados en el mismo. El cumplimiento del registro será notificado al sujeto pasivo por cualquiera de los medios que permita la normativa tributaria.</w:t>
            </w:r>
          </w:p>
          <w:p w:rsidR="00440ADD" w:rsidRDefault="00440ADD" w:rsidP="00440ADD">
            <w:pPr>
              <w:spacing w:after="0"/>
              <w:jc w:val="both"/>
              <w:rPr>
                <w:rFonts w:ascii="Arial" w:eastAsia="Times New Roman" w:hAnsi="Arial" w:cs="Arial"/>
                <w:color w:val="000080"/>
                <w:sz w:val="20"/>
                <w:szCs w:val="20"/>
                <w:lang w:eastAsia="es-ES"/>
              </w:rPr>
            </w:pPr>
          </w:p>
          <w:p w:rsidR="00440ADD" w:rsidRPr="00440ADD" w:rsidRDefault="00440ADD" w:rsidP="00440ADD">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D47940" w:rsidRPr="00610B20" w:rsidRDefault="00D47940" w:rsidP="002B108A">
            <w:pPr>
              <w:spacing w:after="0"/>
              <w:ind w:left="738"/>
              <w:jc w:val="both"/>
              <w:rPr>
                <w:rFonts w:ascii="Arial" w:eastAsia="Times New Roman" w:hAnsi="Arial" w:cs="Arial"/>
                <w:b/>
                <w:color w:val="000080"/>
                <w:sz w:val="20"/>
                <w:szCs w:val="20"/>
                <w:lang w:eastAsia="es-ES"/>
              </w:rPr>
            </w:pPr>
          </w:p>
        </w:tc>
      </w:tr>
      <w:tr w:rsidR="00D47940" w:rsidRPr="00610B20" w:rsidTr="002B108A">
        <w:trPr>
          <w:trHeight w:val="1380"/>
        </w:trPr>
        <w:tc>
          <w:tcPr>
            <w:tcW w:w="9257" w:type="dxa"/>
            <w:shd w:val="clear" w:color="auto" w:fill="DDFFFF"/>
          </w:tcPr>
          <w:p w:rsidR="00D47940" w:rsidRPr="00610B20" w:rsidRDefault="00D47940" w:rsidP="002B108A">
            <w:pPr>
              <w:spacing w:after="0"/>
              <w:jc w:val="left"/>
              <w:rPr>
                <w:rFonts w:ascii="Times New Roman" w:eastAsia="Times New Roman" w:hAnsi="Times New Roman" w:cs="Times New Roman"/>
                <w:sz w:val="24"/>
                <w:szCs w:val="24"/>
                <w:lang w:eastAsia="es-ES"/>
              </w:rPr>
            </w:pPr>
          </w:p>
          <w:p w:rsidR="00D47940" w:rsidRDefault="002D0D70" w:rsidP="002B108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NORMA</w:t>
            </w:r>
            <w:r w:rsidRPr="002D0D70">
              <w:rPr>
                <w:rFonts w:ascii="Arial" w:eastAsia="Times New Roman" w:hAnsi="Arial" w:cs="Arial"/>
                <w:b/>
                <w:color w:val="000080"/>
                <w:sz w:val="20"/>
                <w:szCs w:val="20"/>
                <w:lang w:val="es-ES_tradnl" w:eastAsia="es-ES"/>
              </w:rPr>
              <w:t xml:space="preserve"> LOS PAGOS DE OBLIGACIONES TRIBUTARIAS A TRAVÉS DE DINERO ELECTRÓNICO </w:t>
            </w:r>
          </w:p>
          <w:p w:rsidR="002D0D70" w:rsidRPr="00610B20" w:rsidRDefault="002D0D70" w:rsidP="002B108A">
            <w:pPr>
              <w:spacing w:after="0"/>
              <w:rPr>
                <w:rFonts w:ascii="Arial" w:eastAsia="Times New Roman" w:hAnsi="Arial" w:cs="Arial"/>
                <w:b/>
                <w:color w:val="000080"/>
                <w:sz w:val="20"/>
                <w:szCs w:val="20"/>
                <w:lang w:val="es-ES_tradnl" w:eastAsia="es-ES"/>
              </w:rPr>
            </w:pPr>
          </w:p>
          <w:p w:rsidR="00D47940" w:rsidRPr="00610B20" w:rsidRDefault="00D47940"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w:t>
            </w:r>
            <w:r w:rsidR="002D0D70">
              <w:rPr>
                <w:rFonts w:ascii="Arial" w:eastAsia="Times New Roman" w:hAnsi="Arial" w:cs="Arial"/>
                <w:color w:val="000080"/>
                <w:sz w:val="20"/>
                <w:szCs w:val="20"/>
                <w:lang w:eastAsia="es-ES"/>
              </w:rPr>
              <w:t>del SRI 0734</w:t>
            </w:r>
            <w:r w:rsidRPr="00610B20">
              <w:rPr>
                <w:rFonts w:ascii="Arial" w:eastAsia="Times New Roman" w:hAnsi="Arial" w:cs="Arial"/>
                <w:color w:val="000080"/>
                <w:sz w:val="20"/>
                <w:szCs w:val="20"/>
                <w:lang w:eastAsia="es-ES"/>
              </w:rPr>
              <w:t xml:space="preserve">, publicada en el </w:t>
            </w:r>
            <w:r w:rsidR="002D0D70">
              <w:rPr>
                <w:rFonts w:ascii="Arial" w:eastAsia="Times New Roman" w:hAnsi="Arial" w:cs="Arial"/>
                <w:color w:val="000080"/>
                <w:sz w:val="20"/>
                <w:szCs w:val="20"/>
                <w:lang w:eastAsia="es-ES"/>
              </w:rPr>
              <w:t xml:space="preserve">Tercer Suplemento del </w:t>
            </w:r>
            <w:r w:rsidRPr="00610B20">
              <w:rPr>
                <w:rFonts w:ascii="Arial" w:eastAsia="Times New Roman" w:hAnsi="Arial" w:cs="Arial"/>
                <w:color w:val="000080"/>
                <w:sz w:val="20"/>
                <w:szCs w:val="20"/>
                <w:lang w:eastAsia="es-ES"/>
              </w:rPr>
              <w:t xml:space="preserve">Registro Oficial </w:t>
            </w:r>
            <w:r w:rsidR="002D0D70">
              <w:rPr>
                <w:rFonts w:ascii="Arial" w:eastAsia="Times New Roman" w:hAnsi="Arial" w:cs="Arial"/>
                <w:color w:val="000080"/>
                <w:sz w:val="20"/>
                <w:szCs w:val="20"/>
                <w:lang w:eastAsia="es-ES"/>
              </w:rPr>
              <w:t>604 de 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D47940" w:rsidRDefault="00D47940"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2D0D70" w:rsidRDefault="002B108A" w:rsidP="002B108A">
            <w:pPr>
              <w:spacing w:after="0"/>
              <w:jc w:val="both"/>
              <w:rPr>
                <w:rFonts w:ascii="Arial" w:eastAsia="Times New Roman" w:hAnsi="Arial" w:cs="Arial"/>
                <w:b/>
                <w:color w:val="000080"/>
                <w:sz w:val="20"/>
                <w:szCs w:val="20"/>
                <w:lang w:eastAsia="es-ES"/>
              </w:rPr>
            </w:pPr>
            <w:hyperlink r:id="rId12"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Artículo 1. Ámbito y Objeto de aplicación.- La presente resolución es aplicable al pago de impuestos administrados por el Servicio de Rentas Internas que se efectúen por los sujetos pasivos, facultados a cancelar sus obligaciones tributarias mediante el uso de dinero electrónico.</w:t>
            </w: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Artículo 2. Uso facultativo de dinero electrónico.- El uso de dinero electrónico para el pago de las obligaciones tributarias es facultativo para los sujetos pasivos señalados en el artículo 1 de esta resolución, por lo que podrán cancelar sus obligaciones tributarias mediante cualquiera de los mecanismos de pago legalmente establecidos, salvo lo dispuesto en otras resoluciones en las que se contemplen formas ya predeterminadas y exclusivas de realizar el pago de obligaciones tributarias.</w:t>
            </w: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Artículo 3. Procedimiento.- Los sujetos pasivos que deseen pagar sus obligaciones tributarias con dinero electrónico deberán abrir sus cuentas de dinero electrónico en el Banco Central del Ecuador, a través de su celular móvil marcando el *153#, de conformidad con lo dispuesto por la Junta de Política y Regulación Monetaria y Financiera.</w:t>
            </w: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Una vez registradas las cuentas en el Banco Central del Ecuador, los contribuyentes podrán ingresar a la página web institucional www.sri.gob.ec, en la opción pago con dinero electrónico y seleccionar la obligación tributaria a cancelar, para el efecto deberán disponer de fondos suficientes en la cuenta de dinero electrónico.</w:t>
            </w: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 xml:space="preserve"> </w:t>
            </w: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Artículo 4. Pagos.- Los pagos que no cubran la totalidad de la obligación tributaria a través de la modalidad de cuenta de dinero electrónico y no exista un pago por cualquier otro mecanismo hasta la fecha de vencimiento se registrarán en el Sistema Nacional de Gestión de Cobro como deuda tributaria, procediéndose a su cobro coactivo conforme lo dispuesto en la ley.</w:t>
            </w: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Para efecto de esta disposición, las obligaciones tributarias que se encuentren vencidas podrán cancelarse a través del pago con dinero electrónico u otro medio de pago, siempre y cuando se declare la obligación mediante el formulario múltiple de pagos 106; dicho procedimiento no aplicará para los casos de RISE y Matriculación Vehicular, los cuales se sujetarán al procedimiento establecido.</w:t>
            </w:r>
          </w:p>
          <w:p w:rsidR="002D0D70" w:rsidRP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Artículo 5. Sanciones.- Si la declaración no se presentare en las fechas previstas en la normativa tributaria, se sancionará a los respectivos sujetos pasivos por las infracciones que ello implicare, de conformidad con las disposiciones legales vigentes.</w:t>
            </w:r>
          </w:p>
          <w:p w:rsidR="002D0D70" w:rsidRDefault="002D0D70" w:rsidP="002D0D70">
            <w:pPr>
              <w:spacing w:after="0"/>
              <w:ind w:left="738"/>
              <w:jc w:val="both"/>
              <w:rPr>
                <w:rFonts w:ascii="Arial" w:eastAsia="Times New Roman" w:hAnsi="Arial" w:cs="Arial"/>
                <w:color w:val="000080"/>
                <w:sz w:val="20"/>
                <w:szCs w:val="20"/>
                <w:lang w:eastAsia="es-ES"/>
              </w:rPr>
            </w:pPr>
            <w:r w:rsidRPr="002D0D70">
              <w:rPr>
                <w:rFonts w:ascii="Arial" w:eastAsia="Times New Roman" w:hAnsi="Arial" w:cs="Arial"/>
                <w:color w:val="000080"/>
                <w:sz w:val="20"/>
                <w:szCs w:val="20"/>
                <w:lang w:eastAsia="es-ES"/>
              </w:rPr>
              <w:t>DISPOSICIÓN TRANSITORIA ÚNICA.- Para la adecuada aplicación del presente acto normativo, el procedimiento de declaración y pago a través de Dinero Electrónico se implementará, con respecto a los sujetos pasivos señalados en el artículo 1, considerando el siguiente calendario:</w:t>
            </w:r>
          </w:p>
          <w:p w:rsidR="002D0D70" w:rsidRDefault="002D0D70" w:rsidP="002D0D70">
            <w:pPr>
              <w:spacing w:after="0"/>
              <w:ind w:left="738"/>
              <w:jc w:val="both"/>
              <w:rPr>
                <w:rFonts w:ascii="Arial" w:eastAsia="Times New Roman" w:hAnsi="Arial" w:cs="Arial"/>
                <w:color w:val="000080"/>
                <w:sz w:val="20"/>
                <w:szCs w:val="20"/>
                <w:lang w:eastAsia="es-ES"/>
              </w:rPr>
            </w:pPr>
          </w:p>
          <w:tbl>
            <w:tblPr>
              <w:tblW w:w="0" w:type="auto"/>
              <w:tblInd w:w="1722" w:type="dxa"/>
              <w:tblCellMar>
                <w:left w:w="40" w:type="dxa"/>
                <w:right w:w="40" w:type="dxa"/>
              </w:tblCellMar>
              <w:tblLook w:val="04A0" w:firstRow="1" w:lastRow="0" w:firstColumn="1" w:lastColumn="0" w:noHBand="0" w:noVBand="1"/>
            </w:tblPr>
            <w:tblGrid>
              <w:gridCol w:w="3544"/>
              <w:gridCol w:w="2977"/>
            </w:tblGrid>
            <w:tr w:rsidR="002D0D70" w:rsidTr="002D0D70">
              <w:trPr>
                <w:trHeight w:hRule="exact" w:val="874"/>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ind w:left="552"/>
                    <w:rPr>
                      <w:sz w:val="16"/>
                      <w:szCs w:val="16"/>
                    </w:rPr>
                  </w:pPr>
                  <w:r>
                    <w:rPr>
                      <w:b/>
                      <w:bCs/>
                      <w:sz w:val="16"/>
                      <w:szCs w:val="16"/>
                      <w:lang w:val="es-ES_tradnl"/>
                    </w:rPr>
                    <w:t>PRODUCTO</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rPr>
                      <w:sz w:val="16"/>
                      <w:szCs w:val="16"/>
                    </w:rPr>
                  </w:pPr>
                  <w:r>
                    <w:rPr>
                      <w:b/>
                      <w:bCs/>
                      <w:sz w:val="16"/>
                      <w:szCs w:val="16"/>
                      <w:lang w:val="es-ES_tradnl"/>
                    </w:rPr>
                    <w:t>A partir de</w:t>
                  </w:r>
                </w:p>
              </w:tc>
            </w:tr>
            <w:tr w:rsidR="002D0D70" w:rsidTr="002D0D70">
              <w:trPr>
                <w:trHeight w:hRule="exact" w:val="350"/>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ind w:left="869"/>
                    <w:rPr>
                      <w:sz w:val="16"/>
                      <w:szCs w:val="16"/>
                    </w:rPr>
                  </w:pPr>
                  <w:r>
                    <w:rPr>
                      <w:sz w:val="16"/>
                      <w:szCs w:val="16"/>
                      <w:lang w:val="es-ES_tradnl"/>
                    </w:rPr>
                    <w:lastRenderedPageBreak/>
                    <w:t>RISE</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rPr>
                      <w:sz w:val="16"/>
                      <w:szCs w:val="16"/>
                    </w:rPr>
                  </w:pPr>
                  <w:r>
                    <w:rPr>
                      <w:sz w:val="16"/>
                      <w:szCs w:val="16"/>
                      <w:lang w:val="es-ES_tradnl"/>
                    </w:rPr>
                    <w:t>Octubre 2015</w:t>
                  </w:r>
                </w:p>
              </w:tc>
            </w:tr>
            <w:tr w:rsidR="002D0D70" w:rsidTr="002D0D70">
              <w:trPr>
                <w:trHeight w:hRule="exact" w:val="355"/>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ind w:left="557"/>
                    <w:rPr>
                      <w:sz w:val="16"/>
                      <w:szCs w:val="16"/>
                    </w:rPr>
                  </w:pPr>
                  <w:r>
                    <w:rPr>
                      <w:sz w:val="16"/>
                      <w:szCs w:val="16"/>
                      <w:lang w:val="es-ES_tradnl"/>
                    </w:rPr>
                    <w:t>Declaraciones</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rPr>
                      <w:sz w:val="16"/>
                      <w:szCs w:val="16"/>
                    </w:rPr>
                  </w:pPr>
                  <w:r>
                    <w:rPr>
                      <w:sz w:val="16"/>
                      <w:szCs w:val="16"/>
                      <w:lang w:val="es-ES_tradnl"/>
                    </w:rPr>
                    <w:t>Diciembre 2015</w:t>
                  </w:r>
                </w:p>
              </w:tc>
            </w:tr>
            <w:tr w:rsidR="002D0D70" w:rsidTr="002D0D70">
              <w:trPr>
                <w:trHeight w:hRule="exact" w:val="360"/>
              </w:trPr>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ind w:left="197"/>
                    <w:rPr>
                      <w:sz w:val="16"/>
                      <w:szCs w:val="16"/>
                    </w:rPr>
                  </w:pPr>
                  <w:r>
                    <w:rPr>
                      <w:spacing w:val="-6"/>
                      <w:sz w:val="16"/>
                      <w:szCs w:val="16"/>
                      <w:lang w:val="es-ES_tradnl"/>
                    </w:rPr>
                    <w:t>Matriculaci</w:t>
                  </w:r>
                  <w:r>
                    <w:rPr>
                      <w:rFonts w:cs="Times New Roman"/>
                      <w:spacing w:val="-6"/>
                      <w:sz w:val="16"/>
                      <w:szCs w:val="16"/>
                      <w:lang w:val="es-ES_tradnl"/>
                    </w:rPr>
                    <w:t>ó</w:t>
                  </w:r>
                  <w:r>
                    <w:rPr>
                      <w:spacing w:val="-6"/>
                      <w:sz w:val="16"/>
                      <w:szCs w:val="16"/>
                      <w:lang w:val="es-ES_tradnl"/>
                    </w:rPr>
                    <w:t>n Vehicular</w:t>
                  </w:r>
                </w:p>
              </w:tc>
              <w:tc>
                <w:tcPr>
                  <w:tcW w:w="2977" w:type="dxa"/>
                  <w:tcBorders>
                    <w:top w:val="single" w:sz="6" w:space="0" w:color="auto"/>
                    <w:left w:val="single" w:sz="6" w:space="0" w:color="auto"/>
                    <w:bottom w:val="single" w:sz="6" w:space="0" w:color="auto"/>
                    <w:right w:val="single" w:sz="6" w:space="0" w:color="auto"/>
                  </w:tcBorders>
                  <w:shd w:val="clear" w:color="auto" w:fill="FFFFFF"/>
                  <w:hideMark/>
                </w:tcPr>
                <w:p w:rsidR="002D0D70" w:rsidRDefault="002D0D70" w:rsidP="002D0D70">
                  <w:pPr>
                    <w:shd w:val="clear" w:color="auto" w:fill="FFFFFF"/>
                    <w:rPr>
                      <w:sz w:val="16"/>
                      <w:szCs w:val="16"/>
                    </w:rPr>
                  </w:pPr>
                  <w:r>
                    <w:rPr>
                      <w:sz w:val="16"/>
                      <w:szCs w:val="16"/>
                      <w:lang w:val="es-ES_tradnl"/>
                    </w:rPr>
                    <w:t>Marzo 2016</w:t>
                  </w:r>
                </w:p>
              </w:tc>
            </w:tr>
          </w:tbl>
          <w:p w:rsidR="002D0D70" w:rsidRDefault="002D0D70" w:rsidP="002D0D70">
            <w:pPr>
              <w:spacing w:after="0"/>
              <w:ind w:left="738"/>
              <w:rPr>
                <w:rFonts w:ascii="Arial" w:eastAsia="Times New Roman" w:hAnsi="Arial" w:cs="Arial"/>
                <w:color w:val="000080"/>
                <w:sz w:val="20"/>
                <w:szCs w:val="20"/>
                <w:lang w:eastAsia="es-ES"/>
              </w:rPr>
            </w:pPr>
          </w:p>
          <w:p w:rsidR="00D47940" w:rsidRPr="00F349C9" w:rsidRDefault="002D0D70" w:rsidP="002D0D70">
            <w:pPr>
              <w:spacing w:after="0"/>
              <w:ind w:left="880"/>
              <w:jc w:val="both"/>
              <w:rPr>
                <w:rFonts w:ascii="Arial" w:eastAsia="Times New Roman" w:hAnsi="Arial" w:cs="Arial"/>
                <w:color w:val="002060"/>
                <w:sz w:val="20"/>
                <w:szCs w:val="20"/>
                <w:lang w:eastAsia="es-ES"/>
              </w:rPr>
            </w:pPr>
            <w:r w:rsidRPr="00F349C9">
              <w:rPr>
                <w:rFonts w:ascii="Arial" w:eastAsia="Times New Roman" w:hAnsi="Arial" w:cs="Arial"/>
                <w:color w:val="002060"/>
                <w:sz w:val="20"/>
                <w:szCs w:val="20"/>
                <w:lang w:eastAsia="es-ES"/>
              </w:rPr>
              <w:t>DISPOSICIÓN FINAL ÚNICA.- La presente resolución entrará en vigencia a partir del día siguiente al de su publicación en el Registro Oficial.</w:t>
            </w:r>
          </w:p>
          <w:p w:rsidR="002D0D70" w:rsidRDefault="002D0D70" w:rsidP="002B108A">
            <w:pPr>
              <w:spacing w:after="0"/>
              <w:jc w:val="both"/>
              <w:rPr>
                <w:rFonts w:ascii="Times New Roman" w:eastAsia="Times New Roman" w:hAnsi="Times New Roman" w:cs="Times New Roman"/>
                <w:sz w:val="24"/>
                <w:szCs w:val="24"/>
                <w:lang w:eastAsia="es-ES"/>
              </w:rPr>
            </w:pPr>
          </w:p>
          <w:p w:rsidR="002D0D70" w:rsidRDefault="002D0D70" w:rsidP="002B108A">
            <w:pPr>
              <w:spacing w:after="0"/>
              <w:jc w:val="both"/>
              <w:rPr>
                <w:rFonts w:ascii="Times New Roman" w:eastAsia="Times New Roman" w:hAnsi="Times New Roman" w:cs="Times New Roman"/>
                <w:sz w:val="24"/>
                <w:szCs w:val="24"/>
                <w:lang w:eastAsia="es-ES"/>
              </w:rPr>
            </w:pPr>
          </w:p>
          <w:p w:rsidR="002D0D70" w:rsidRDefault="002D0D70" w:rsidP="002B108A">
            <w:pPr>
              <w:spacing w:after="0"/>
              <w:jc w:val="both"/>
              <w:rPr>
                <w:rFonts w:ascii="Times New Roman" w:eastAsia="Times New Roman" w:hAnsi="Times New Roman" w:cs="Times New Roman"/>
                <w:sz w:val="24"/>
                <w:szCs w:val="24"/>
                <w:lang w:eastAsia="es-ES"/>
              </w:rPr>
            </w:pPr>
          </w:p>
          <w:p w:rsidR="002D0D70" w:rsidRPr="00610B20" w:rsidRDefault="002D0D70" w:rsidP="002B108A">
            <w:pPr>
              <w:spacing w:after="0"/>
              <w:jc w:val="both"/>
              <w:rPr>
                <w:rFonts w:ascii="Times New Roman" w:eastAsia="Times New Roman" w:hAnsi="Times New Roman" w:cs="Times New Roman"/>
                <w:sz w:val="24"/>
                <w:szCs w:val="24"/>
                <w:lang w:eastAsia="es-ES"/>
              </w:rPr>
            </w:pPr>
          </w:p>
        </w:tc>
      </w:tr>
    </w:tbl>
    <w:p w:rsidR="007620F4" w:rsidRDefault="00C674B1" w:rsidP="007620F4">
      <w:pPr>
        <w:jc w:val="both"/>
      </w:pPr>
      <w:r w:rsidRPr="00610B20">
        <w:rPr>
          <w:noProof/>
          <w:lang w:eastAsia="es-EC"/>
        </w:rPr>
        <w:lastRenderedPageBreak/>
        <mc:AlternateContent>
          <mc:Choice Requires="wps">
            <w:drawing>
              <wp:anchor distT="0" distB="0" distL="114300" distR="114300" simplePos="0" relativeHeight="251669504" behindDoc="0" locked="0" layoutInCell="1" allowOverlap="1" wp14:anchorId="1F03B813" wp14:editId="6CB97AC7">
                <wp:simplePos x="0" y="0"/>
                <wp:positionH relativeFrom="margin">
                  <wp:align>left</wp:align>
                </wp:positionH>
                <wp:positionV relativeFrom="paragraph">
                  <wp:posOffset>273912</wp:posOffset>
                </wp:positionV>
                <wp:extent cx="1487606" cy="228600"/>
                <wp:effectExtent l="0" t="0" r="1778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606" cy="228600"/>
                        </a:xfrm>
                        <a:prstGeom prst="rect">
                          <a:avLst/>
                        </a:prstGeom>
                        <a:solidFill>
                          <a:srgbClr val="000080"/>
                        </a:solidFill>
                        <a:ln w="9525">
                          <a:solidFill>
                            <a:srgbClr val="000080"/>
                          </a:solidFill>
                          <a:miter lim="800000"/>
                          <a:headEnd/>
                          <a:tailEnd/>
                        </a:ln>
                      </wps:spPr>
                      <wps:txbx>
                        <w:txbxContent>
                          <w:p w:rsidR="002B108A" w:rsidRPr="00567E83" w:rsidRDefault="002B108A" w:rsidP="00C674B1">
                            <w:pPr>
                              <w:jc w:val="both"/>
                              <w:rPr>
                                <w:rFonts w:ascii="Arial" w:hAnsi="Arial" w:cs="Arial"/>
                                <w:b/>
                                <w:color w:val="FFFFFF"/>
                                <w:sz w:val="20"/>
                                <w:szCs w:val="20"/>
                              </w:rPr>
                            </w:pPr>
                            <w:r>
                              <w:rPr>
                                <w:rFonts w:ascii="Arial" w:hAnsi="Arial" w:cs="Arial"/>
                                <w:b/>
                                <w:color w:val="FFFFFF"/>
                                <w:sz w:val="20"/>
                                <w:szCs w:val="20"/>
                              </w:rPr>
                              <w:t>Jueves 15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3B813" id="Cuadro de texto 5" o:spid="_x0000_s1031" type="#_x0000_t202" style="position:absolute;left:0;text-align:left;margin-left:0;margin-top:21.55pt;width:117.15pt;height:18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xIHLQIAAF4EAAAOAAAAZHJzL2Uyb0RvYy54bWysVNtu2zAMfR+wfxD0vjgJkjQ16hRdug4D&#10;ugvQ7QMUSY6FyaJGKbG7rx8lO1m2vRXLgyCG1CF5Dumb27617KgxGHAVn02mnGknQRm3r/i3rw9v&#10;1pyFKJwSFpyu+LMO/Hbz+tVN50s9hwas0sgIxIWy8xVvYvRlUQTZ6FaECXjtyFkDtiKSiftCoegI&#10;vbXFfDpdFR2g8ghSh0D/3g9Ovsn4da1l/FzXQUdmK061xXxiPnfpLDY3otyj8I2RYxniBVW0wjhK&#10;eoa6F1GwA5p/oFojEQLUcSKhLaCujdS5B+pmNv2rm6dGeJ17IXKCP9MU/h+s/HT8gsyoii85c6Il&#10;ibYHoRCY0izqPgJbJpI6H0qKffIUHfu30JPYueHgH0F+D8zBthFur+8QoWu0UFTkLL0sLp4OOCGB&#10;7LqPoCibOETIQH2NbWKQOGGETmI9nwWiOphMKRfrq9V0xZkk33y+Xk2zgoUoT689hvheQ8vSpeJI&#10;A5DRxfExxFSNKE8hKVkAa9SDsTYbuN9tLbKjSMNCv/UJ/Y8w61hX8evlfDkQ8AKI1kSaemvaiq9T&#10;onEOE23vnMozGYWxw51Ktm7kMVE3kBj7XT/qNsqzA/VMxCIMQ05LSZcG8CdnHQ14xcOPg0DNmf3g&#10;SJzr2WKRNiIbi+XVnAy89OwuPcJJgqp45Gy4buOwRQePZt9QpmEcHNyRoLXJXCflh6rG8mmIswTj&#10;wqUtubRz1O/PwuYXAAAA//8DAFBLAwQUAAYACAAAACEAaCrMKd0AAAAGAQAADwAAAGRycy9kb3du&#10;cmV2LnhtbEyPy07DMBBF90j8gzVI7KiTuuIR4lSI14IdJVRl58bTJGo8jmI3CX/PsILl6F6deyZf&#10;z64TIw6h9aQhXSQgkCpvW6o1lB8vV7cgQjRkTecJNXxjgHVxfpabzPqJ3nHcxFowhEJmNDQx9pmU&#10;oWrQmbDwPRJnBz84E/kcamkHMzHcdXKZJNfSmZZ4oTE9PjZYHTcnx5Stets+1eNh9zqpL1c+H3fJ&#10;Z6n15cX8cA8i4hz/yvCrz+pQsNPen8gG0WngR6KGlUpBcLpUKwVir+HmLgVZ5PK/fvEDAAD//wMA&#10;UEsBAi0AFAAGAAgAAAAhALaDOJL+AAAA4QEAABMAAAAAAAAAAAAAAAAAAAAAAFtDb250ZW50X1R5&#10;cGVzXS54bWxQSwECLQAUAAYACAAAACEAOP0h/9YAAACUAQAACwAAAAAAAAAAAAAAAAAvAQAAX3Jl&#10;bHMvLnJlbHNQSwECLQAUAAYACAAAACEAJlcSBy0CAABeBAAADgAAAAAAAAAAAAAAAAAuAgAAZHJz&#10;L2Uyb0RvYy54bWxQSwECLQAUAAYACAAAACEAaCrMKd0AAAAGAQAADwAAAAAAAAAAAAAAAACHBAAA&#10;ZHJzL2Rvd25yZXYueG1sUEsFBgAAAAAEAAQA8wAAAJEFAAAAAA==&#10;" fillcolor="navy" strokecolor="navy">
                <v:textbox>
                  <w:txbxContent>
                    <w:p w:rsidR="00C674B1" w:rsidRPr="00567E83" w:rsidRDefault="00C674B1" w:rsidP="00C674B1">
                      <w:pPr>
                        <w:jc w:val="both"/>
                        <w:rPr>
                          <w:rFonts w:ascii="Arial" w:hAnsi="Arial" w:cs="Arial"/>
                          <w:b/>
                          <w:color w:val="FFFFFF"/>
                          <w:sz w:val="20"/>
                          <w:szCs w:val="20"/>
                        </w:rPr>
                      </w:pPr>
                      <w:r>
                        <w:rPr>
                          <w:rFonts w:ascii="Arial" w:hAnsi="Arial" w:cs="Arial"/>
                          <w:b/>
                          <w:color w:val="FFFFFF"/>
                          <w:sz w:val="20"/>
                          <w:szCs w:val="20"/>
                        </w:rPr>
                        <w:t>Jueves 15 de Octubre</w:t>
                      </w:r>
                    </w:p>
                  </w:txbxContent>
                </v:textbox>
                <w10:wrap anchorx="margin"/>
              </v:shape>
            </w:pict>
          </mc:Fallback>
        </mc:AlternateContent>
      </w:r>
    </w:p>
    <w:p w:rsidR="00C674B1" w:rsidRDefault="00C674B1" w:rsidP="007620F4">
      <w:pPr>
        <w:jc w:val="both"/>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6"/>
      </w:tblGrid>
      <w:tr w:rsidR="00C674B1" w:rsidRPr="00610B20" w:rsidTr="00B0720F">
        <w:trPr>
          <w:trHeight w:val="1380"/>
        </w:trPr>
        <w:tc>
          <w:tcPr>
            <w:tcW w:w="9636" w:type="dxa"/>
            <w:shd w:val="clear" w:color="auto" w:fill="E6F1DF"/>
          </w:tcPr>
          <w:p w:rsidR="00C674B1" w:rsidRPr="00610B20" w:rsidRDefault="00C674B1" w:rsidP="002B108A">
            <w:pPr>
              <w:spacing w:after="0"/>
              <w:jc w:val="left"/>
              <w:rPr>
                <w:rFonts w:ascii="Times New Roman" w:eastAsia="Times New Roman" w:hAnsi="Times New Roman" w:cs="Times New Roman"/>
                <w:sz w:val="24"/>
                <w:szCs w:val="24"/>
                <w:lang w:eastAsia="es-ES"/>
              </w:rPr>
            </w:pPr>
          </w:p>
          <w:p w:rsidR="00C674B1" w:rsidRDefault="009D4135" w:rsidP="002B108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ESCALA DE REMUNE</w:t>
            </w:r>
            <w:r w:rsidRPr="00C674B1">
              <w:rPr>
                <w:rFonts w:ascii="Arial" w:eastAsia="Times New Roman" w:hAnsi="Arial" w:cs="Arial"/>
                <w:b/>
                <w:color w:val="000080"/>
                <w:sz w:val="20"/>
                <w:szCs w:val="20"/>
                <w:lang w:val="es-ES_tradnl" w:eastAsia="es-ES"/>
              </w:rPr>
              <w:t>RACIONES DE LOS SERVIDORES BAJO EL RÉGIMEN DE LA LEY ORGÁNICA DEL SERVICIO PÚBLICO, DE LAS UNIVERSIDADES Y ESCUELAS POLITÉCNICAS PÚBLICAS</w:t>
            </w:r>
          </w:p>
          <w:p w:rsidR="009D4135" w:rsidRPr="00610B20" w:rsidRDefault="009D4135" w:rsidP="002B108A">
            <w:pPr>
              <w:spacing w:after="0"/>
              <w:rPr>
                <w:rFonts w:ascii="Arial" w:eastAsia="Times New Roman" w:hAnsi="Arial" w:cs="Arial"/>
                <w:b/>
                <w:color w:val="000080"/>
                <w:sz w:val="20"/>
                <w:szCs w:val="20"/>
                <w:lang w:eastAsia="es-ES"/>
              </w:rPr>
            </w:pPr>
          </w:p>
          <w:p w:rsidR="00C674B1" w:rsidRPr="00610B20" w:rsidRDefault="00C674B1"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9D4135">
              <w:rPr>
                <w:rFonts w:ascii="Arial" w:eastAsia="Times New Roman" w:hAnsi="Arial" w:cs="Arial"/>
                <w:color w:val="000080"/>
                <w:sz w:val="20"/>
                <w:szCs w:val="20"/>
                <w:lang w:eastAsia="es-ES"/>
              </w:rPr>
              <w:t>Acuerdo Ministerial 0226, publicado</w:t>
            </w:r>
            <w:r w:rsidRPr="00610B20">
              <w:rPr>
                <w:rFonts w:ascii="Arial" w:eastAsia="Times New Roman" w:hAnsi="Arial" w:cs="Arial"/>
                <w:color w:val="000080"/>
                <w:sz w:val="20"/>
                <w:szCs w:val="20"/>
                <w:lang w:eastAsia="es-ES"/>
              </w:rPr>
              <w:t xml:space="preserve"> en el Registro Oficial </w:t>
            </w:r>
            <w:r w:rsidR="009D4135">
              <w:rPr>
                <w:rFonts w:ascii="Arial" w:eastAsia="Times New Roman" w:hAnsi="Arial" w:cs="Arial"/>
                <w:color w:val="000080"/>
                <w:sz w:val="20"/>
                <w:szCs w:val="20"/>
                <w:lang w:eastAsia="es-ES"/>
              </w:rPr>
              <w:t>608 de 15</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C674B1" w:rsidRDefault="00C674B1"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9D4135" w:rsidRDefault="002B108A" w:rsidP="002B108A">
            <w:pPr>
              <w:spacing w:after="0"/>
              <w:jc w:val="both"/>
              <w:rPr>
                <w:rFonts w:ascii="Arial" w:eastAsia="Times New Roman" w:hAnsi="Arial" w:cs="Arial"/>
                <w:b/>
                <w:color w:val="000080"/>
                <w:sz w:val="20"/>
                <w:szCs w:val="20"/>
                <w:lang w:eastAsia="es-ES"/>
              </w:rPr>
            </w:pPr>
            <w:hyperlink r:id="rId13"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Art. 1.- Establecer la escala de techos y pisos de las remuneraciones mensuales unificadas de las y los servidores públicos bajo el régimen de la Ley Orgánica del Servicio Público - LOSEP de las Universidades y Escuelas Politécnicas Públicas, de conformidad con el cuadro detallado en el Anexo adjunto al presente Acuerdo.</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Dentro de los niveles Directivos 1 y 2, y los roles del puesto del Nivel Profesional y de Apoyo Técnico, según la estructura ocupacional determinada por la Universidad o Escuela Politécnica Pública, deberán aplicarse las clases de puestos necesarias de conformidad a las características y particularidades institucionales, de acuerdo a la Norma Técnica del Subsistema de Clasificación de Puestos emitida por el Ministerio del Trabajo.</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Art. 2.- Los valores determinados como techos en el Anexo señalado en el artículo precedente, son los límites máximos que, según el nivel o rol del puesto, están obligadas a no superar las Universidades y Escuelas Politécnicas Públicas, en el Manual de descripción, valoración y clasificación de puestos de sus servidores bajo el régimen de la LOSEP. Los techos remunerativos bajo ningún concepto se entenderán como remuneraciones mensuales unificadas de los puestos respectivos.</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El valor establecido como piso remunerativo, para todos los puestos, corresponde al salario básico unificado del trabajador privado en general.</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Art. 3.- Es obligación y responsabilidad de cada Universidad y Escuela Politécnica Pública emitir el Manual de descripción, valoración y clasificación de puestos, sujetándose a los techos remunerativos determinados en el Anexo señalado en el artículo 1 del presente Acuerdo, de conformidad con la Norma Técnica del Subsistema de Clasificación de Puestos emitida por el Ministerio del Trabajo.</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Art. 4.- Cuando los valores de las remuneraciones mensuales unificadas de los puestos de las y los servidores públicos de las Universidades y Escuelas Politécnicas Públicas, fueren superiores a los techos establecidos en el Anexo señalado en el artículo 1 del presente Acuerdo; en aplicación de la Disposición Transitoria Tercera de la LOSEP, se cumplirán las siguientes disposiciones:</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a)</w:t>
            </w:r>
            <w:r w:rsidRPr="009D4135">
              <w:rPr>
                <w:rFonts w:ascii="Arial" w:eastAsia="Times New Roman" w:hAnsi="Arial" w:cs="Arial"/>
                <w:color w:val="000080"/>
                <w:sz w:val="20"/>
                <w:szCs w:val="20"/>
                <w:lang w:eastAsia="es-ES"/>
              </w:rPr>
              <w:tab/>
              <w:t xml:space="preserve">Los valores de las remuneraciones de los puestos de período fijo y de libre nombramiento y remoción, inclusive bajo la modalidad de contratos de servicios ocasionales, se ajustarán </w:t>
            </w:r>
            <w:r w:rsidRPr="009D4135">
              <w:rPr>
                <w:rFonts w:ascii="Arial" w:eastAsia="Times New Roman" w:hAnsi="Arial" w:cs="Arial"/>
                <w:color w:val="000080"/>
                <w:sz w:val="20"/>
                <w:szCs w:val="20"/>
                <w:lang w:eastAsia="es-ES"/>
              </w:rPr>
              <w:lastRenderedPageBreak/>
              <w:t>inmediatamente a los techos determinados en el Anexo señalado en el artículo 1 de este Acuerdo; y,</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b)</w:t>
            </w:r>
            <w:r w:rsidRPr="009D4135">
              <w:rPr>
                <w:rFonts w:ascii="Arial" w:eastAsia="Times New Roman" w:hAnsi="Arial" w:cs="Arial"/>
                <w:color w:val="000080"/>
                <w:sz w:val="20"/>
                <w:szCs w:val="20"/>
                <w:lang w:eastAsia="es-ES"/>
              </w:rPr>
              <w:tab/>
              <w:t>Los valores de las remuneraciones de los puestos de carrera ocupados con nombramiento permanente, se mantendrán mientras las y los servidores continúen como titulares de los mismos y esas remuneraciones hayan sido fijadas legalmente. Todo puesto vacante o que quede vacante, inclusive aquellos ocupados con nombramiento provisional, se ajustará inmediatamente a los techos establecidos en el Anexo señalado en el artículo 1 del presente Acuerdo.</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Los contratos que se celebren a partir de la vigencia de este Acuerdo, y los contratos y las renovaciones de los contratos que se suscriban a partir del 01 de enero de 2016, se ajustarán inmediatamente a los techos establecidos en el Anexo señalado en el artículo 1 de este Acuerdo.</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Art. 5.- Excepcionalmente, cada Universidad y Escuela Politécnica Pública, previo informe técnico de la Unidad de Administración del Talento Humano institucional que justifique técnica y legalmente la necesidad de contar con un perfil del puesto que real</w:t>
            </w:r>
            <w:r>
              <w:rPr>
                <w:rFonts w:ascii="Arial" w:eastAsia="Times New Roman" w:hAnsi="Arial" w:cs="Arial"/>
                <w:color w:val="000080"/>
                <w:sz w:val="20"/>
                <w:szCs w:val="20"/>
                <w:lang w:eastAsia="es-ES"/>
              </w:rPr>
              <w:t xml:space="preserve">ice actividades de impartición, </w:t>
            </w:r>
            <w:r w:rsidRPr="009D4135">
              <w:rPr>
                <w:rFonts w:ascii="Arial" w:eastAsia="Times New Roman" w:hAnsi="Arial" w:cs="Arial"/>
                <w:color w:val="000080"/>
                <w:sz w:val="20"/>
                <w:szCs w:val="20"/>
                <w:lang w:eastAsia="es-ES"/>
              </w:rPr>
              <w:t>supervisión y evaluación de actividades de aprendizaje práctico y de apoyo en investigación científica y tecnológica, podrá incluir en el Manual de descripción, valoración y clasificación d</w:t>
            </w:r>
            <w:r>
              <w:rPr>
                <w:rFonts w:ascii="Arial" w:eastAsia="Times New Roman" w:hAnsi="Arial" w:cs="Arial"/>
                <w:color w:val="000080"/>
                <w:sz w:val="20"/>
                <w:szCs w:val="20"/>
                <w:lang w:eastAsia="es-ES"/>
              </w:rPr>
              <w:t xml:space="preserve">e puestos, el puesto respectivo </w:t>
            </w:r>
            <w:r w:rsidRPr="009D4135">
              <w:rPr>
                <w:rFonts w:ascii="Arial" w:eastAsia="Times New Roman" w:hAnsi="Arial" w:cs="Arial"/>
                <w:color w:val="000080"/>
                <w:sz w:val="20"/>
                <w:szCs w:val="20"/>
                <w:lang w:eastAsia="es-ES"/>
              </w:rPr>
              <w:t>con una remuneración mensual unificada con el techo de hasta USD 2.115.</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DISPOSICIONES GENERALES</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PRIMERA.- La remuneración mensual unificada del personal de las Universidades y Escuelas Politécnicas Públicas que están bajo el régimen del Código del Trabajo, se regirá por el Acuerdo que el Ministerio del Trabajo emite anualmente regulando los techos de negociación para la suscripción de contratos colectivos de trabajo, contratos individuales de trabajo y actas transaccionales.</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SEGUNDA.- El Ministerio de Finanzas por ningún concepto asignará recursos adicionales para financiar el pago de las remuneraciones mensuales unificadas de las y los servidores de las Universidades y Escuelas Politécnicas Públicas.</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TERCERA.- Las Universidades y Escuelas Politécnicas Públicas que cuenten con disponibilidad presupuestaria para la aplicación de este Acuerdo Ministerial lo ejecutarán desde el mes en que entre en vigencia el mismo; caso contrario, se realizarán los ajustes presupuestarios correspondientes que permitan su aplicación a partir del 01 de enero de 2016.</w:t>
            </w:r>
          </w:p>
          <w:p w:rsidR="009D4135" w:rsidRP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CUARTA.- El Ministerio del Trabajo efectuará el control de la observancia de este Acuerdo; y en caso de incumplimiento, lo comunicará de inmediato a la Contraloría General del Estado, para que determine las responsabilidades a que hubiere lugar.</w:t>
            </w:r>
          </w:p>
          <w:p w:rsidR="009D4135" w:rsidRDefault="009D4135" w:rsidP="009D4135">
            <w:pPr>
              <w:spacing w:after="0"/>
              <w:ind w:left="738"/>
              <w:jc w:val="both"/>
              <w:rPr>
                <w:rFonts w:ascii="Arial" w:eastAsia="Times New Roman" w:hAnsi="Arial" w:cs="Arial"/>
                <w:color w:val="000080"/>
                <w:sz w:val="20"/>
                <w:szCs w:val="20"/>
                <w:lang w:eastAsia="es-ES"/>
              </w:rPr>
            </w:pPr>
          </w:p>
          <w:p w:rsidR="009D4135" w:rsidRDefault="009D4135" w:rsidP="009D4135">
            <w:pPr>
              <w:spacing w:after="0"/>
              <w:ind w:left="738"/>
              <w:jc w:val="both"/>
              <w:rPr>
                <w:rFonts w:ascii="Arial" w:eastAsia="Times New Roman" w:hAnsi="Arial" w:cs="Arial"/>
                <w:color w:val="000080"/>
                <w:sz w:val="20"/>
                <w:szCs w:val="20"/>
                <w:lang w:eastAsia="es-ES"/>
              </w:rPr>
            </w:pPr>
            <w:r w:rsidRPr="009D4135">
              <w:rPr>
                <w:rFonts w:ascii="Arial" w:eastAsia="Times New Roman" w:hAnsi="Arial" w:cs="Arial"/>
                <w:color w:val="000080"/>
                <w:sz w:val="20"/>
                <w:szCs w:val="20"/>
                <w:lang w:eastAsia="es-ES"/>
              </w:rPr>
              <w:t>Disposición Final.- El presente Acuerdo entrará en vigencia a partir de su publicación en el Registro Oficial.</w:t>
            </w:r>
          </w:p>
          <w:p w:rsidR="009D4135" w:rsidRDefault="009D4135" w:rsidP="009D4135">
            <w:pPr>
              <w:spacing w:after="0"/>
              <w:ind w:left="738"/>
              <w:jc w:val="both"/>
              <w:rPr>
                <w:rFonts w:ascii="Arial" w:eastAsia="Times New Roman" w:hAnsi="Arial" w:cs="Arial"/>
                <w:noProof/>
                <w:color w:val="000080"/>
                <w:sz w:val="20"/>
                <w:szCs w:val="20"/>
                <w:lang w:eastAsia="es-EC"/>
              </w:rPr>
            </w:pPr>
          </w:p>
          <w:p w:rsidR="009D4135" w:rsidRDefault="009D4135" w:rsidP="009D4135">
            <w:pPr>
              <w:spacing w:after="0"/>
              <w:jc w:val="both"/>
              <w:rPr>
                <w:rFonts w:ascii="Arial" w:eastAsia="Times New Roman" w:hAnsi="Arial" w:cs="Arial"/>
                <w:color w:val="000080"/>
                <w:sz w:val="20"/>
                <w:szCs w:val="20"/>
                <w:lang w:eastAsia="es-ES"/>
              </w:rPr>
            </w:pPr>
            <w:r>
              <w:rPr>
                <w:rFonts w:ascii="Arial" w:eastAsia="Times New Roman" w:hAnsi="Arial" w:cs="Arial"/>
                <w:noProof/>
                <w:color w:val="000080"/>
                <w:sz w:val="20"/>
                <w:szCs w:val="20"/>
                <w:lang w:eastAsia="es-EC"/>
              </w:rPr>
              <w:lastRenderedPageBreak/>
              <w:drawing>
                <wp:inline distT="0" distB="0" distL="0" distR="0" wp14:anchorId="31C35BF6" wp14:editId="2EABBA72">
                  <wp:extent cx="5981065" cy="338074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065" cy="3380740"/>
                          </a:xfrm>
                          <a:prstGeom prst="rect">
                            <a:avLst/>
                          </a:prstGeom>
                          <a:noFill/>
                        </pic:spPr>
                      </pic:pic>
                    </a:graphicData>
                  </a:graphic>
                </wp:inline>
              </w:drawing>
            </w:r>
          </w:p>
          <w:tbl>
            <w:tblPr>
              <w:tblW w:w="0" w:type="auto"/>
              <w:tblInd w:w="40" w:type="dxa"/>
              <w:tblCellMar>
                <w:left w:w="40" w:type="dxa"/>
                <w:right w:w="40" w:type="dxa"/>
              </w:tblCellMar>
              <w:tblLook w:val="04A0" w:firstRow="1" w:lastRow="0" w:firstColumn="1" w:lastColumn="0" w:noHBand="0" w:noVBand="1"/>
            </w:tblPr>
            <w:tblGrid>
              <w:gridCol w:w="3907"/>
              <w:gridCol w:w="470"/>
              <w:gridCol w:w="586"/>
              <w:gridCol w:w="470"/>
              <w:gridCol w:w="475"/>
              <w:gridCol w:w="475"/>
              <w:gridCol w:w="485"/>
              <w:gridCol w:w="466"/>
              <w:gridCol w:w="485"/>
              <w:gridCol w:w="470"/>
              <w:gridCol w:w="566"/>
            </w:tblGrid>
            <w:tr w:rsidR="009D4135" w:rsidTr="009D4135">
              <w:trPr>
                <w:trHeight w:hRule="exact" w:val="451"/>
              </w:trPr>
              <w:tc>
                <w:tcPr>
                  <w:tcW w:w="3907"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590"/>
                    <w:rPr>
                      <w:sz w:val="11"/>
                      <w:szCs w:val="10"/>
                    </w:rPr>
                  </w:pPr>
                  <w:r>
                    <w:rPr>
                      <w:sz w:val="11"/>
                      <w:szCs w:val="10"/>
                      <w:lang w:val="es-ES_tradnl"/>
                    </w:rPr>
                    <w:t>UNIVERSIDAD /ESCUELA POLIT</w:t>
                  </w:r>
                  <w:r>
                    <w:rPr>
                      <w:rFonts w:cs="Times New Roman"/>
                      <w:sz w:val="11"/>
                      <w:szCs w:val="10"/>
                      <w:lang w:val="es-ES_tradnl"/>
                    </w:rPr>
                    <w:t>É</w:t>
                  </w:r>
                  <w:r>
                    <w:rPr>
                      <w:sz w:val="11"/>
                      <w:szCs w:val="10"/>
                      <w:lang w:val="es-ES_tradnl"/>
                    </w:rPr>
                    <w:t>CNICA P</w:t>
                  </w:r>
                  <w:r>
                    <w:rPr>
                      <w:rFonts w:cs="Times New Roman"/>
                      <w:sz w:val="11"/>
                      <w:szCs w:val="10"/>
                      <w:lang w:val="es-ES_tradnl"/>
                    </w:rPr>
                    <w:t>Ú</w:t>
                  </w:r>
                  <w:r>
                    <w:rPr>
                      <w:sz w:val="11"/>
                      <w:szCs w:val="10"/>
                      <w:lang w:val="es-ES_tradnl"/>
                    </w:rPr>
                    <w:t>BLICA</w:t>
                  </w:r>
                </w:p>
              </w:tc>
              <w:tc>
                <w:tcPr>
                  <w:tcW w:w="105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spacing w:line="182" w:lineRule="exact"/>
                    <w:ind w:left="96" w:right="86" w:firstLine="173"/>
                    <w:rPr>
                      <w:sz w:val="11"/>
                      <w:szCs w:val="10"/>
                    </w:rPr>
                  </w:pPr>
                  <w:r>
                    <w:rPr>
                      <w:sz w:val="11"/>
                      <w:szCs w:val="10"/>
                      <w:lang w:val="es-ES_tradnl"/>
                    </w:rPr>
                    <w:t>NIVEL DIRECTIVO 1</w:t>
                  </w:r>
                </w:p>
              </w:tc>
              <w:tc>
                <w:tcPr>
                  <w:tcW w:w="94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bCs/>
                      <w:w w:val="88"/>
                      <w:sz w:val="11"/>
                      <w:szCs w:val="10"/>
                      <w:lang w:val="es-ES_tradnl"/>
                    </w:rPr>
                  </w:pPr>
                  <w:r>
                    <w:rPr>
                      <w:sz w:val="11"/>
                      <w:szCs w:val="10"/>
                      <w:lang w:val="es-ES_tradnl"/>
                    </w:rPr>
                    <w:t>NIVEL D</w:t>
                  </w:r>
                  <w:r>
                    <w:rPr>
                      <w:rFonts w:cs="Times New Roman"/>
                      <w:sz w:val="11"/>
                      <w:szCs w:val="10"/>
                      <w:lang w:val="es-ES_tradnl"/>
                    </w:rPr>
                    <w:t>Í</w:t>
                  </w:r>
                  <w:r>
                    <w:rPr>
                      <w:sz w:val="11"/>
                      <w:szCs w:val="10"/>
                      <w:lang w:val="es-ES_tradnl"/>
                    </w:rPr>
                    <w:t>RECTIVO</w:t>
                  </w:r>
                </w:p>
                <w:p w:rsidR="009D4135" w:rsidRDefault="009D4135" w:rsidP="009D4135">
                  <w:pPr>
                    <w:shd w:val="clear" w:color="auto" w:fill="FFFFFF"/>
                    <w:rPr>
                      <w:sz w:val="11"/>
                      <w:szCs w:val="10"/>
                      <w:lang w:val="es-ES"/>
                    </w:rPr>
                  </w:pPr>
                  <w:r>
                    <w:rPr>
                      <w:bCs/>
                      <w:w w:val="88"/>
                      <w:sz w:val="11"/>
                      <w:szCs w:val="10"/>
                      <w:lang w:val="es-ES_tradnl"/>
                    </w:rPr>
                    <w:t>2</w:t>
                  </w:r>
                </w:p>
              </w:tc>
              <w:tc>
                <w:tcPr>
                  <w:tcW w:w="96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1"/>
                      <w:szCs w:val="10"/>
                    </w:rPr>
                  </w:pPr>
                  <w:r>
                    <w:rPr>
                      <w:spacing w:val="-2"/>
                      <w:sz w:val="11"/>
                      <w:szCs w:val="10"/>
                      <w:lang w:val="es-ES_tradnl"/>
                    </w:rPr>
                    <w:t>NIVEL EJECUTOR</w:t>
                  </w:r>
                </w:p>
              </w:tc>
              <w:tc>
                <w:tcPr>
                  <w:tcW w:w="95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spacing w:line="173" w:lineRule="exact"/>
                    <w:ind w:left="10" w:right="10"/>
                    <w:rPr>
                      <w:sz w:val="11"/>
                      <w:szCs w:val="10"/>
                    </w:rPr>
                  </w:pPr>
                  <w:r>
                    <w:rPr>
                      <w:sz w:val="11"/>
                      <w:szCs w:val="10"/>
                      <w:lang w:val="es-ES_tradnl"/>
                    </w:rPr>
                    <w:t>NIVEL APOTO T</w:t>
                  </w:r>
                  <w:r>
                    <w:rPr>
                      <w:rFonts w:cs="Times New Roman"/>
                      <w:sz w:val="11"/>
                      <w:szCs w:val="10"/>
                      <w:lang w:val="es-ES_tradnl"/>
                    </w:rPr>
                    <w:t>É</w:t>
                  </w:r>
                  <w:r>
                    <w:rPr>
                      <w:sz w:val="11"/>
                      <w:szCs w:val="10"/>
                      <w:lang w:val="es-ES_tradnl"/>
                    </w:rPr>
                    <w:t>CNICO</w:t>
                  </w:r>
                </w:p>
              </w:tc>
              <w:tc>
                <w:tcPr>
                  <w:tcW w:w="103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spacing w:line="173" w:lineRule="exact"/>
                    <w:ind w:firstLine="115"/>
                    <w:rPr>
                      <w:sz w:val="11"/>
                      <w:szCs w:val="10"/>
                    </w:rPr>
                  </w:pPr>
                  <w:r>
                    <w:rPr>
                      <w:sz w:val="11"/>
                      <w:szCs w:val="10"/>
                      <w:lang w:val="es-ES_tradnl"/>
                    </w:rPr>
                    <w:t>NIVEL APOYO ADMINISTRATIVO</w:t>
                  </w:r>
                </w:p>
              </w:tc>
            </w:tr>
            <w:tr w:rsidR="009D4135" w:rsidTr="009D4135">
              <w:trPr>
                <w:trHeight w:hRule="exact" w:val="182"/>
              </w:trPr>
              <w:tc>
                <w:tcPr>
                  <w:tcW w:w="3907"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z w:val="14"/>
                      <w:szCs w:val="14"/>
                      <w:lang w:val="es-ES_tradnl"/>
                    </w:rPr>
                    <w:t>UNIVERSIDAD T</w:t>
                  </w:r>
                  <w:r>
                    <w:rPr>
                      <w:rFonts w:cs="Times New Roman"/>
                      <w:sz w:val="14"/>
                      <w:szCs w:val="14"/>
                      <w:lang w:val="es-ES_tradnl"/>
                    </w:rPr>
                    <w:t>É</w:t>
                  </w:r>
                  <w:r>
                    <w:rPr>
                      <w:sz w:val="14"/>
                      <w:szCs w:val="14"/>
                      <w:lang w:val="es-ES_tradnl"/>
                    </w:rPr>
                    <w:t>CNICA DE COTOPAXI</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19"/>
                    <w:jc w:val="right"/>
                    <w:rPr>
                      <w:sz w:val="14"/>
                      <w:szCs w:val="14"/>
                    </w:rPr>
                  </w:pPr>
                  <w:r>
                    <w:rPr>
                      <w:sz w:val="14"/>
                      <w:szCs w:val="14"/>
                      <w:lang w:val="es-ES_tradnl"/>
                    </w:rPr>
                    <w:t>SBU</w:t>
                  </w:r>
                </w:p>
              </w:tc>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48"/>
                    <w:jc w:val="right"/>
                    <w:rPr>
                      <w:sz w:val="14"/>
                      <w:szCs w:val="14"/>
                    </w:rPr>
                  </w:pPr>
                  <w:r>
                    <w:rPr>
                      <w:sz w:val="14"/>
                      <w:szCs w:val="14"/>
                      <w:lang w:val="es-ES_tradnl"/>
                    </w:rPr>
                    <w:t>3800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sz w:val="14"/>
                      <w:szCs w:val="14"/>
                      <w:lang w:val="es-ES_tradnl"/>
                    </w:rPr>
                    <w:t>SBU</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0"/>
                    <w:rPr>
                      <w:sz w:val="14"/>
                      <w:szCs w:val="14"/>
                    </w:rPr>
                  </w:pPr>
                  <w:r>
                    <w:rPr>
                      <w:i/>
                      <w:iCs/>
                      <w:sz w:val="14"/>
                      <w:szCs w:val="14"/>
                      <w:lang w:val="es-ES_tradnl"/>
                    </w:rPr>
                    <w:t xml:space="preserve">2 </w:t>
                  </w:r>
                  <w:r>
                    <w:rPr>
                      <w:sz w:val="14"/>
                      <w:szCs w:val="14"/>
                      <w:lang w:val="es-ES_tradnl"/>
                    </w:rPr>
                    <w:t>600</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2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4"/>
                    <w:rPr>
                      <w:sz w:val="14"/>
                      <w:szCs w:val="14"/>
                    </w:rPr>
                  </w:pPr>
                  <w:r>
                    <w:rPr>
                      <w:sz w:val="14"/>
                      <w:szCs w:val="14"/>
                      <w:lang w:val="es-ES_tradnl"/>
                    </w:rPr>
                    <w:t>1676</w:t>
                  </w:r>
                </w:p>
              </w:tc>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38"/>
                    <w:jc w:val="right"/>
                    <w:rPr>
                      <w:sz w:val="14"/>
                      <w:szCs w:val="14"/>
                    </w:rPr>
                  </w:pPr>
                  <w:r>
                    <w:rPr>
                      <w:sz w:val="14"/>
                      <w:szCs w:val="14"/>
                      <w:lang w:val="es-ES_tradnl"/>
                    </w:rPr>
                    <w:t>901</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77"/>
                    <w:jc w:val="right"/>
                    <w:rPr>
                      <w:sz w:val="14"/>
                      <w:szCs w:val="14"/>
                    </w:rPr>
                  </w:pPr>
                  <w:r>
                    <w:rPr>
                      <w:sz w:val="14"/>
                      <w:szCs w:val="14"/>
                      <w:lang w:val="es-ES_tradnl"/>
                    </w:rPr>
                    <w:t>733</w:t>
                  </w:r>
                </w:p>
              </w:tc>
            </w:tr>
            <w:tr w:rsidR="009D4135" w:rsidTr="009D4135">
              <w:trPr>
                <w:trHeight w:hRule="exact" w:val="178"/>
              </w:trPr>
              <w:tc>
                <w:tcPr>
                  <w:tcW w:w="3907"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z w:val="14"/>
                      <w:szCs w:val="14"/>
                      <w:lang w:val="es-ES_tradnl"/>
                    </w:rPr>
                    <w:t xml:space="preserve">UNIVERSIDAD </w:t>
                  </w:r>
                  <w:proofErr w:type="spellStart"/>
                  <w:r>
                    <w:rPr>
                      <w:sz w:val="14"/>
                      <w:szCs w:val="14"/>
                      <w:lang w:val="es-ES_tradnl"/>
                    </w:rPr>
                    <w:t>TFCNtCA</w:t>
                  </w:r>
                  <w:proofErr w:type="spellEnd"/>
                  <w:r>
                    <w:rPr>
                      <w:sz w:val="14"/>
                      <w:szCs w:val="14"/>
                      <w:lang w:val="es-ES_tradnl"/>
                    </w:rPr>
                    <w:t xml:space="preserve"> 01 MACHAI A</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19"/>
                    <w:jc w:val="right"/>
                    <w:rPr>
                      <w:sz w:val="14"/>
                      <w:szCs w:val="14"/>
                    </w:rPr>
                  </w:pPr>
                  <w:r>
                    <w:rPr>
                      <w:sz w:val="14"/>
                      <w:szCs w:val="14"/>
                      <w:lang w:val="es-ES_tradnl"/>
                    </w:rPr>
                    <w:t>SBU</w:t>
                  </w:r>
                </w:p>
              </w:tc>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48"/>
                    <w:jc w:val="right"/>
                    <w:rPr>
                      <w:sz w:val="14"/>
                      <w:szCs w:val="14"/>
                    </w:rPr>
                  </w:pPr>
                  <w:r>
                    <w:rPr>
                      <w:sz w:val="14"/>
                      <w:szCs w:val="14"/>
                      <w:lang w:val="es-ES_tradnl"/>
                    </w:rPr>
                    <w:t>3800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sz w:val="14"/>
                      <w:szCs w:val="14"/>
                      <w:lang w:val="es-ES_tradnl"/>
                    </w:rPr>
                    <w:t>SBU</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0"/>
                    <w:rPr>
                      <w:sz w:val="14"/>
                      <w:szCs w:val="14"/>
                    </w:rPr>
                  </w:pPr>
                  <w:r>
                    <w:rPr>
                      <w:sz w:val="14"/>
                      <w:szCs w:val="14"/>
                      <w:lang w:val="es-ES_tradnl"/>
                    </w:rPr>
                    <w:t>2600</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2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4"/>
                    <w:rPr>
                      <w:sz w:val="14"/>
                      <w:szCs w:val="14"/>
                    </w:rPr>
                  </w:pPr>
                  <w:r>
                    <w:rPr>
                      <w:sz w:val="14"/>
                      <w:szCs w:val="14"/>
                      <w:lang w:val="es-ES_tradnl"/>
                    </w:rPr>
                    <w:t>1676</w:t>
                  </w:r>
                </w:p>
              </w:tc>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48"/>
                    <w:jc w:val="right"/>
                    <w:rPr>
                      <w:sz w:val="14"/>
                      <w:szCs w:val="14"/>
                    </w:rPr>
                  </w:pPr>
                  <w:r>
                    <w:rPr>
                      <w:sz w:val="14"/>
                      <w:szCs w:val="14"/>
                      <w:lang w:val="es-ES_tradnl"/>
                    </w:rPr>
                    <w:t>901</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77"/>
                    <w:jc w:val="right"/>
                    <w:rPr>
                      <w:sz w:val="14"/>
                      <w:szCs w:val="14"/>
                    </w:rPr>
                  </w:pPr>
                  <w:r>
                    <w:rPr>
                      <w:sz w:val="14"/>
                      <w:szCs w:val="14"/>
                      <w:lang w:val="es-ES_tradnl"/>
                    </w:rPr>
                    <w:t>733</w:t>
                  </w:r>
                </w:p>
              </w:tc>
            </w:tr>
            <w:tr w:rsidR="009D4135" w:rsidTr="009D4135">
              <w:trPr>
                <w:trHeight w:hRule="exact" w:val="178"/>
              </w:trPr>
              <w:tc>
                <w:tcPr>
                  <w:tcW w:w="3907"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z w:val="14"/>
                      <w:szCs w:val="14"/>
                      <w:lang w:val="es-ES_tradnl"/>
                    </w:rPr>
                    <w:t>UNIVERSIDAD T</w:t>
                  </w:r>
                  <w:r>
                    <w:rPr>
                      <w:rFonts w:cs="Times New Roman"/>
                      <w:sz w:val="14"/>
                      <w:szCs w:val="14"/>
                      <w:lang w:val="es-ES_tradnl"/>
                    </w:rPr>
                    <w:t>É</w:t>
                  </w:r>
                  <w:r>
                    <w:rPr>
                      <w:sz w:val="14"/>
                      <w:szCs w:val="14"/>
                      <w:lang w:val="es-ES_tradnl"/>
                    </w:rPr>
                    <w:t>CNICA DE MANABI</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rFonts w:cs="Times New Roman"/>
                      <w:sz w:val="14"/>
                      <w:szCs w:val="14"/>
                      <w:lang w:val="es-ES_tradnl"/>
                    </w:rPr>
                    <w:t>Í</w:t>
                  </w:r>
                  <w:r>
                    <w:rPr>
                      <w:sz w:val="14"/>
                      <w:szCs w:val="14"/>
                      <w:lang w:val="es-ES_tradnl"/>
                    </w:rPr>
                    <w:t>KJU</w:t>
                  </w:r>
                </w:p>
              </w:tc>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58"/>
                    <w:jc w:val="right"/>
                    <w:rPr>
                      <w:sz w:val="14"/>
                      <w:szCs w:val="14"/>
                    </w:rPr>
                  </w:pPr>
                  <w:r>
                    <w:rPr>
                      <w:sz w:val="14"/>
                      <w:szCs w:val="14"/>
                      <w:lang w:val="es-ES_tradnl"/>
                    </w:rPr>
                    <w:t>3300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sz w:val="14"/>
                      <w:szCs w:val="14"/>
                      <w:lang w:val="es-ES_tradnl"/>
                    </w:rPr>
                    <w:t>SBU</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0"/>
                    <w:rPr>
                      <w:sz w:val="14"/>
                      <w:szCs w:val="14"/>
                    </w:rPr>
                  </w:pPr>
                  <w:r>
                    <w:rPr>
                      <w:sz w:val="14"/>
                      <w:szCs w:val="14"/>
                      <w:lang w:val="es-ES_tradnl"/>
                    </w:rPr>
                    <w:t>2600</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2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4"/>
                    <w:rPr>
                      <w:sz w:val="14"/>
                      <w:szCs w:val="14"/>
                    </w:rPr>
                  </w:pPr>
                  <w:r>
                    <w:rPr>
                      <w:sz w:val="14"/>
                      <w:szCs w:val="14"/>
                      <w:lang w:val="es-ES_tradnl"/>
                    </w:rPr>
                    <w:t>1676</w:t>
                  </w:r>
                </w:p>
              </w:tc>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38"/>
                    <w:jc w:val="right"/>
                    <w:rPr>
                      <w:sz w:val="14"/>
                      <w:szCs w:val="14"/>
                    </w:rPr>
                  </w:pPr>
                  <w:r>
                    <w:rPr>
                      <w:sz w:val="14"/>
                      <w:szCs w:val="14"/>
                      <w:lang w:val="es-ES_tradnl"/>
                    </w:rPr>
                    <w:t>901</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77"/>
                    <w:jc w:val="right"/>
                    <w:rPr>
                      <w:sz w:val="14"/>
                      <w:szCs w:val="14"/>
                    </w:rPr>
                  </w:pPr>
                  <w:r>
                    <w:rPr>
                      <w:sz w:val="14"/>
                      <w:szCs w:val="14"/>
                      <w:lang w:val="es-ES_tradnl"/>
                    </w:rPr>
                    <w:t>733</w:t>
                  </w:r>
                </w:p>
              </w:tc>
            </w:tr>
            <w:tr w:rsidR="009D4135" w:rsidTr="009D4135">
              <w:trPr>
                <w:trHeight w:hRule="exact" w:val="182"/>
              </w:trPr>
              <w:tc>
                <w:tcPr>
                  <w:tcW w:w="3907"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z w:val="14"/>
                      <w:szCs w:val="14"/>
                      <w:lang w:val="es-ES_tradnl"/>
                    </w:rPr>
                    <w:t>UNIVERSIDAD T</w:t>
                  </w:r>
                  <w:r>
                    <w:rPr>
                      <w:rFonts w:cs="Times New Roman"/>
                      <w:sz w:val="14"/>
                      <w:szCs w:val="14"/>
                      <w:lang w:val="es-ES_tradnl"/>
                    </w:rPr>
                    <w:t>É</w:t>
                  </w:r>
                  <w:r>
                    <w:rPr>
                      <w:sz w:val="14"/>
                      <w:szCs w:val="14"/>
                      <w:lang w:val="es-ES_tradnl"/>
                    </w:rPr>
                    <w:t>CNICA DE QUEVEDO</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19"/>
                    <w:jc w:val="right"/>
                    <w:rPr>
                      <w:sz w:val="14"/>
                      <w:szCs w:val="14"/>
                    </w:rPr>
                  </w:pPr>
                  <w:r>
                    <w:rPr>
                      <w:sz w:val="14"/>
                      <w:szCs w:val="14"/>
                      <w:lang w:val="es-ES_tradnl"/>
                    </w:rPr>
                    <w:t>SBU</w:t>
                  </w:r>
                </w:p>
              </w:tc>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58"/>
                    <w:jc w:val="right"/>
                    <w:rPr>
                      <w:sz w:val="14"/>
                      <w:szCs w:val="14"/>
                    </w:rPr>
                  </w:pPr>
                  <w:r>
                    <w:rPr>
                      <w:sz w:val="14"/>
                      <w:szCs w:val="14"/>
                      <w:lang w:val="es-ES_tradnl"/>
                    </w:rPr>
                    <w:t>3300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sz w:val="14"/>
                      <w:szCs w:val="14"/>
                      <w:lang w:val="es-ES_tradnl"/>
                    </w:rPr>
                    <w:t>SBU</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0"/>
                    <w:rPr>
                      <w:sz w:val="14"/>
                      <w:szCs w:val="14"/>
                    </w:rPr>
                  </w:pPr>
                  <w:r>
                    <w:rPr>
                      <w:sz w:val="14"/>
                      <w:szCs w:val="14"/>
                      <w:lang w:val="es-ES_tradnl"/>
                    </w:rPr>
                    <w:t>2600</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2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4"/>
                    <w:rPr>
                      <w:sz w:val="14"/>
                      <w:szCs w:val="14"/>
                    </w:rPr>
                  </w:pPr>
                  <w:r>
                    <w:rPr>
                      <w:sz w:val="14"/>
                      <w:szCs w:val="14"/>
                      <w:lang w:val="es-ES_tradnl"/>
                    </w:rPr>
                    <w:t>1676</w:t>
                  </w:r>
                </w:p>
              </w:tc>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48"/>
                    <w:jc w:val="right"/>
                    <w:rPr>
                      <w:sz w:val="14"/>
                      <w:szCs w:val="14"/>
                    </w:rPr>
                  </w:pPr>
                  <w:r>
                    <w:rPr>
                      <w:sz w:val="14"/>
                      <w:szCs w:val="14"/>
                      <w:lang w:val="es-ES_tradnl"/>
                    </w:rPr>
                    <w:t>901</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77"/>
                    <w:jc w:val="right"/>
                    <w:rPr>
                      <w:sz w:val="14"/>
                      <w:szCs w:val="14"/>
                    </w:rPr>
                  </w:pPr>
                  <w:r>
                    <w:rPr>
                      <w:sz w:val="14"/>
                      <w:szCs w:val="14"/>
                      <w:lang w:val="es-ES_tradnl"/>
                    </w:rPr>
                    <w:t>733</w:t>
                  </w:r>
                </w:p>
              </w:tc>
            </w:tr>
            <w:tr w:rsidR="009D4135" w:rsidTr="009D4135">
              <w:trPr>
                <w:trHeight w:hRule="exact" w:val="178"/>
              </w:trPr>
              <w:tc>
                <w:tcPr>
                  <w:tcW w:w="3907"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z w:val="14"/>
                      <w:szCs w:val="14"/>
                      <w:lang w:val="es-ES_tradnl"/>
                    </w:rPr>
                    <w:t>UNIVERSIDAD T</w:t>
                  </w:r>
                  <w:r>
                    <w:rPr>
                      <w:rFonts w:cs="Times New Roman"/>
                      <w:sz w:val="14"/>
                      <w:szCs w:val="14"/>
                      <w:lang w:val="es-ES_tradnl"/>
                    </w:rPr>
                    <w:t>É</w:t>
                  </w:r>
                  <w:r>
                    <w:rPr>
                      <w:sz w:val="14"/>
                      <w:szCs w:val="14"/>
                      <w:lang w:val="es-ES_tradnl"/>
                    </w:rPr>
                    <w:t>CNICA DEL NORTE</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19"/>
                    <w:jc w:val="right"/>
                    <w:rPr>
                      <w:sz w:val="14"/>
                      <w:szCs w:val="14"/>
                    </w:rPr>
                  </w:pPr>
                  <w:r>
                    <w:rPr>
                      <w:sz w:val="14"/>
                      <w:szCs w:val="14"/>
                      <w:lang w:val="es-ES_tradnl"/>
                    </w:rPr>
                    <w:t>SBU</w:t>
                  </w:r>
                </w:p>
              </w:tc>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58"/>
                    <w:jc w:val="right"/>
                    <w:rPr>
                      <w:sz w:val="14"/>
                      <w:szCs w:val="14"/>
                    </w:rPr>
                  </w:pPr>
                  <w:r>
                    <w:rPr>
                      <w:sz w:val="14"/>
                      <w:szCs w:val="14"/>
                      <w:lang w:val="es-ES_tradnl"/>
                    </w:rPr>
                    <w:t>3800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sz w:val="14"/>
                      <w:szCs w:val="14"/>
                      <w:lang w:val="es-ES_tradnl"/>
                    </w:rPr>
                    <w:t>SBU</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z w:val="14"/>
                      <w:szCs w:val="14"/>
                      <w:lang w:val="es-ES_tradnl"/>
                    </w:rPr>
                    <w:t>2600</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2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4"/>
                    <w:rPr>
                      <w:sz w:val="14"/>
                      <w:szCs w:val="14"/>
                    </w:rPr>
                  </w:pPr>
                  <w:r>
                    <w:rPr>
                      <w:sz w:val="14"/>
                      <w:szCs w:val="14"/>
                      <w:lang w:val="es-ES_tradnl"/>
                    </w:rPr>
                    <w:t>1676</w:t>
                  </w:r>
                </w:p>
              </w:tc>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48"/>
                    <w:jc w:val="right"/>
                    <w:rPr>
                      <w:sz w:val="14"/>
                      <w:szCs w:val="14"/>
                    </w:rPr>
                  </w:pPr>
                  <w:r>
                    <w:rPr>
                      <w:sz w:val="14"/>
                      <w:szCs w:val="14"/>
                      <w:lang w:val="es-ES_tradnl"/>
                    </w:rPr>
                    <w:t>901</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77"/>
                    <w:jc w:val="right"/>
                    <w:rPr>
                      <w:sz w:val="14"/>
                      <w:szCs w:val="14"/>
                    </w:rPr>
                  </w:pPr>
                  <w:r>
                    <w:rPr>
                      <w:sz w:val="14"/>
                      <w:szCs w:val="14"/>
                      <w:lang w:val="es-ES_tradnl"/>
                    </w:rPr>
                    <w:t>733</w:t>
                  </w:r>
                </w:p>
              </w:tc>
            </w:tr>
            <w:tr w:rsidR="009D4135" w:rsidTr="009D4135">
              <w:trPr>
                <w:trHeight w:hRule="exact" w:val="163"/>
              </w:trPr>
              <w:tc>
                <w:tcPr>
                  <w:tcW w:w="3907"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pacing w:val="-1"/>
                      <w:sz w:val="14"/>
                      <w:szCs w:val="14"/>
                      <w:lang w:val="es-ES_tradnl"/>
                    </w:rPr>
                    <w:t>UNIVERSIDAD T</w:t>
                  </w:r>
                  <w:r>
                    <w:rPr>
                      <w:rFonts w:cs="Times New Roman"/>
                      <w:spacing w:val="-1"/>
                      <w:sz w:val="14"/>
                      <w:szCs w:val="14"/>
                      <w:lang w:val="es-ES_tradnl"/>
                    </w:rPr>
                    <w:t>É</w:t>
                  </w:r>
                  <w:r>
                    <w:rPr>
                      <w:spacing w:val="-1"/>
                      <w:sz w:val="14"/>
                      <w:szCs w:val="14"/>
                      <w:lang w:val="es-ES_tradnl"/>
                    </w:rPr>
                    <w:t>CNICA LUIS VARGAS TORRES DE ESMERALDAS</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sz w:val="14"/>
                      <w:szCs w:val="14"/>
                      <w:lang w:val="es-ES_tradnl"/>
                    </w:rPr>
                    <w:t>SBU</w:t>
                  </w:r>
                </w:p>
              </w:tc>
              <w:tc>
                <w:tcPr>
                  <w:tcW w:w="58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58"/>
                    <w:jc w:val="right"/>
                    <w:rPr>
                      <w:sz w:val="14"/>
                      <w:szCs w:val="14"/>
                    </w:rPr>
                  </w:pPr>
                  <w:r>
                    <w:rPr>
                      <w:sz w:val="14"/>
                      <w:szCs w:val="14"/>
                      <w:lang w:val="es-ES_tradnl"/>
                    </w:rPr>
                    <w:t>3300</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29"/>
                    <w:jc w:val="right"/>
                    <w:rPr>
                      <w:sz w:val="14"/>
                      <w:szCs w:val="14"/>
                    </w:rPr>
                  </w:pPr>
                  <w:r>
                    <w:rPr>
                      <w:sz w:val="14"/>
                      <w:szCs w:val="14"/>
                      <w:lang w:val="es-ES_tradnl"/>
                    </w:rPr>
                    <w:t>SBU</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rPr>
                      <w:sz w:val="14"/>
                      <w:szCs w:val="14"/>
                    </w:rPr>
                  </w:pPr>
                  <w:r>
                    <w:rPr>
                      <w:sz w:val="14"/>
                      <w:szCs w:val="14"/>
                      <w:lang w:val="es-ES_tradnl"/>
                    </w:rPr>
                    <w:t>2600</w:t>
                  </w:r>
                </w:p>
              </w:tc>
              <w:tc>
                <w:tcPr>
                  <w:tcW w:w="47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4"/>
                    <w:rPr>
                      <w:sz w:val="14"/>
                      <w:szCs w:val="14"/>
                    </w:rPr>
                  </w:pPr>
                  <w:r>
                    <w:rPr>
                      <w:sz w:val="14"/>
                      <w:szCs w:val="14"/>
                      <w:lang w:val="es-ES_tradnl"/>
                    </w:rPr>
                    <w:t>1676</w:t>
                  </w:r>
                </w:p>
              </w:tc>
              <w:tc>
                <w:tcPr>
                  <w:tcW w:w="4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485"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48"/>
                    <w:jc w:val="right"/>
                    <w:rPr>
                      <w:sz w:val="14"/>
                      <w:szCs w:val="14"/>
                    </w:rPr>
                  </w:pPr>
                  <w:r>
                    <w:rPr>
                      <w:sz w:val="14"/>
                      <w:szCs w:val="14"/>
                      <w:lang w:val="es-ES_tradnl"/>
                    </w:rPr>
                    <w:t>901</w:t>
                  </w:r>
                </w:p>
              </w:tc>
              <w:tc>
                <w:tcPr>
                  <w:tcW w:w="470"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left="19"/>
                    <w:rPr>
                      <w:sz w:val="14"/>
                      <w:szCs w:val="14"/>
                    </w:rPr>
                  </w:pPr>
                  <w:r>
                    <w:rPr>
                      <w:sz w:val="14"/>
                      <w:szCs w:val="14"/>
                      <w:lang w:val="es-ES_tradnl"/>
                    </w:rPr>
                    <w:t>SBU</w:t>
                  </w:r>
                </w:p>
              </w:tc>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9D4135" w:rsidRDefault="009D4135" w:rsidP="009D4135">
                  <w:pPr>
                    <w:shd w:val="clear" w:color="auto" w:fill="FFFFFF"/>
                    <w:ind w:right="77"/>
                    <w:jc w:val="right"/>
                    <w:rPr>
                      <w:sz w:val="14"/>
                      <w:szCs w:val="14"/>
                    </w:rPr>
                  </w:pPr>
                  <w:r>
                    <w:rPr>
                      <w:sz w:val="14"/>
                      <w:szCs w:val="14"/>
                      <w:lang w:val="es-ES_tradnl"/>
                    </w:rPr>
                    <w:t>733</w:t>
                  </w:r>
                </w:p>
              </w:tc>
            </w:tr>
          </w:tbl>
          <w:p w:rsidR="00C674B1" w:rsidRPr="00610B20" w:rsidRDefault="00C674B1" w:rsidP="009D4135">
            <w:pPr>
              <w:spacing w:after="0"/>
              <w:jc w:val="both"/>
              <w:rPr>
                <w:rFonts w:ascii="Arial" w:eastAsia="Times New Roman" w:hAnsi="Arial" w:cs="Arial"/>
                <w:b/>
                <w:color w:val="000080"/>
                <w:sz w:val="20"/>
                <w:szCs w:val="20"/>
                <w:lang w:eastAsia="es-ES"/>
              </w:rPr>
            </w:pPr>
          </w:p>
        </w:tc>
      </w:tr>
    </w:tbl>
    <w:p w:rsidR="008331CB" w:rsidRDefault="008331CB" w:rsidP="007620F4">
      <w:pPr>
        <w:jc w:val="both"/>
      </w:pPr>
    </w:p>
    <w:p w:rsidR="00B0720F" w:rsidRDefault="00B0720F" w:rsidP="007620F4">
      <w:pPr>
        <w:jc w:val="both"/>
      </w:pPr>
      <w:r w:rsidRPr="00610B20">
        <w:rPr>
          <w:noProof/>
          <w:lang w:eastAsia="es-EC"/>
        </w:rPr>
        <mc:AlternateContent>
          <mc:Choice Requires="wps">
            <w:drawing>
              <wp:anchor distT="0" distB="0" distL="114300" distR="114300" simplePos="0" relativeHeight="251671552" behindDoc="0" locked="0" layoutInCell="1" allowOverlap="1" wp14:anchorId="3A499DEE" wp14:editId="353C7C24">
                <wp:simplePos x="0" y="0"/>
                <wp:positionH relativeFrom="margin">
                  <wp:posOffset>0</wp:posOffset>
                </wp:positionH>
                <wp:positionV relativeFrom="paragraph">
                  <wp:posOffset>-635</wp:posOffset>
                </wp:positionV>
                <wp:extent cx="1487606" cy="228600"/>
                <wp:effectExtent l="0" t="0" r="1778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606" cy="228600"/>
                        </a:xfrm>
                        <a:prstGeom prst="rect">
                          <a:avLst/>
                        </a:prstGeom>
                        <a:solidFill>
                          <a:srgbClr val="000080"/>
                        </a:solidFill>
                        <a:ln w="9525">
                          <a:solidFill>
                            <a:srgbClr val="000080"/>
                          </a:solidFill>
                          <a:miter lim="800000"/>
                          <a:headEnd/>
                          <a:tailEnd/>
                        </a:ln>
                      </wps:spPr>
                      <wps:txbx>
                        <w:txbxContent>
                          <w:p w:rsidR="002B108A" w:rsidRPr="00567E83" w:rsidRDefault="002B108A" w:rsidP="00B0720F">
                            <w:pPr>
                              <w:jc w:val="both"/>
                              <w:rPr>
                                <w:rFonts w:ascii="Arial" w:hAnsi="Arial" w:cs="Arial"/>
                                <w:b/>
                                <w:color w:val="FFFFFF"/>
                                <w:sz w:val="20"/>
                                <w:szCs w:val="20"/>
                              </w:rPr>
                            </w:pPr>
                            <w:proofErr w:type="spellStart"/>
                            <w:r>
                              <w:rPr>
                                <w:rFonts w:ascii="Arial" w:hAnsi="Arial" w:cs="Arial"/>
                                <w:b/>
                                <w:color w:val="FFFFFF"/>
                                <w:sz w:val="20"/>
                                <w:szCs w:val="20"/>
                              </w:rPr>
                              <w:t>Luners</w:t>
                            </w:r>
                            <w:proofErr w:type="spellEnd"/>
                            <w:r>
                              <w:rPr>
                                <w:rFonts w:ascii="Arial" w:hAnsi="Arial" w:cs="Arial"/>
                                <w:b/>
                                <w:color w:val="FFFFFF"/>
                                <w:sz w:val="20"/>
                                <w:szCs w:val="20"/>
                              </w:rPr>
                              <w:t xml:space="preserve"> 26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499DEE" id="Cuadro de texto 6" o:spid="_x0000_s1032" type="#_x0000_t202" style="position:absolute;left:0;text-align:left;margin-left:0;margin-top:-.05pt;width:117.15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fLAIAAF4EAAAOAAAAZHJzL2Uyb0RvYy54bWysVNtu2zAMfR+wfxD0vtoJ0jQ16hRdug4D&#10;ugvQ7QMUSY6FyaJGKbG7rx8lO1m2vRXLgyCG1CF5Dumb26Gz7KAxGHA1n12UnGknQRm3q/m3rw9v&#10;VpyFKJwSFpyu+bMO/Hb9+tVN7ys9hxas0sgIxIWq9zVvY/RVUQTZ6k6EC/DakbMB7EQkE3eFQtET&#10;emeLeVkuix5QeQSpQ6B/70cnX2f8ptEyfm6aoCOzNafaYj4xn9t0FusbUe1Q+NbIqQzxgio6YRwl&#10;PUHdiyjYHs0/UJ2RCAGaeCGhK6BpjNS5B+pmVv7VzVMrvM69EDnBn2gK/w9Wfjp8QWZUzZecOdGR&#10;RJu9UAhMaRb1EIEtE0m9DxXFPnmKjsNbGEjs3HDwjyC/B+Zg0wq303eI0LdaKCpyll4WZ09HnJBA&#10;tv1HUJRN7CNkoKHBLjFInDBCJ7GeTwJRHUymlIvV1bKkSiX55vPVsswKFqI6vvYY4nsNHUuXmiMN&#10;QEYXh8cQUzWiOoakZAGsUQ/G2mzgbruxyA4iDQv9Vkf0P8KsY33Nry/nlyMBL4DoTKSpt6ar+Sol&#10;muYw0fbOqTyTURg73qlk6yYeE3UjiXHYDpNukzxbUM9ELMI45LSUdGkBf3LW04DXPPzYC9Sc2Q+O&#10;xLmeLRZpI7KxuLyak4Hnnu25RzhJUDWPnI3XTRy3aO/R7FrKNI6DgzsStDGZ66T8WNVUPg1xlmBa&#10;uLQl53aO+v1ZWP8CAAD//wMAUEsDBBQABgAIAAAAIQDigv1U3QAAAAUBAAAPAAAAZHJzL2Rvd25y&#10;ZXYueG1sTI/LTsMwEEX3SPyDNUjsWqc1IBriVIjXgh0lVO3OjadJ1HgcxW4S/p5hBcvRvTr3TLae&#10;XCsG7EPjScNinoBAKr1tqNJQfL7O7kGEaMia1hNq+MYA6/zyIjOp9SN94LCJlWAIhdRoqGPsUilD&#10;WaMzYe47JM6Ovncm8tlX0vZmZLhr5TJJ7qQzDfFCbTp8qrE8bc6OKVv1vn2uhuPubVR7V7ycdslX&#10;ofX11fT4ACLiFP/K8KvP6pCz08GfyQbRauBHoobZAgSHS3WjQBw0qNsVyDyT/+3zHwAAAP//AwBQ&#10;SwECLQAUAAYACAAAACEAtoM4kv4AAADhAQAAEwAAAAAAAAAAAAAAAAAAAAAAW0NvbnRlbnRfVHlw&#10;ZXNdLnhtbFBLAQItABQABgAIAAAAIQA4/SH/1gAAAJQBAAALAAAAAAAAAAAAAAAAAC8BAABfcmVs&#10;cy8ucmVsc1BLAQItABQABgAIAAAAIQDxg0+fLAIAAF4EAAAOAAAAAAAAAAAAAAAAAC4CAABkcnMv&#10;ZTJvRG9jLnhtbFBLAQItABQABgAIAAAAIQDigv1U3QAAAAUBAAAPAAAAAAAAAAAAAAAAAIYEAABk&#10;cnMvZG93bnJldi54bWxQSwUGAAAAAAQABADzAAAAkAUAAAAA&#10;" fillcolor="navy" strokecolor="navy">
                <v:textbox>
                  <w:txbxContent>
                    <w:p w:rsidR="00B0720F" w:rsidRPr="00567E83" w:rsidRDefault="00B0720F" w:rsidP="00B0720F">
                      <w:pPr>
                        <w:jc w:val="both"/>
                        <w:rPr>
                          <w:rFonts w:ascii="Arial" w:hAnsi="Arial" w:cs="Arial"/>
                          <w:b/>
                          <w:color w:val="FFFFFF"/>
                          <w:sz w:val="20"/>
                          <w:szCs w:val="20"/>
                        </w:rPr>
                      </w:pPr>
                      <w:proofErr w:type="spellStart"/>
                      <w:r>
                        <w:rPr>
                          <w:rFonts w:ascii="Arial" w:hAnsi="Arial" w:cs="Arial"/>
                          <w:b/>
                          <w:color w:val="FFFFFF"/>
                          <w:sz w:val="20"/>
                          <w:szCs w:val="20"/>
                        </w:rPr>
                        <w:t>Luners</w:t>
                      </w:r>
                      <w:proofErr w:type="spellEnd"/>
                      <w:r>
                        <w:rPr>
                          <w:rFonts w:ascii="Arial" w:hAnsi="Arial" w:cs="Arial"/>
                          <w:b/>
                          <w:color w:val="FFFFFF"/>
                          <w:sz w:val="20"/>
                          <w:szCs w:val="20"/>
                        </w:rPr>
                        <w:t xml:space="preserve"> 26 de 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B0720F" w:rsidRPr="00610B20" w:rsidTr="002B108A">
        <w:trPr>
          <w:trHeight w:val="1380"/>
        </w:trPr>
        <w:tc>
          <w:tcPr>
            <w:tcW w:w="9257" w:type="dxa"/>
            <w:shd w:val="clear" w:color="auto" w:fill="DDFFFF"/>
          </w:tcPr>
          <w:p w:rsidR="00B0720F" w:rsidRPr="00610B20" w:rsidRDefault="00B0720F" w:rsidP="000F67EA">
            <w:pPr>
              <w:spacing w:after="0"/>
              <w:ind w:left="738"/>
              <w:jc w:val="left"/>
              <w:rPr>
                <w:rFonts w:ascii="Times New Roman" w:eastAsia="Times New Roman" w:hAnsi="Times New Roman" w:cs="Times New Roman"/>
                <w:sz w:val="24"/>
                <w:szCs w:val="24"/>
                <w:lang w:eastAsia="es-ES"/>
              </w:rPr>
            </w:pPr>
          </w:p>
          <w:p w:rsidR="00B0720F" w:rsidRPr="00B0720F" w:rsidRDefault="00B0720F" w:rsidP="000F67EA">
            <w:pPr>
              <w:spacing w:after="0"/>
              <w:ind w:left="738"/>
              <w:rPr>
                <w:rFonts w:ascii="Arial" w:eastAsia="Times New Roman" w:hAnsi="Arial" w:cs="Arial"/>
                <w:b/>
                <w:color w:val="000080"/>
                <w:sz w:val="20"/>
                <w:szCs w:val="20"/>
                <w:lang w:val="es-ES_tradnl" w:eastAsia="es-ES"/>
              </w:rPr>
            </w:pPr>
            <w:r w:rsidRPr="00B0720F">
              <w:rPr>
                <w:rFonts w:ascii="Arial" w:eastAsia="Times New Roman" w:hAnsi="Arial" w:cs="Arial"/>
                <w:b/>
                <w:color w:val="000080"/>
                <w:sz w:val="20"/>
                <w:szCs w:val="20"/>
                <w:lang w:val="es-ES_tradnl" w:eastAsia="es-ES"/>
              </w:rPr>
              <w:t>NORMA</w:t>
            </w:r>
            <w:r>
              <w:rPr>
                <w:rFonts w:ascii="Arial" w:eastAsia="Times New Roman" w:hAnsi="Arial" w:cs="Arial"/>
                <w:b/>
                <w:color w:val="000080"/>
                <w:sz w:val="20"/>
                <w:szCs w:val="20"/>
                <w:lang w:val="es-ES_tradnl" w:eastAsia="es-ES"/>
              </w:rPr>
              <w:t xml:space="preserve"> </w:t>
            </w:r>
            <w:r w:rsidRPr="00B0720F">
              <w:rPr>
                <w:rFonts w:ascii="Arial" w:eastAsia="Times New Roman" w:hAnsi="Arial" w:cs="Arial"/>
                <w:b/>
                <w:color w:val="000080"/>
                <w:sz w:val="20"/>
                <w:szCs w:val="20"/>
                <w:lang w:val="es-ES_tradnl" w:eastAsia="es-ES"/>
              </w:rPr>
              <w:t>TÉCNICA PARA EL TENDIDO</w:t>
            </w:r>
            <w:r>
              <w:rPr>
                <w:rFonts w:ascii="Arial" w:eastAsia="Times New Roman" w:hAnsi="Arial" w:cs="Arial"/>
                <w:b/>
                <w:color w:val="000080"/>
                <w:sz w:val="20"/>
                <w:szCs w:val="20"/>
                <w:lang w:val="es-ES_tradnl" w:eastAsia="es-ES"/>
              </w:rPr>
              <w:t xml:space="preserve"> </w:t>
            </w:r>
            <w:r w:rsidRPr="00B0720F">
              <w:rPr>
                <w:rFonts w:ascii="Arial" w:eastAsia="Times New Roman" w:hAnsi="Arial" w:cs="Arial"/>
                <w:b/>
                <w:color w:val="000080"/>
                <w:sz w:val="20"/>
                <w:szCs w:val="20"/>
                <w:lang w:val="es-ES_tradnl" w:eastAsia="es-ES"/>
              </w:rPr>
              <w:t>DE REDES AÉREAS DE SERVICIOS DE</w:t>
            </w:r>
          </w:p>
          <w:p w:rsidR="00B0720F" w:rsidRPr="00B0720F" w:rsidRDefault="00B0720F" w:rsidP="000F67EA">
            <w:pPr>
              <w:spacing w:after="0"/>
              <w:ind w:left="738"/>
              <w:rPr>
                <w:rFonts w:ascii="Arial" w:eastAsia="Times New Roman" w:hAnsi="Arial" w:cs="Arial"/>
                <w:b/>
                <w:color w:val="000080"/>
                <w:sz w:val="20"/>
                <w:szCs w:val="20"/>
                <w:lang w:val="es-ES_tradnl" w:eastAsia="es-ES"/>
              </w:rPr>
            </w:pPr>
            <w:r w:rsidRPr="00B0720F">
              <w:rPr>
                <w:rFonts w:ascii="Arial" w:eastAsia="Times New Roman" w:hAnsi="Arial" w:cs="Arial"/>
                <w:b/>
                <w:color w:val="000080"/>
                <w:sz w:val="20"/>
                <w:szCs w:val="20"/>
                <w:lang w:val="es-ES_tradnl" w:eastAsia="es-ES"/>
              </w:rPr>
              <w:t>TELECOMUNICACIONES, SERVICIOS DE AUDIO Y</w:t>
            </w:r>
            <w:r>
              <w:rPr>
                <w:rFonts w:ascii="Arial" w:eastAsia="Times New Roman" w:hAnsi="Arial" w:cs="Arial"/>
                <w:b/>
                <w:color w:val="000080"/>
                <w:sz w:val="20"/>
                <w:szCs w:val="20"/>
                <w:lang w:val="es-ES_tradnl" w:eastAsia="es-ES"/>
              </w:rPr>
              <w:t xml:space="preserve"> </w:t>
            </w:r>
            <w:r w:rsidRPr="00B0720F">
              <w:rPr>
                <w:rFonts w:ascii="Arial" w:eastAsia="Times New Roman" w:hAnsi="Arial" w:cs="Arial"/>
                <w:b/>
                <w:color w:val="000080"/>
                <w:sz w:val="20"/>
                <w:szCs w:val="20"/>
                <w:lang w:val="es-ES_tradnl" w:eastAsia="es-ES"/>
              </w:rPr>
              <w:t>VIDEO POR SUSCRIPCIÓN</w:t>
            </w:r>
          </w:p>
          <w:p w:rsidR="00B0720F" w:rsidRDefault="00B0720F" w:rsidP="000F67EA">
            <w:pPr>
              <w:spacing w:after="0"/>
              <w:ind w:left="738"/>
              <w:rPr>
                <w:rFonts w:ascii="Arial" w:eastAsia="Times New Roman" w:hAnsi="Arial" w:cs="Arial"/>
                <w:b/>
                <w:color w:val="000080"/>
                <w:sz w:val="20"/>
                <w:szCs w:val="20"/>
                <w:lang w:val="es-ES_tradnl" w:eastAsia="es-ES"/>
              </w:rPr>
            </w:pPr>
            <w:r w:rsidRPr="00B0720F">
              <w:rPr>
                <w:rFonts w:ascii="Arial" w:eastAsia="Times New Roman" w:hAnsi="Arial" w:cs="Arial"/>
                <w:b/>
                <w:color w:val="000080"/>
                <w:sz w:val="20"/>
                <w:szCs w:val="20"/>
                <w:lang w:val="es-ES_tradnl" w:eastAsia="es-ES"/>
              </w:rPr>
              <w:t>Y REDES PRIVADAS</w:t>
            </w:r>
          </w:p>
          <w:p w:rsidR="00B0720F" w:rsidRPr="00610B20" w:rsidRDefault="00B0720F" w:rsidP="000F67EA">
            <w:pPr>
              <w:spacing w:after="0"/>
              <w:ind w:left="738"/>
              <w:rPr>
                <w:rFonts w:ascii="Arial" w:eastAsia="Times New Roman" w:hAnsi="Arial" w:cs="Arial"/>
                <w:b/>
                <w:color w:val="000080"/>
                <w:sz w:val="20"/>
                <w:szCs w:val="20"/>
                <w:lang w:val="es-ES_tradnl" w:eastAsia="es-ES"/>
              </w:rPr>
            </w:pPr>
          </w:p>
          <w:p w:rsidR="00B0720F" w:rsidRPr="00610B20" w:rsidRDefault="00B0720F" w:rsidP="000F67EA">
            <w:pPr>
              <w:spacing w:after="0"/>
              <w:ind w:left="738"/>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Pr="00610B20">
              <w:rPr>
                <w:rFonts w:ascii="Arial" w:eastAsia="Times New Roman" w:hAnsi="Arial" w:cs="Arial"/>
                <w:color w:val="000080"/>
                <w:sz w:val="20"/>
                <w:szCs w:val="20"/>
                <w:lang w:eastAsia="es-ES"/>
              </w:rPr>
              <w:t xml:space="preserve">Resolución de la </w:t>
            </w:r>
            <w:r w:rsidRPr="00B0720F">
              <w:rPr>
                <w:rFonts w:ascii="Arial" w:eastAsia="Times New Roman" w:hAnsi="Arial" w:cs="Arial"/>
                <w:color w:val="000080"/>
                <w:sz w:val="20"/>
                <w:szCs w:val="20"/>
                <w:lang w:eastAsia="es-ES"/>
              </w:rPr>
              <w:t xml:space="preserve">ARCOTEL </w:t>
            </w:r>
            <w:r>
              <w:rPr>
                <w:rFonts w:ascii="Arial" w:eastAsia="Times New Roman" w:hAnsi="Arial" w:cs="Arial"/>
                <w:color w:val="000080"/>
                <w:sz w:val="20"/>
                <w:szCs w:val="20"/>
                <w:lang w:eastAsia="es-ES"/>
              </w:rPr>
              <w:t>0568</w:t>
            </w:r>
            <w:r w:rsidRPr="00610B20">
              <w:rPr>
                <w:rFonts w:ascii="Arial" w:eastAsia="Times New Roman" w:hAnsi="Arial" w:cs="Arial"/>
                <w:color w:val="000080"/>
                <w:sz w:val="20"/>
                <w:szCs w:val="20"/>
                <w:lang w:eastAsia="es-ES"/>
              </w:rPr>
              <w:t xml:space="preserve">, publicada en el Registro Oficial </w:t>
            </w:r>
            <w:r>
              <w:rPr>
                <w:rFonts w:ascii="Arial" w:eastAsia="Times New Roman" w:hAnsi="Arial" w:cs="Arial"/>
                <w:color w:val="000080"/>
                <w:sz w:val="20"/>
                <w:szCs w:val="20"/>
                <w:lang w:eastAsia="es-ES"/>
              </w:rPr>
              <w:t>615 de 26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B0720F" w:rsidRDefault="00B0720F" w:rsidP="000F67EA">
            <w:pPr>
              <w:spacing w:after="0"/>
              <w:ind w:left="738"/>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B0720F" w:rsidRDefault="002B108A" w:rsidP="000F67EA">
            <w:pPr>
              <w:spacing w:after="0"/>
              <w:ind w:left="738"/>
              <w:jc w:val="both"/>
              <w:rPr>
                <w:rFonts w:ascii="Arial" w:eastAsia="Times New Roman" w:hAnsi="Arial" w:cs="Arial"/>
                <w:b/>
                <w:color w:val="000080"/>
                <w:sz w:val="20"/>
                <w:szCs w:val="20"/>
                <w:lang w:eastAsia="es-ES"/>
              </w:rPr>
            </w:pPr>
            <w:hyperlink r:id="rId15" w:history="1">
              <w:r w:rsidRPr="002B108A">
                <w:rPr>
                  <w:rStyle w:val="Hipervnculo"/>
                  <w:rFonts w:ascii="Arial" w:eastAsia="Times New Roman" w:hAnsi="Arial" w:cs="Arial"/>
                  <w:b/>
                  <w:sz w:val="20"/>
                  <w:szCs w:val="20"/>
                  <w:lang w:eastAsia="es-ES"/>
                </w:rPr>
                <w:t>Ver vigencia</w:t>
              </w:r>
            </w:hyperlink>
          </w:p>
          <w:p w:rsidR="002B108A" w:rsidRDefault="002B108A"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Artículo 1.- Objeto.- La presente norma técnica tiene como objeto, regular el despliegue y tendido, identificación, ordenamiento y reubicación de las redes físicas aéreas de servicios de telecomunicaciones, servicios por suscripción (audio y video modalidad cable físico) y redes privadas.</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Artículo 2.- Ámbito.- Esta Norma aplica a todas las personas naturales y jurídicas, empresas públicas, privadas o mixtas y de economía popular y solidaria, que posean títulos habilitantes otorgados por ARCOTEL, para la prestación de servicios de telecomunicaciones, servicios por suscripción (audio y video modalidad cable físico) y redes privadas, propietarias de redes físicas aéreas, así como a los propietarios de postes y las entidades gubernamentales y seccionales que tengan competencia sobre las infraestructuras en las cuales se instalan redes físicas aéreas en todo el territorio nacional.</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En cuanto al ordenamiento y soterramiento de redes se acatará lo dispuesto en la política que emita el Ministerio Rector de las Telecomunicaciones y de la Sociedad de la Información, conforme la Ley Orgánica de Telecomunicaciones - LOT.</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lastRenderedPageBreak/>
              <w:t>Artículo 3.- Responsabilidad.- El despliegue de redes físicas aéreas, solo podrá ser realizado por los poseedores de títulos habilitantes considerados en el ámbito de aplicación de la presente Norma, para cuyo efecto se sujetarán a las disposiciones contenidas en el ordenamiento jurídico vigente.</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Para el despliegue y tendido de redes físicas aéreas los poseedores de títulos habilitantes, deberán contar con la respectiva autorización</w:t>
            </w:r>
            <w:r>
              <w:rPr>
                <w:rFonts w:ascii="Arial" w:eastAsia="Times New Roman" w:hAnsi="Arial" w:cs="Arial"/>
                <w:color w:val="000080"/>
                <w:sz w:val="20"/>
                <w:szCs w:val="20"/>
                <w:lang w:eastAsia="es-ES"/>
              </w:rPr>
              <w:t xml:space="preserve"> a través de un contrato de uso </w:t>
            </w:r>
            <w:r w:rsidRPr="00B0720F">
              <w:rPr>
                <w:rFonts w:ascii="Arial" w:eastAsia="Times New Roman" w:hAnsi="Arial" w:cs="Arial"/>
                <w:color w:val="000080"/>
                <w:sz w:val="20"/>
                <w:szCs w:val="20"/>
                <w:lang w:eastAsia="es-ES"/>
              </w:rPr>
              <w:t>de postes con la empresa eléctrica o el propietario de los mismos, siendo responsabilidad de los poseedores de los títulos habilitantes en su calidad de propietarios de las redes, el desplegarlas y mantenerlas de conformidad con lo dispuesto en la presente Norma, en sus títulos habilitantes y demás disposiciones del ordenamiento jurídico vigente.</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Corresponde a la Dirección Ejecutiva de la ARCOTEL a través de sus distintos organismos competentes, verificar el cumplimiento de la presente norma técnica.</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Artículo 4.- Definiciones.- Los términos técnicos empleados en esta Norma y no definidos, tendrán el significado establecido en la Ley Orgánica de Telecomunicaciones, en el Reglamento General a la Ley Orgánica de Telecomunicaciones, en las resoluciones o normativa de la Unión Internacional de Telecomunicaciones (UIT), en los convenios y tratados internacionales ratificados por el Ecuador; y, en las regulaciones respectivas emitidas por la ARCOTEL.</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Para efectos de la presente Norma, se adoptan las siguientes definiciones:</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Abonado/Cliente/Suscriptor.- El usuario que haya suscrito un contrato de adhesión con el prestador de servicios de Telecomunicaciones, se denomina abonado o suscriptor y el usuario que haya negociado las cláusulas con el Prestador se denomina Cliente, de conformidad con el Artículo 21 de la LOT.</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ARCOTEL.- Agencia de Regulación y Control de las Telecomunicaciones.</w:t>
            </w: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Elementos activos.- Son dispositivos de una red física que requieren de alimentación eléctrica para su funcionamiento. Entre los elementos activos más comunes, se tiene: fuentes de poder, amplificadores, nodos ópticos, entre otros relacionados con el tendido de redes físicas aéreas de telecomunicaciones.</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 xml:space="preserve">Elementos pasivos.- Son aquellos componentes de una red física aérea que no requieren de alimentación eléctrica para su funcionamiento. Entre los elementos pasivos más comunes de manera ejemplificativa pero no limitativa se tiene: cajas de dispersión, cajas de distribución, armarios de distribución, mangas de empalme, </w:t>
            </w:r>
            <w:proofErr w:type="gramStart"/>
            <w:r w:rsidRPr="00B0720F">
              <w:rPr>
                <w:rFonts w:ascii="Arial" w:eastAsia="Times New Roman" w:hAnsi="Arial" w:cs="Arial"/>
                <w:color w:val="000080"/>
                <w:sz w:val="20"/>
                <w:szCs w:val="20"/>
                <w:lang w:eastAsia="es-ES"/>
              </w:rPr>
              <w:t>divisores, acopladores</w:t>
            </w:r>
            <w:proofErr w:type="gramEnd"/>
            <w:r w:rsidRPr="00B0720F">
              <w:rPr>
                <w:rFonts w:ascii="Arial" w:eastAsia="Times New Roman" w:hAnsi="Arial" w:cs="Arial"/>
                <w:color w:val="000080"/>
                <w:sz w:val="20"/>
                <w:szCs w:val="20"/>
                <w:lang w:eastAsia="es-ES"/>
              </w:rPr>
              <w:t xml:space="preserve">, </w:t>
            </w:r>
            <w:proofErr w:type="spellStart"/>
            <w:r w:rsidRPr="00B0720F">
              <w:rPr>
                <w:rFonts w:ascii="Arial" w:eastAsia="Times New Roman" w:hAnsi="Arial" w:cs="Arial"/>
                <w:color w:val="000080"/>
                <w:sz w:val="20"/>
                <w:szCs w:val="20"/>
                <w:lang w:eastAsia="es-ES"/>
              </w:rPr>
              <w:t>splitters</w:t>
            </w:r>
            <w:proofErr w:type="spellEnd"/>
            <w:r w:rsidRPr="00B0720F">
              <w:rPr>
                <w:rFonts w:ascii="Arial" w:eastAsia="Times New Roman" w:hAnsi="Arial" w:cs="Arial"/>
                <w:color w:val="000080"/>
                <w:sz w:val="20"/>
                <w:szCs w:val="20"/>
                <w:lang w:eastAsia="es-ES"/>
              </w:rPr>
              <w:t>, entre otros relacionados con el tendido de redes físicas aéreas de telecomunicaciones.</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Insumo e infraestructura tecnológica en desuso.- Se define el término insumo e infraestructura en desuso, a todo elemento activo o pasivo que forma parte de la red del prestador de servicios o de la red privada, que se encuentre sin uso, inoperativo, desconectado o destruido.</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MEER.- Ministerio de Electricidad y Energía Renovable.</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Postes.- Estructuras de soporte de equipos, artefactos de alumbrado o conductores.</w:t>
            </w: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Precinto.- Elemento que sirve para sujetar los cables y sus reservas, respecto del tendido aéreo de redes físicas.</w:t>
            </w: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 xml:space="preserve"> </w:t>
            </w: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Prestador de servicios.- Es la persona natural o jurídica, que cuenta con el título habilitante para prestar servicios de telecomunicaciones o de suscripción, de conformidad con la Ley Orgánica de Telecomunicaciones, su Reglamento y demás normativa aplicable.</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 xml:space="preserve">Propietarios de redes físicas aéreas.- Persona Natural o Jurídica, empresas públicas, privadas o de naturaleza mixta y de economía popular y solidaria, poseedoras de un título habilitante que les permite desplegar redes para prestar servicios de telecomunicaciones, de suscripción bajo la modalidad cable físico u operar redes privadas, dentro del territorio </w:t>
            </w:r>
            <w:r w:rsidRPr="00B0720F">
              <w:rPr>
                <w:rFonts w:ascii="Arial" w:eastAsia="Times New Roman" w:hAnsi="Arial" w:cs="Arial"/>
                <w:color w:val="000080"/>
                <w:sz w:val="20"/>
                <w:szCs w:val="20"/>
                <w:lang w:eastAsia="es-ES"/>
              </w:rPr>
              <w:lastRenderedPageBreak/>
              <w:t>ecuatoriano conforme la Ley Orgánica de Telecomunicaciones, su Reglamento y demás normativa aplicable.</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Red de transporte y distribución.- Conjunto de cables que hacen parte de una red física aérea, desde un nodo, centro de distribución o de gestión, hasta el último punto donde es común a varios abonados/clientes/suscriptores. No incluye la red de acometida.</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Red física aérea.- Es el conjunto de dispositivos interconectados mediante el uso de medios físicos tendidos de manera aérea que se comunican entre sí, permitiendo la transmisión, emisión y recepción de voz, de video, de datos o cualquier tipo de señales mediante medios físicos, con independencia del contenido o información cursada, que mantienen las personas naturales o jurídicas contempladas en el artículo 2 de la presente Norma.</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Redes privadas de telecomunicaciones.- Las redes privadas son aquellas utilizadas por personas naturales o jurídicas en su exclusivo beneficio, con el propósito de conectar distintas instalaciones de su propiedad o bajo su control.</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Redes para servicio a abonados/clientes/suscriptores (Acometidas).- Conjunto de cables que hacen parte de una derivación de la red física aérea desde el último punto donde es común a varios abonados/clientes/suscriptores, hasta el acceso a la red de cada uno de estos abonados/ clientes/suscriptores.</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Retiro total de acometida. Es la desinstalación de los insumos e infraestructura tecnológica en desuso desde el último punto donde se derivan los abonados (</w:t>
            </w:r>
            <w:proofErr w:type="spellStart"/>
            <w:r w:rsidRPr="00B0720F">
              <w:rPr>
                <w:rFonts w:ascii="Arial" w:eastAsia="Times New Roman" w:hAnsi="Arial" w:cs="Arial"/>
                <w:color w:val="000080"/>
                <w:sz w:val="20"/>
                <w:szCs w:val="20"/>
                <w:lang w:eastAsia="es-ES"/>
              </w:rPr>
              <w:t>splitter</w:t>
            </w:r>
            <w:proofErr w:type="spellEnd"/>
            <w:r w:rsidRPr="00B0720F">
              <w:rPr>
                <w:rFonts w:ascii="Arial" w:eastAsia="Times New Roman" w:hAnsi="Arial" w:cs="Arial"/>
                <w:color w:val="000080"/>
                <w:sz w:val="20"/>
                <w:szCs w:val="20"/>
                <w:lang w:eastAsia="es-ES"/>
              </w:rPr>
              <w:t xml:space="preserve"> o caja de dispersión) hasta el punto donde empieza la red interna del abonado, cliente o suscriptor.</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Default="00B0720F" w:rsidP="000F67EA">
            <w:pPr>
              <w:spacing w:after="0"/>
              <w:ind w:left="738"/>
              <w:jc w:val="both"/>
              <w:rPr>
                <w:rFonts w:ascii="Arial" w:eastAsia="Times New Roman" w:hAnsi="Arial" w:cs="Arial"/>
                <w:color w:val="000080"/>
                <w:sz w:val="20"/>
                <w:szCs w:val="20"/>
                <w:lang w:eastAsia="es-ES"/>
              </w:rPr>
            </w:pPr>
            <w:r w:rsidRPr="00B0720F">
              <w:rPr>
                <w:rFonts w:ascii="Arial" w:eastAsia="Times New Roman" w:hAnsi="Arial" w:cs="Arial"/>
                <w:color w:val="000080"/>
                <w:sz w:val="20"/>
                <w:szCs w:val="20"/>
                <w:lang w:eastAsia="es-ES"/>
              </w:rPr>
              <w:t>Vano: Distancia entre postes consecutivos en la misma acera que se emplean para el tendido de redes físicas aéreas.</w:t>
            </w:r>
          </w:p>
          <w:p w:rsidR="00B0720F" w:rsidRDefault="00B0720F" w:rsidP="000F67EA">
            <w:pPr>
              <w:spacing w:after="0"/>
              <w:ind w:left="738"/>
              <w:jc w:val="both"/>
              <w:rPr>
                <w:rFonts w:ascii="Arial" w:eastAsia="Times New Roman" w:hAnsi="Arial" w:cs="Arial"/>
                <w:color w:val="000080"/>
                <w:sz w:val="20"/>
                <w:szCs w:val="20"/>
                <w:lang w:eastAsia="es-ES"/>
              </w:rPr>
            </w:pPr>
          </w:p>
          <w:p w:rsidR="00B0720F" w:rsidRPr="00B0720F" w:rsidRDefault="00B0720F" w:rsidP="000F67EA">
            <w:pPr>
              <w:spacing w:after="0"/>
              <w:ind w:left="738"/>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p>
          <w:p w:rsidR="00B0720F" w:rsidRPr="00610B20" w:rsidRDefault="00B0720F" w:rsidP="000F67EA">
            <w:pPr>
              <w:spacing w:after="0"/>
              <w:ind w:left="738"/>
              <w:jc w:val="both"/>
              <w:rPr>
                <w:rFonts w:ascii="Times New Roman" w:eastAsia="Times New Roman" w:hAnsi="Times New Roman" w:cs="Times New Roman"/>
                <w:sz w:val="24"/>
                <w:szCs w:val="24"/>
                <w:lang w:eastAsia="es-ES"/>
              </w:rPr>
            </w:pPr>
          </w:p>
        </w:tc>
      </w:tr>
      <w:tr w:rsidR="00B0720F" w:rsidRPr="00610B20" w:rsidTr="002B108A">
        <w:trPr>
          <w:trHeight w:val="1380"/>
        </w:trPr>
        <w:tc>
          <w:tcPr>
            <w:tcW w:w="9257" w:type="dxa"/>
            <w:shd w:val="clear" w:color="auto" w:fill="E6F1DF"/>
          </w:tcPr>
          <w:p w:rsidR="00B0720F" w:rsidRPr="00610B20" w:rsidRDefault="00B0720F" w:rsidP="002B108A">
            <w:pPr>
              <w:spacing w:after="0"/>
              <w:jc w:val="left"/>
              <w:rPr>
                <w:rFonts w:ascii="Times New Roman" w:eastAsia="Times New Roman" w:hAnsi="Times New Roman" w:cs="Times New Roman"/>
                <w:sz w:val="24"/>
                <w:szCs w:val="24"/>
                <w:lang w:eastAsia="es-ES"/>
              </w:rPr>
            </w:pPr>
          </w:p>
          <w:p w:rsidR="000F67EA" w:rsidRPr="000F67EA" w:rsidRDefault="000F67EA" w:rsidP="000F67E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LEY ORGÁNICA DE PREVENCIÓN INTEGRAL DEL FENÓMENO </w:t>
            </w:r>
            <w:r w:rsidRPr="000F67EA">
              <w:rPr>
                <w:rFonts w:ascii="Arial" w:eastAsia="Times New Roman" w:hAnsi="Arial" w:cs="Arial"/>
                <w:b/>
                <w:color w:val="000080"/>
                <w:sz w:val="20"/>
                <w:szCs w:val="20"/>
                <w:lang w:val="es-ES_tradnl" w:eastAsia="es-ES"/>
              </w:rPr>
              <w:t>SOCIO ECONÓMICO</w:t>
            </w:r>
          </w:p>
          <w:p w:rsidR="000F67EA" w:rsidRPr="000F67EA" w:rsidRDefault="000F67EA" w:rsidP="000F67E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DE LAS DROGAS Y DE REGULACIÓN Y CONTROL </w:t>
            </w:r>
            <w:r w:rsidRPr="000F67EA">
              <w:rPr>
                <w:rFonts w:ascii="Arial" w:eastAsia="Times New Roman" w:hAnsi="Arial" w:cs="Arial"/>
                <w:b/>
                <w:color w:val="000080"/>
                <w:sz w:val="20"/>
                <w:szCs w:val="20"/>
                <w:lang w:val="es-ES_tradnl" w:eastAsia="es-ES"/>
              </w:rPr>
              <w:t>DEL USO DE SUSTANCIAS</w:t>
            </w:r>
          </w:p>
          <w:p w:rsidR="00B0720F" w:rsidRDefault="000F67EA" w:rsidP="000F67E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 xml:space="preserve">CATALOGADAS SUJETAS A </w:t>
            </w:r>
            <w:r w:rsidRPr="000F67EA">
              <w:rPr>
                <w:rFonts w:ascii="Arial" w:eastAsia="Times New Roman" w:hAnsi="Arial" w:cs="Arial"/>
                <w:b/>
                <w:color w:val="000080"/>
                <w:sz w:val="20"/>
                <w:szCs w:val="20"/>
                <w:lang w:val="es-ES_tradnl" w:eastAsia="es-ES"/>
              </w:rPr>
              <w:t xml:space="preserve">FISCALIZACIÓN </w:t>
            </w:r>
          </w:p>
          <w:p w:rsidR="000F67EA" w:rsidRPr="000F67EA" w:rsidRDefault="000F67EA" w:rsidP="000F67EA">
            <w:pPr>
              <w:spacing w:after="0"/>
              <w:rPr>
                <w:rFonts w:ascii="Arial" w:eastAsia="Times New Roman" w:hAnsi="Arial" w:cs="Arial"/>
                <w:b/>
                <w:color w:val="000080"/>
                <w:sz w:val="20"/>
                <w:szCs w:val="20"/>
                <w:lang w:val="es-ES_tradnl" w:eastAsia="es-ES"/>
              </w:rPr>
            </w:pPr>
          </w:p>
          <w:p w:rsidR="00B0720F" w:rsidRPr="00610B20" w:rsidRDefault="00B0720F"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0F67EA">
              <w:rPr>
                <w:rFonts w:ascii="Arial" w:eastAsia="Times New Roman" w:hAnsi="Arial" w:cs="Arial"/>
                <w:color w:val="000080"/>
                <w:sz w:val="20"/>
                <w:szCs w:val="20"/>
                <w:lang w:eastAsia="es-ES"/>
              </w:rPr>
              <w:t>Ley s/n</w:t>
            </w:r>
            <w:r w:rsidRPr="00610B20">
              <w:rPr>
                <w:rFonts w:ascii="Arial" w:eastAsia="Times New Roman" w:hAnsi="Arial" w:cs="Arial"/>
                <w:color w:val="000080"/>
                <w:sz w:val="20"/>
                <w:szCs w:val="20"/>
                <w:lang w:eastAsia="es-ES"/>
              </w:rPr>
              <w:t xml:space="preserve">, publicada en el </w:t>
            </w:r>
            <w:r w:rsidR="000F67EA">
              <w:rPr>
                <w:rFonts w:ascii="Arial" w:eastAsia="Times New Roman" w:hAnsi="Arial" w:cs="Arial"/>
                <w:color w:val="000080"/>
                <w:sz w:val="20"/>
                <w:szCs w:val="20"/>
                <w:lang w:eastAsia="es-ES"/>
              </w:rPr>
              <w:t xml:space="preserve">Suplemento del </w:t>
            </w:r>
            <w:r w:rsidRPr="00610B20">
              <w:rPr>
                <w:rFonts w:ascii="Arial" w:eastAsia="Times New Roman" w:hAnsi="Arial" w:cs="Arial"/>
                <w:color w:val="000080"/>
                <w:sz w:val="20"/>
                <w:szCs w:val="20"/>
                <w:lang w:eastAsia="es-ES"/>
              </w:rPr>
              <w:t xml:space="preserve">Registro Oficial </w:t>
            </w:r>
            <w:r w:rsidR="000F67EA">
              <w:rPr>
                <w:rFonts w:ascii="Arial" w:eastAsia="Times New Roman" w:hAnsi="Arial" w:cs="Arial"/>
                <w:color w:val="000080"/>
                <w:sz w:val="20"/>
                <w:szCs w:val="20"/>
                <w:lang w:eastAsia="es-ES"/>
              </w:rPr>
              <w:t>6</w:t>
            </w:r>
            <w:r>
              <w:rPr>
                <w:rFonts w:ascii="Arial" w:eastAsia="Times New Roman" w:hAnsi="Arial" w:cs="Arial"/>
                <w:color w:val="000080"/>
                <w:sz w:val="20"/>
                <w:szCs w:val="20"/>
                <w:lang w:eastAsia="es-ES"/>
              </w:rPr>
              <w:t>1</w:t>
            </w:r>
            <w:r w:rsidR="000F67EA">
              <w:rPr>
                <w:rFonts w:ascii="Arial" w:eastAsia="Times New Roman" w:hAnsi="Arial" w:cs="Arial"/>
                <w:color w:val="000080"/>
                <w:sz w:val="20"/>
                <w:szCs w:val="20"/>
                <w:lang w:eastAsia="es-ES"/>
              </w:rPr>
              <w:t>5 de 26</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B0720F" w:rsidRDefault="00B0720F"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0F67EA" w:rsidRPr="002B108A" w:rsidRDefault="002B108A" w:rsidP="002B108A">
            <w:pPr>
              <w:spacing w:after="0"/>
              <w:jc w:val="both"/>
              <w:rPr>
                <w:rFonts w:ascii="Arial" w:eastAsia="Times New Roman" w:hAnsi="Arial" w:cs="Arial"/>
                <w:b/>
                <w:color w:val="000080"/>
                <w:sz w:val="20"/>
                <w:szCs w:val="20"/>
                <w:lang w:eastAsia="es-ES"/>
              </w:rPr>
            </w:pPr>
            <w:hyperlink r:id="rId16"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1.- Objeto.- La presente Ley tiene como objeto la prevención integral del fenómeno socio económico de las drogas; el control y regulación de sustancias catalogadas sujetas a fiscalización y medicamentos que las contengan; así como el establecimiento de un marco jurídico e institucional suficiente y eficaz.</w:t>
            </w:r>
          </w:p>
          <w:p w:rsidR="000F67EA" w:rsidRDefault="000F67EA"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 xml:space="preserve">Artículo 2.- Naturaleza y Ámbito de aplicación.- La presente Ley </w:t>
            </w:r>
            <w:proofErr w:type="gramStart"/>
            <w:r w:rsidRPr="000F67EA">
              <w:rPr>
                <w:rFonts w:ascii="Arial" w:eastAsia="Times New Roman" w:hAnsi="Arial" w:cs="Arial"/>
                <w:color w:val="000080"/>
                <w:sz w:val="20"/>
                <w:szCs w:val="20"/>
                <w:lang w:eastAsia="es-ES"/>
              </w:rPr>
              <w:t>es</w:t>
            </w:r>
            <w:proofErr w:type="gramEnd"/>
            <w:r w:rsidRPr="000F67EA">
              <w:rPr>
                <w:rFonts w:ascii="Arial" w:eastAsia="Times New Roman" w:hAnsi="Arial" w:cs="Arial"/>
                <w:color w:val="000080"/>
                <w:sz w:val="20"/>
                <w:szCs w:val="20"/>
                <w:lang w:eastAsia="es-ES"/>
              </w:rPr>
              <w:t xml:space="preserve"> de orden público. Será aplicable a la relación de las personas con el fenómeno socio económico de las drogas; a las actividades de producción, importación,</w:t>
            </w:r>
            <w:r>
              <w:rPr>
                <w:rFonts w:ascii="Arial" w:eastAsia="Times New Roman" w:hAnsi="Arial" w:cs="Arial"/>
                <w:color w:val="000080"/>
                <w:sz w:val="20"/>
                <w:szCs w:val="20"/>
                <w:lang w:eastAsia="es-ES"/>
              </w:rPr>
              <w:t xml:space="preserve"> exportación,</w:t>
            </w:r>
            <w:r>
              <w:rPr>
                <w:rFonts w:ascii="Arial" w:eastAsia="Times New Roman" w:hAnsi="Arial" w:cs="Arial"/>
                <w:color w:val="000080"/>
                <w:sz w:val="20"/>
                <w:szCs w:val="20"/>
                <w:lang w:eastAsia="es-ES"/>
              </w:rPr>
              <w:tab/>
              <w:t xml:space="preserve">comercialización, almacenamiento, </w:t>
            </w:r>
            <w:r w:rsidRPr="000F67EA">
              <w:rPr>
                <w:rFonts w:ascii="Arial" w:eastAsia="Times New Roman" w:hAnsi="Arial" w:cs="Arial"/>
                <w:color w:val="000080"/>
                <w:sz w:val="20"/>
                <w:szCs w:val="20"/>
                <w:lang w:eastAsia="es-ES"/>
              </w:rPr>
              <w:t>distribución, transporte, prestación de servicios industriales, reciclaje, reutilización, y al uso de sustancias catalogadas sujetas a fiscalización y de los medicamentos que las contengan.</w:t>
            </w:r>
          </w:p>
          <w:p w:rsidR="000F67EA" w:rsidRDefault="000F67EA"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 xml:space="preserve">Artículo 3.- Declaración de interés nacional.- </w:t>
            </w:r>
            <w:proofErr w:type="spellStart"/>
            <w:r w:rsidRPr="000F67EA">
              <w:rPr>
                <w:rFonts w:ascii="Arial" w:eastAsia="Times New Roman" w:hAnsi="Arial" w:cs="Arial"/>
                <w:color w:val="000080"/>
                <w:sz w:val="20"/>
                <w:szCs w:val="20"/>
                <w:lang w:eastAsia="es-ES"/>
              </w:rPr>
              <w:t>Decláranse</w:t>
            </w:r>
            <w:proofErr w:type="spellEnd"/>
            <w:r w:rsidRPr="000F67EA">
              <w:rPr>
                <w:rFonts w:ascii="Arial" w:eastAsia="Times New Roman" w:hAnsi="Arial" w:cs="Arial"/>
                <w:color w:val="000080"/>
                <w:sz w:val="20"/>
                <w:szCs w:val="20"/>
                <w:lang w:eastAsia="es-ES"/>
              </w:rPr>
              <w:t xml:space="preserve"> de interés nacional las políti</w:t>
            </w:r>
            <w:r>
              <w:rPr>
                <w:rFonts w:ascii="Arial" w:eastAsia="Times New Roman" w:hAnsi="Arial" w:cs="Arial"/>
                <w:color w:val="000080"/>
                <w:sz w:val="20"/>
                <w:szCs w:val="20"/>
                <w:lang w:eastAsia="es-ES"/>
              </w:rPr>
              <w:t xml:space="preserve">cas públicas que se dicten para </w:t>
            </w:r>
            <w:r w:rsidRPr="000F67EA">
              <w:rPr>
                <w:rFonts w:ascii="Arial" w:eastAsia="Times New Roman" w:hAnsi="Arial" w:cs="Arial"/>
                <w:color w:val="000080"/>
                <w:sz w:val="20"/>
                <w:szCs w:val="20"/>
                <w:lang w:eastAsia="es-ES"/>
              </w:rPr>
              <w:t xml:space="preserve">enfrentar el fenómeno socio económico de las drogas, así como los planes, programas, proyectos y actividades que adopten o ejecuten los organismos competentes, precautelando los derechos humanos y las libertades fundamentales, mediante la participación social y la responsabilidad pública y privada, en procura del desarrollo humano, dentro del marco del buen vivir o </w:t>
            </w:r>
            <w:proofErr w:type="spellStart"/>
            <w:r w:rsidRPr="000F67EA">
              <w:rPr>
                <w:rFonts w:ascii="Arial" w:eastAsia="Times New Roman" w:hAnsi="Arial" w:cs="Arial"/>
                <w:color w:val="000080"/>
                <w:sz w:val="20"/>
                <w:szCs w:val="20"/>
                <w:lang w:eastAsia="es-ES"/>
              </w:rPr>
              <w:t>Sumak</w:t>
            </w:r>
            <w:proofErr w:type="spellEnd"/>
            <w:r w:rsidRPr="000F67EA">
              <w:rPr>
                <w:rFonts w:ascii="Arial" w:eastAsia="Times New Roman" w:hAnsi="Arial" w:cs="Arial"/>
                <w:color w:val="000080"/>
                <w:sz w:val="20"/>
                <w:szCs w:val="20"/>
                <w:lang w:eastAsia="es-ES"/>
              </w:rPr>
              <w:t xml:space="preserve"> </w:t>
            </w:r>
            <w:proofErr w:type="spellStart"/>
            <w:r w:rsidRPr="000F67EA">
              <w:rPr>
                <w:rFonts w:ascii="Arial" w:eastAsia="Times New Roman" w:hAnsi="Arial" w:cs="Arial"/>
                <w:color w:val="000080"/>
                <w:sz w:val="20"/>
                <w:szCs w:val="20"/>
                <w:lang w:eastAsia="es-ES"/>
              </w:rPr>
              <w:t>Kawsay</w:t>
            </w:r>
            <w:proofErr w:type="spellEnd"/>
            <w:r w:rsidRPr="000F67EA">
              <w:rPr>
                <w:rFonts w:ascii="Arial" w:eastAsia="Times New Roman" w:hAnsi="Arial" w:cs="Arial"/>
                <w:color w:val="000080"/>
                <w:sz w:val="20"/>
                <w:szCs w:val="20"/>
                <w:lang w:eastAsia="es-ES"/>
              </w:rPr>
              <w:t>. Dichas políticas se basarán de manera prioritaria en evidencia científica que permita la toma de decisiones y la atención a grupos vulnerables.</w:t>
            </w:r>
          </w:p>
          <w:p w:rsidR="000F67EA" w:rsidRDefault="000F67EA" w:rsidP="000F67EA">
            <w:pPr>
              <w:spacing w:after="0"/>
              <w:ind w:left="738"/>
              <w:jc w:val="both"/>
              <w:rPr>
                <w:rFonts w:ascii="Arial" w:eastAsia="Times New Roman" w:hAnsi="Arial" w:cs="Arial"/>
                <w:color w:val="000080"/>
                <w:sz w:val="20"/>
                <w:szCs w:val="20"/>
                <w:lang w:eastAsia="es-ES"/>
              </w:rPr>
            </w:pPr>
          </w:p>
          <w:p w:rsid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4.- Principios.- Son principios para la aplicación de la presente ley:</w:t>
            </w:r>
          </w:p>
          <w:p w:rsidR="00726F43" w:rsidRPr="000F67EA"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pStyle w:val="Prrafodelista"/>
              <w:numPr>
                <w:ilvl w:val="0"/>
                <w:numId w:val="11"/>
              </w:numPr>
              <w:spacing w:after="0"/>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Garantía y Defensa de Soberanía.- Las relaciones internacionales y los acuerdos de cooperación sobre drogas, deberán circunscribirse a la materia, sin involucrar otros ámbitos que distorsionen su naturaleza, afecten o condicionen la soberanía.</w:t>
            </w:r>
          </w:p>
          <w:p w:rsidR="000F67EA" w:rsidRPr="000F67EA" w:rsidRDefault="000F67EA" w:rsidP="000F67EA">
            <w:pPr>
              <w:pStyle w:val="Prrafodelista"/>
              <w:numPr>
                <w:ilvl w:val="0"/>
                <w:numId w:val="11"/>
              </w:numPr>
              <w:spacing w:after="0"/>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Corresponsabilidad.- Las instituciones, organismos y dependencias del Estado, las personas naturales o jurídicas de derecho público o privado, la familia y la comunidad, serán corresponsables de sus acciones para el cumplimiento de esta Ley.</w:t>
            </w:r>
          </w:p>
          <w:p w:rsidR="000F67EA" w:rsidRPr="000F67EA" w:rsidRDefault="000F67EA" w:rsidP="000F67EA">
            <w:pPr>
              <w:pStyle w:val="Prrafodelista"/>
              <w:numPr>
                <w:ilvl w:val="0"/>
                <w:numId w:val="11"/>
              </w:numPr>
              <w:spacing w:after="0"/>
              <w:jc w:val="both"/>
              <w:rPr>
                <w:rFonts w:ascii="Arial" w:eastAsia="Times New Roman" w:hAnsi="Arial" w:cs="Arial"/>
                <w:color w:val="000080"/>
                <w:sz w:val="20"/>
                <w:szCs w:val="20"/>
                <w:lang w:eastAsia="es-ES"/>
              </w:rPr>
            </w:pPr>
            <w:proofErr w:type="spellStart"/>
            <w:r w:rsidRPr="000F67EA">
              <w:rPr>
                <w:rFonts w:ascii="Arial" w:eastAsia="Times New Roman" w:hAnsi="Arial" w:cs="Arial"/>
                <w:color w:val="000080"/>
                <w:sz w:val="20"/>
                <w:szCs w:val="20"/>
                <w:lang w:eastAsia="es-ES"/>
              </w:rPr>
              <w:t>Intersectorialidad</w:t>
            </w:r>
            <w:proofErr w:type="spellEnd"/>
            <w:r w:rsidRPr="000F67EA">
              <w:rPr>
                <w:rFonts w:ascii="Arial" w:eastAsia="Times New Roman" w:hAnsi="Arial" w:cs="Arial"/>
                <w:color w:val="000080"/>
                <w:sz w:val="20"/>
                <w:szCs w:val="20"/>
                <w:lang w:eastAsia="es-ES"/>
              </w:rPr>
              <w:t>.- Los distintos sectores involucrados, deberán coordinar y cooperar entre sí, optimizando esfuerzos y recursos, mediante la intervención transversal, intersectorial, multidisciplinaria y complementaria, para la generación y aplicación de las políticas públicas sobre la materia.</w:t>
            </w:r>
          </w:p>
          <w:p w:rsidR="000F67EA" w:rsidRPr="000F67EA" w:rsidRDefault="000F67EA" w:rsidP="000F67EA">
            <w:pPr>
              <w:pStyle w:val="Prrafodelista"/>
              <w:numPr>
                <w:ilvl w:val="0"/>
                <w:numId w:val="11"/>
              </w:numPr>
              <w:spacing w:after="0"/>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Participación ciudadana.- La política pública se construirá con la presencia ciudadana, que aportará con su experiencia y realidad local, de conformidad con lo dispuesto en la Ley Orgánica de Participación Ciudadana.</w:t>
            </w:r>
          </w:p>
          <w:p w:rsidR="000F67EA" w:rsidRPr="000F67EA" w:rsidRDefault="000F67EA" w:rsidP="000F67EA">
            <w:pPr>
              <w:pStyle w:val="Prrafodelista"/>
              <w:numPr>
                <w:ilvl w:val="0"/>
                <w:numId w:val="11"/>
              </w:numPr>
              <w:spacing w:after="0"/>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Inclusión.- El Estado generará acciones y espacios de inclusión social y económica dirigida a personas en situación de riesgo por el fenómeno socio económico de las drogas.</w:t>
            </w:r>
          </w:p>
          <w:p w:rsidR="000F67EA" w:rsidRPr="000F67EA" w:rsidRDefault="000F67EA" w:rsidP="000F67EA">
            <w:pPr>
              <w:pStyle w:val="Prrafodelista"/>
              <w:numPr>
                <w:ilvl w:val="0"/>
                <w:numId w:val="11"/>
              </w:numPr>
              <w:spacing w:after="0"/>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Interculturalidad.- Para el cumplimiento de la presente Ley, el Estado considerará elementos de la diversidad geográfica, cultural y lingüística de las personas, comunidades, etnias, pueblos y nacionalidades indígenas, afro ecuatorianas y montubias.</w:t>
            </w:r>
          </w:p>
          <w:p w:rsidR="000F67EA" w:rsidRDefault="000F67EA"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5.- Derechos.- Para el cumplimiento de esta Ley, el Estado garantizará el ejercicio de los siguientes derechos: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726F43" w:rsidRDefault="000F67EA" w:rsidP="00726F43">
            <w:pPr>
              <w:pStyle w:val="Prrafodelista"/>
              <w:numPr>
                <w:ilvl w:val="0"/>
                <w:numId w:val="12"/>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Derechos humanos.- El ser humano como eje central de la intervención del Estado, instituciones y personas involucradas, respecto del fenómeno socio económico de las drogas, respetando su dignidad, autonomía e integridad, cuidando que dicha intervención no interfiera, limite o viole el ejercicio de sus derechos.</w:t>
            </w:r>
          </w:p>
          <w:p w:rsidR="000F67EA" w:rsidRPr="00726F43" w:rsidRDefault="000F67EA" w:rsidP="00726F43">
            <w:pPr>
              <w:pStyle w:val="Prrafodelista"/>
              <w:numPr>
                <w:ilvl w:val="0"/>
                <w:numId w:val="12"/>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Debido proceso.- Los procesos para determinar y sancionar las faltas administrativas establecidas en esta ley, se tramitarán con estricta observancia de las garantías constitucionales del debido proceso.</w:t>
            </w:r>
          </w:p>
          <w:p w:rsidR="000F67EA" w:rsidRPr="00726F43" w:rsidRDefault="000F67EA" w:rsidP="00726F43">
            <w:pPr>
              <w:pStyle w:val="Prrafodelista"/>
              <w:numPr>
                <w:ilvl w:val="0"/>
                <w:numId w:val="12"/>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 xml:space="preserve">Salud.- Toda persona en riesgo de uso, que use, consuma o haya consumido drogas, tiene derecho a la salud, mediante acciones de prevención en sus diferentes ámbitos, diagnóstico, tratamiento, rehabilitación e inclusión social, respetando los derechos humanos, y a recibir atención integral e integrada que procure su bienestar y mejore su calidad de vida, con un enfoque </w:t>
            </w:r>
            <w:proofErr w:type="spellStart"/>
            <w:r w:rsidRPr="00726F43">
              <w:rPr>
                <w:rFonts w:ascii="Arial" w:eastAsia="Times New Roman" w:hAnsi="Arial" w:cs="Arial"/>
                <w:color w:val="000080"/>
                <w:sz w:val="20"/>
                <w:szCs w:val="20"/>
                <w:lang w:eastAsia="es-ES"/>
              </w:rPr>
              <w:t>bio-psico</w:t>
            </w:r>
            <w:proofErr w:type="spellEnd"/>
            <w:r w:rsidRPr="00726F43">
              <w:rPr>
                <w:rFonts w:ascii="Arial" w:eastAsia="Times New Roman" w:hAnsi="Arial" w:cs="Arial"/>
                <w:color w:val="000080"/>
                <w:sz w:val="20"/>
                <w:szCs w:val="20"/>
                <w:lang w:eastAsia="es-ES"/>
              </w:rPr>
              <w:t xml:space="preserve"> social, que incluya la promoción de la salud.</w:t>
            </w:r>
          </w:p>
          <w:p w:rsidR="000F67EA" w:rsidRPr="00726F43" w:rsidRDefault="000F67EA" w:rsidP="00726F43">
            <w:pPr>
              <w:pStyle w:val="Prrafodelista"/>
              <w:numPr>
                <w:ilvl w:val="0"/>
                <w:numId w:val="12"/>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 xml:space="preserve">Educación.- Toda persona tiene derecho a acceder a un proceso formativo educativo, con orientación sistémica y holística, encaminado al fortalecimiento de sus capacidades, habilidades, destrezas y potencialidades en todas las etapas de su vida. En las comunidades educativas públicas, privadas y </w:t>
            </w:r>
            <w:proofErr w:type="spellStart"/>
            <w:r w:rsidRPr="00726F43">
              <w:rPr>
                <w:rFonts w:ascii="Arial" w:eastAsia="Times New Roman" w:hAnsi="Arial" w:cs="Arial"/>
                <w:color w:val="000080"/>
                <w:sz w:val="20"/>
                <w:szCs w:val="20"/>
                <w:lang w:eastAsia="es-ES"/>
              </w:rPr>
              <w:t>fiscomisionales</w:t>
            </w:r>
            <w:proofErr w:type="spellEnd"/>
            <w:r w:rsidRPr="00726F43">
              <w:rPr>
                <w:rFonts w:ascii="Arial" w:eastAsia="Times New Roman" w:hAnsi="Arial" w:cs="Arial"/>
                <w:color w:val="000080"/>
                <w:sz w:val="20"/>
                <w:szCs w:val="20"/>
                <w:lang w:eastAsia="es-ES"/>
              </w:rPr>
              <w:t>, será prioritario, el conocimiento y aplicación de la prevención integral del fenómeno socio económico de las drogas y de los riesgos y daños asociados.</w:t>
            </w:r>
          </w:p>
          <w:p w:rsidR="000F67EA" w:rsidRPr="00726F43" w:rsidRDefault="000F67EA" w:rsidP="00726F43">
            <w:pPr>
              <w:pStyle w:val="Prrafodelista"/>
              <w:numPr>
                <w:ilvl w:val="0"/>
                <w:numId w:val="12"/>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Información.- Toda persona, en especial mujeres embarazadas, niñas, niños, adolescentes, jóvenes y aquellas en situación de vulnerabilidad, tienen derecho a recibir información de calidad basada en evidencia científica, de forma inmediata y eficaz, para prevenir y desincentivar el uso y consumo de drogas. La prevención de discapacidades congénitas o adquiridas estará presente en la ejecución de las políticas públicas de prevención integral de drogas.</w:t>
            </w:r>
          </w:p>
          <w:p w:rsidR="000F67EA" w:rsidRPr="00726F43" w:rsidRDefault="000F67EA" w:rsidP="00726F43">
            <w:pPr>
              <w:pStyle w:val="Prrafodelista"/>
              <w:numPr>
                <w:ilvl w:val="0"/>
                <w:numId w:val="12"/>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No criminalización.- Las personas usuarias o consumidoras de drogas no serán criminalizadas por su uso o consumo, en los términos establecidos en la Ley.</w:t>
            </w:r>
          </w:p>
          <w:p w:rsidR="000F67EA" w:rsidRPr="00726F43" w:rsidRDefault="000F67EA" w:rsidP="00726F43">
            <w:pPr>
              <w:pStyle w:val="Prrafodelista"/>
              <w:numPr>
                <w:ilvl w:val="0"/>
                <w:numId w:val="12"/>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No discriminación y estigmatización.- Las personas no podrán ser discriminadas ni estigmatizadas, por su condición de usuarias o consumidoras de cualquier tipo de drogas.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 xml:space="preserve">Artículo 6.- Clasificación de drogas y sustancias catalogadas sujetas a fiscalización.- Para </w:t>
            </w:r>
            <w:r w:rsidRPr="000F67EA">
              <w:rPr>
                <w:rFonts w:ascii="Arial" w:eastAsia="Times New Roman" w:hAnsi="Arial" w:cs="Arial"/>
                <w:color w:val="000080"/>
                <w:sz w:val="20"/>
                <w:szCs w:val="20"/>
                <w:lang w:eastAsia="es-ES"/>
              </w:rPr>
              <w:lastRenderedPageBreak/>
              <w:t>efectos de prevención y atención integral del uso y consumo, son drogas:</w:t>
            </w:r>
          </w:p>
          <w:p w:rsidR="00726F43" w:rsidRPr="000F67EA" w:rsidRDefault="00726F43" w:rsidP="000F67EA">
            <w:pPr>
              <w:spacing w:after="0"/>
              <w:ind w:left="738"/>
              <w:jc w:val="both"/>
              <w:rPr>
                <w:rFonts w:ascii="Arial" w:eastAsia="Times New Roman" w:hAnsi="Arial" w:cs="Arial"/>
                <w:color w:val="000080"/>
                <w:sz w:val="20"/>
                <w:szCs w:val="20"/>
                <w:lang w:eastAsia="es-ES"/>
              </w:rPr>
            </w:pPr>
          </w:p>
          <w:p w:rsidR="000F67EA" w:rsidRPr="00726F43" w:rsidRDefault="000F67EA" w:rsidP="00726F43">
            <w:pPr>
              <w:pStyle w:val="Prrafodelista"/>
              <w:numPr>
                <w:ilvl w:val="0"/>
                <w:numId w:val="13"/>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Todas las bebidas con contenido alcohólico;</w:t>
            </w:r>
          </w:p>
          <w:p w:rsidR="000F67EA" w:rsidRPr="00726F43" w:rsidRDefault="000F67EA" w:rsidP="00726F43">
            <w:pPr>
              <w:pStyle w:val="Prrafodelista"/>
              <w:numPr>
                <w:ilvl w:val="0"/>
                <w:numId w:val="13"/>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Cigarrillos y otros productos derivados del tabaco;</w:t>
            </w:r>
          </w:p>
          <w:p w:rsidR="000F67EA" w:rsidRPr="00726F43" w:rsidRDefault="000F67EA" w:rsidP="00726F43">
            <w:pPr>
              <w:pStyle w:val="Prrafodelista"/>
              <w:numPr>
                <w:ilvl w:val="0"/>
                <w:numId w:val="13"/>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Sustancias estupefacientes, psicotrópicas y medicamentos que las contengan;</w:t>
            </w:r>
          </w:p>
          <w:p w:rsidR="000F67EA" w:rsidRPr="00726F43" w:rsidRDefault="000F67EA" w:rsidP="00726F43">
            <w:pPr>
              <w:pStyle w:val="Prrafodelista"/>
              <w:numPr>
                <w:ilvl w:val="0"/>
                <w:numId w:val="13"/>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Las de origen sintético; y,</w:t>
            </w:r>
          </w:p>
          <w:p w:rsidR="000F67EA" w:rsidRPr="00726F43" w:rsidRDefault="000F67EA" w:rsidP="00726F43">
            <w:pPr>
              <w:pStyle w:val="Prrafodelista"/>
              <w:numPr>
                <w:ilvl w:val="0"/>
                <w:numId w:val="13"/>
              </w:numPr>
              <w:spacing w:after="0"/>
              <w:jc w:val="both"/>
              <w:rPr>
                <w:rFonts w:ascii="Arial" w:eastAsia="Times New Roman" w:hAnsi="Arial" w:cs="Arial"/>
                <w:color w:val="000080"/>
                <w:sz w:val="20"/>
                <w:szCs w:val="20"/>
                <w:lang w:eastAsia="es-ES"/>
              </w:rPr>
            </w:pPr>
            <w:r w:rsidRPr="00726F43">
              <w:rPr>
                <w:rFonts w:ascii="Arial" w:eastAsia="Times New Roman" w:hAnsi="Arial" w:cs="Arial"/>
                <w:color w:val="000080"/>
                <w:sz w:val="20"/>
                <w:szCs w:val="20"/>
                <w:lang w:eastAsia="es-ES"/>
              </w:rPr>
              <w:t>Sustancias de uso industrial y diverso como: pegantes, colas y otros usados a modo de inhalantes.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Para efectos de regulación y control, son sustancias catalogadas sujetas a fiscalización, las que constan en el anexo a la presente Ley y se clasifican en:</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 Estupefacientes;</w:t>
            </w: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B.- Psicotrópicos;</w:t>
            </w: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C.- Precursores químicos; y, sustancias químicas específicas.</w:t>
            </w: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 xml:space="preserve"> </w:t>
            </w: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7.- Prevención Integral del Fenómeno Socio Económico de las drogas.- La prevención integral es el conjunto de políticas y acciones prioritarias y permanentes a ser ejecutadas por el Estado, las instituciones y personas involucradas, encaminado a intervenir con participación intersectorial sobre las diferentes manifestaciones del fenómeno socio económico de las drogas, bajo un enfoque de derechos humanos, priorizando el desarrollo de las capacidades y potencialidades del ser humano, su familia y su entorno, el mejoramiento de la calidad de vida, el tejido de lazos afectivos y soportes sociales, en el marco del buen vivir.</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Los gobiernos autónomos descentralizados, bajo los lineamientos emitidos por el Comité Interinstitucional, implementarán planes y programas destinados a la prevención integral, con especial atención a los grupos de atención prioritaria.</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8.- Prevención en el ámbito de la salud.- La Autoridad Sanitaria Nacional, adoptará las medidas necesarias para prevenir el uso y consumo de drogas; especialmente en mujeres embarazadas, niños, niñas y adolescentes; y, promoverá ambientes, prácticas y hábitos saludables para toda la población.</w:t>
            </w:r>
          </w:p>
          <w:p w:rsidR="00726F43" w:rsidRPr="000F67EA"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9.- Prevención en el ámbito educativo.- Las autoridades del Sistema Nacional de Educación, con el acompañamiento de la comunidad educativa y participación interinstitucional e intersectorial, desarrollará políticas y ejecutará programas, en todos sus niveles y modalidades, cuyos enfoques y metodologías pedagógicas participativas se encaminen a la formación de conciencia social y personalidad individual, para prevenir el uso y consumo de drogas. Además, en las mallas curriculares se incluirá de manera progresiva, la enseñanza de contenidos relacionados con el riesgo del consumo de drogas y estrategias de prevención integral.</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Del mismo modo, propiciará el relacionamiento entre pares y espacios de enseñanza – aprendizaje, para generar conocimiento, fortalecer las habilidades sociales para la vida y afianzar los vínculos familiares.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Será prioritaria la orientación y capacitación continua de los docentes en prevención integral del fenómeno socio económico de las drogas, para lo cual la autoridad educativa nacional incluirá en sus procesos de formación esta materia.</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 xml:space="preserve">Artículo 10.- Prevención en el ámbito de la educación superior.- La Secretaría Nacional de Educación Superior, Ciencia, Tecnología e Innovación, asegurará que en todas las instituciones de educación superior se </w:t>
            </w:r>
            <w:proofErr w:type="spellStart"/>
            <w:r w:rsidRPr="000F67EA">
              <w:rPr>
                <w:rFonts w:ascii="Arial" w:eastAsia="Times New Roman" w:hAnsi="Arial" w:cs="Arial"/>
                <w:color w:val="000080"/>
                <w:sz w:val="20"/>
                <w:szCs w:val="20"/>
                <w:lang w:eastAsia="es-ES"/>
              </w:rPr>
              <w:t>transversalice</w:t>
            </w:r>
            <w:proofErr w:type="spellEnd"/>
            <w:r w:rsidRPr="000F67EA">
              <w:rPr>
                <w:rFonts w:ascii="Arial" w:eastAsia="Times New Roman" w:hAnsi="Arial" w:cs="Arial"/>
                <w:color w:val="000080"/>
                <w:sz w:val="20"/>
                <w:szCs w:val="20"/>
                <w:lang w:eastAsia="es-ES"/>
              </w:rPr>
              <w:t xml:space="preserve"> dentro de las mallas curriculares de las diversas carreras y programas académicos, el conocimiento de las acciones para la prevención del uso y consumo de drogas, y se promuevan programas de investigación y estudio del fenómeno socio económico de las drogas.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 xml:space="preserve">Artículo 11.- Prevención en el ámbito laboral.- Las entidades públicas y empresas privadas, con la participación activa de las y los empleadores, empleados y trabajadores, desarrollarán </w:t>
            </w:r>
            <w:r w:rsidRPr="000F67EA">
              <w:rPr>
                <w:rFonts w:ascii="Arial" w:eastAsia="Times New Roman" w:hAnsi="Arial" w:cs="Arial"/>
                <w:color w:val="000080"/>
                <w:sz w:val="20"/>
                <w:szCs w:val="20"/>
                <w:lang w:eastAsia="es-ES"/>
              </w:rPr>
              <w:lastRenderedPageBreak/>
              <w:t>programas de prevención integral al uso y consumo de drogas, a ser ejecutados obligatoriamente en los lugares de trabajo, por personal calificado, a fin de fomentar un ambiente saludable y de bienestar laboral.</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La Autoridad Nacional del Trabajo regulará y controlará el cumplimiento de estos programas.</w:t>
            </w: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12.- Prevención en el ámbito comunitario -familiar.- El Estado establecerá políticas, programas y actividades sobre la prevención del uso y consumo de drogas, enfocadas a la sensibilización y orientación de la comunidad urbana y rural, en especial de las mujeres embarazadas, niñas, niños, adolescentes y jóvenes, personas adultas mayores, padres y madres de familia, teniendo en cuenta las diferencias específicas de género, etnia y cultura.</w:t>
            </w: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Las Autoridades Nacionales de Desarrollo Social, así como los Gobiernos Autónomos Descentralizados, ejecutarán las políticas, programas y actividades determinados por el Comité Interinstitucional, en el ámbito de sus competencias.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13.- Prevención en el ámbito cultural, recreativo y deportivo.- El Estado a través de las Autoridades Nacionales de Cultura y del Deporte, ejecutarán programas con participación activa intersectorial y de la comunidad, para el fomento y desarrollo de actividades culturales, deportivas y recreativas para la población, encaminadas a la formación y desarrollo integral de las personas, con enfoque prioritario en la niñez, adolescencia y juventud, para orientar de manera primordial hábitos de vida saludables, bajo principios de inclusión y solidaridad, para precaver la relación inicial con las drogas y disminuir su influencia.</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Las Autoridades Nacionales de Cultura y del Deporte y los Gobiernos Autónomos Descentralizados, impulsarán el acceso masivo a actividades culturales, deportivas y recreacionales en los diferentes espacios comunitarios.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0F67EA">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14.- Prevención en el ámbito comunicacional y de información.- El Estado a través de los organismos e instituciones encargadas de la ejecución de esta Ley, desarrollará procesos comunicacionales sistemáticos y permanentes, aprobados por el Comité Interinstitucional, en todas las áreas geográficas de influencia, con pertinencia cultural y lingüística, que difundan los beneficios de la prevención del uso y consumo de drogas y establezcan estrategias informativas y de comunicación con la participación de la comunidad.</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Pr="000F67EA" w:rsidRDefault="000F67EA" w:rsidP="00726F43">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Artículo    15.-    Desarrollo</w:t>
            </w:r>
            <w:r w:rsidR="00726F43">
              <w:rPr>
                <w:rFonts w:ascii="Arial" w:eastAsia="Times New Roman" w:hAnsi="Arial" w:cs="Arial"/>
                <w:color w:val="000080"/>
                <w:sz w:val="20"/>
                <w:szCs w:val="20"/>
                <w:lang w:eastAsia="es-ES"/>
              </w:rPr>
              <w:t xml:space="preserve">    Alternativo    Preventivo.- </w:t>
            </w:r>
            <w:r w:rsidRPr="000F67EA">
              <w:rPr>
                <w:rFonts w:ascii="Arial" w:eastAsia="Times New Roman" w:hAnsi="Arial" w:cs="Arial"/>
                <w:color w:val="000080"/>
                <w:sz w:val="20"/>
                <w:szCs w:val="20"/>
                <w:lang w:eastAsia="es-ES"/>
              </w:rPr>
              <w:t>Es obligación del Estado implementar un conjunto de medidas que potencien las capacidades de desarrollo de las comunidades ubicadas en zonas vulnerables por la influencia de actividades ilícitas relacionadas con las drogas.</w:t>
            </w:r>
          </w:p>
          <w:p w:rsidR="00726F43" w:rsidRDefault="00726F43" w:rsidP="000F67EA">
            <w:pPr>
              <w:spacing w:after="0"/>
              <w:ind w:left="738"/>
              <w:jc w:val="both"/>
              <w:rPr>
                <w:rFonts w:ascii="Arial" w:eastAsia="Times New Roman" w:hAnsi="Arial" w:cs="Arial"/>
                <w:color w:val="000080"/>
                <w:sz w:val="20"/>
                <w:szCs w:val="20"/>
                <w:lang w:eastAsia="es-ES"/>
              </w:rPr>
            </w:pPr>
          </w:p>
          <w:p w:rsidR="000F67EA" w:rsidRDefault="000F67EA" w:rsidP="00726F43">
            <w:pPr>
              <w:spacing w:after="0"/>
              <w:ind w:left="738"/>
              <w:jc w:val="both"/>
              <w:rPr>
                <w:rFonts w:ascii="Arial" w:eastAsia="Times New Roman" w:hAnsi="Arial" w:cs="Arial"/>
                <w:color w:val="000080"/>
                <w:sz w:val="20"/>
                <w:szCs w:val="20"/>
                <w:lang w:eastAsia="es-ES"/>
              </w:rPr>
            </w:pPr>
            <w:r w:rsidRPr="000F67EA">
              <w:rPr>
                <w:rFonts w:ascii="Arial" w:eastAsia="Times New Roman" w:hAnsi="Arial" w:cs="Arial"/>
                <w:color w:val="000080"/>
                <w:sz w:val="20"/>
                <w:szCs w:val="20"/>
                <w:lang w:eastAsia="es-ES"/>
              </w:rPr>
              <w:t>Los organismos y entidades del Gobierno Central y los Gobiernos Autónomos Descentralizados articularán acciones que contribuyan a</w:t>
            </w:r>
            <w:r w:rsidR="00726F43">
              <w:rPr>
                <w:rFonts w:ascii="Arial" w:eastAsia="Times New Roman" w:hAnsi="Arial" w:cs="Arial"/>
                <w:color w:val="000080"/>
                <w:sz w:val="20"/>
                <w:szCs w:val="20"/>
                <w:lang w:eastAsia="es-ES"/>
              </w:rPr>
              <w:t xml:space="preserve"> fortalecer su presencia en las </w:t>
            </w:r>
            <w:r w:rsidRPr="000F67EA">
              <w:rPr>
                <w:rFonts w:ascii="Arial" w:eastAsia="Times New Roman" w:hAnsi="Arial" w:cs="Arial"/>
                <w:color w:val="000080"/>
                <w:sz w:val="20"/>
                <w:szCs w:val="20"/>
                <w:lang w:eastAsia="es-ES"/>
              </w:rPr>
              <w:t>zonas vulnerables, para incorporarlas al desarrollo soci</w:t>
            </w:r>
            <w:r w:rsidR="00A26F11">
              <w:rPr>
                <w:rFonts w:ascii="Arial" w:eastAsia="Times New Roman" w:hAnsi="Arial" w:cs="Arial"/>
                <w:color w:val="000080"/>
                <w:sz w:val="20"/>
                <w:szCs w:val="20"/>
                <w:lang w:eastAsia="es-ES"/>
              </w:rPr>
              <w:t>o</w:t>
            </w:r>
            <w:r w:rsidRPr="000F67EA">
              <w:rPr>
                <w:rFonts w:ascii="Arial" w:eastAsia="Times New Roman" w:hAnsi="Arial" w:cs="Arial"/>
                <w:color w:val="000080"/>
                <w:sz w:val="20"/>
                <w:szCs w:val="20"/>
                <w:lang w:eastAsia="es-ES"/>
              </w:rPr>
              <w:t>económico, considerando la economía popular y solidaria y el fomento a la producción nacional.</w:t>
            </w:r>
          </w:p>
          <w:p w:rsidR="00726F43" w:rsidRDefault="00726F43" w:rsidP="00726F43">
            <w:pPr>
              <w:spacing w:after="0"/>
              <w:ind w:left="738"/>
              <w:jc w:val="both"/>
              <w:rPr>
                <w:rFonts w:ascii="Arial" w:eastAsia="Times New Roman" w:hAnsi="Arial" w:cs="Arial"/>
                <w:color w:val="000080"/>
                <w:sz w:val="20"/>
                <w:szCs w:val="20"/>
                <w:lang w:eastAsia="es-ES"/>
              </w:rPr>
            </w:pPr>
          </w:p>
          <w:p w:rsidR="00726F43" w:rsidRPr="00726F43" w:rsidRDefault="00726F43" w:rsidP="00726F43">
            <w:pPr>
              <w:spacing w:after="0"/>
              <w:jc w:val="both"/>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Ver más en el R.O.</w:t>
            </w:r>
            <w:r w:rsidR="001F56ED" w:rsidRPr="00610B20">
              <w:rPr>
                <w:noProof/>
                <w:lang w:eastAsia="es-EC"/>
              </w:rPr>
              <w:t xml:space="preserve"> </w:t>
            </w:r>
          </w:p>
          <w:p w:rsidR="00B0720F" w:rsidRPr="00610B20" w:rsidRDefault="00B0720F" w:rsidP="002B108A">
            <w:pPr>
              <w:spacing w:after="0"/>
              <w:ind w:left="738"/>
              <w:jc w:val="both"/>
              <w:rPr>
                <w:rFonts w:ascii="Arial" w:eastAsia="Times New Roman" w:hAnsi="Arial" w:cs="Arial"/>
                <w:b/>
                <w:color w:val="000080"/>
                <w:sz w:val="20"/>
                <w:szCs w:val="20"/>
                <w:lang w:eastAsia="es-ES"/>
              </w:rPr>
            </w:pPr>
          </w:p>
        </w:tc>
      </w:tr>
    </w:tbl>
    <w:p w:rsidR="001F56ED" w:rsidRDefault="001F56ED" w:rsidP="00B0720F">
      <w:pPr>
        <w:jc w:val="both"/>
      </w:pPr>
      <w:r w:rsidRPr="00610B20">
        <w:rPr>
          <w:noProof/>
          <w:lang w:eastAsia="es-EC"/>
        </w:rPr>
        <w:lastRenderedPageBreak/>
        <mc:AlternateContent>
          <mc:Choice Requires="wps">
            <w:drawing>
              <wp:anchor distT="0" distB="0" distL="114300" distR="114300" simplePos="0" relativeHeight="251673600" behindDoc="0" locked="0" layoutInCell="1" allowOverlap="1" wp14:anchorId="4CF88515" wp14:editId="7516460D">
                <wp:simplePos x="0" y="0"/>
                <wp:positionH relativeFrom="margin">
                  <wp:posOffset>-8787</wp:posOffset>
                </wp:positionH>
                <wp:positionV relativeFrom="paragraph">
                  <wp:posOffset>23514</wp:posOffset>
                </wp:positionV>
                <wp:extent cx="1658203" cy="228600"/>
                <wp:effectExtent l="0" t="0" r="18415" b="190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203" cy="228600"/>
                        </a:xfrm>
                        <a:prstGeom prst="rect">
                          <a:avLst/>
                        </a:prstGeom>
                        <a:solidFill>
                          <a:srgbClr val="000080"/>
                        </a:solidFill>
                        <a:ln w="9525">
                          <a:solidFill>
                            <a:srgbClr val="000080"/>
                          </a:solidFill>
                          <a:miter lim="800000"/>
                          <a:headEnd/>
                          <a:tailEnd/>
                        </a:ln>
                      </wps:spPr>
                      <wps:txbx>
                        <w:txbxContent>
                          <w:p w:rsidR="002B108A" w:rsidRPr="00567E83" w:rsidRDefault="002B108A" w:rsidP="001F56ED">
                            <w:pPr>
                              <w:jc w:val="both"/>
                              <w:rPr>
                                <w:rFonts w:ascii="Arial" w:hAnsi="Arial" w:cs="Arial"/>
                                <w:b/>
                                <w:color w:val="FFFFFF"/>
                                <w:sz w:val="20"/>
                                <w:szCs w:val="20"/>
                              </w:rPr>
                            </w:pPr>
                            <w:r>
                              <w:rPr>
                                <w:rFonts w:ascii="Arial" w:hAnsi="Arial" w:cs="Arial"/>
                                <w:b/>
                                <w:color w:val="FFFFFF"/>
                                <w:sz w:val="20"/>
                                <w:szCs w:val="20"/>
                              </w:rPr>
                              <w:t>Miércoles 28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F88515" id="Cuadro de texto 8" o:spid="_x0000_s1033" type="#_x0000_t202" style="position:absolute;left:0;text-align:left;margin-left:-.7pt;margin-top:1.85pt;width:130.55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KJJLQIAAF4EAAAOAAAAZHJzL2Uyb0RvYy54bWysVNtu2zAMfR+wfxD0vjrxkjY14hRdug4D&#10;ugvQ7QMUSY6FyaJGKbG7ry8lJ1m2vRXLgyCG1CF5DunlzdBZttcYDLiaTy8mnGknQRm3rfn3b/dv&#10;FpyFKJwSFpyu+ZMO/Gb1+tWy95UuoQWrNDICcaHqfc3bGH1VFEG2uhPhArx25GwAOxHJxG2hUPSE&#10;3tminEwuix5QeQSpQ6B/70YnX2X8ptEyfmmaoCOzNafaYj4xn5t0FqulqLYofGvkoQzxgio6YRwl&#10;PUHdiSjYDs0/UJ2RCAGaeCGhK6BpjNS5B+pmOvmrm8dWeJ17IXKCP9EU/h+s/Lz/isyompNQTnQk&#10;0XonFAJTmkU9RGCLRFLvQ0Wxj56i4/AOBhI7Nxz8A8gfgTlYt8Jt9S0i9K0WioqcppfF2dMRJySQ&#10;Tf8JFGUTuwgZaGiwSwwSJ4zQSaynk0BUB5Mp5eV8UU7ecibJV5aLy0lWsBDV8bXHED9o6Fi61Bxp&#10;ADK62D+EmKoR1TEkJQtgjbo31mYDt5u1RbYXaVjotzii/xFmHetrfj0v5yMBL4DoTKSpt6Yj2lOi&#10;wxwm2t47lWcyCmPHO5Vs3YHHRN1IYhw2Q9bt6ijPBtQTEYswDjktJV1awF+c9TTgNQ8/dwI1Z/aj&#10;I3Gup7NZ2ohszOZXJRl47tmce4STBFXzyNl4Xcdxi3YezbalTOM4OLglQRuTuU7Kj1UdyqchzhIc&#10;Fi5tybmdo35/FlbPAAAA//8DAFBLAwQUAAYACAAAACEAo+70Vd0AAAAHAQAADwAAAGRycy9kb3du&#10;cmV2LnhtbEyOS2/CMBCE75X4D9Yi9QYOpM80DkL0ceBWmiJ6M/GSRMTrKDZJ+u+7PbWnndGMZr90&#10;NdpG9Nj52pGCxTwCgVQ4U1OpIP94nT2A8EGT0Y0jVPCNHlbZ5CrViXEDvWO/C6XgEfKJVlCF0CZS&#10;+qJCq/3ctUicnVxndWDbldJ0euBx28hlFN1Jq2viD5VucVNhcd5dLK/s4+3+uexPh7ch/rL5y/kQ&#10;feZKXU/H9ROIgGP4K8MvPqNDxkxHdyHjRaNgtrjhpoL4HgTHy9tHFkf2fGWWyv/82Q8AAAD//wMA&#10;UEsBAi0AFAAGAAgAAAAhALaDOJL+AAAA4QEAABMAAAAAAAAAAAAAAAAAAAAAAFtDb250ZW50X1R5&#10;cGVzXS54bWxQSwECLQAUAAYACAAAACEAOP0h/9YAAACUAQAACwAAAAAAAAAAAAAAAAAvAQAAX3Jl&#10;bHMvLnJlbHNQSwECLQAUAAYACAAAACEAUTCiSS0CAABeBAAADgAAAAAAAAAAAAAAAAAuAgAAZHJz&#10;L2Uyb0RvYy54bWxQSwECLQAUAAYACAAAACEAo+70Vd0AAAAHAQAADwAAAAAAAAAAAAAAAACHBAAA&#10;ZHJzL2Rvd25yZXYueG1sUEsFBgAAAAAEAAQA8wAAAJEFAAAAAA==&#10;" fillcolor="navy" strokecolor="navy">
                <v:textbox>
                  <w:txbxContent>
                    <w:p w:rsidR="001F56ED" w:rsidRPr="00567E83" w:rsidRDefault="001F56ED" w:rsidP="001F56ED">
                      <w:pPr>
                        <w:jc w:val="both"/>
                        <w:rPr>
                          <w:rFonts w:ascii="Arial" w:hAnsi="Arial" w:cs="Arial"/>
                          <w:b/>
                          <w:color w:val="FFFFFF"/>
                          <w:sz w:val="20"/>
                          <w:szCs w:val="20"/>
                        </w:rPr>
                      </w:pPr>
                      <w:r>
                        <w:rPr>
                          <w:rFonts w:ascii="Arial" w:hAnsi="Arial" w:cs="Arial"/>
                          <w:b/>
                          <w:color w:val="FFFFFF"/>
                          <w:sz w:val="20"/>
                          <w:szCs w:val="20"/>
                        </w:rPr>
                        <w:t>Miércoles 28 de 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1F56ED" w:rsidRPr="00610B20" w:rsidTr="002B108A">
        <w:trPr>
          <w:trHeight w:val="1380"/>
        </w:trPr>
        <w:tc>
          <w:tcPr>
            <w:tcW w:w="9257" w:type="dxa"/>
            <w:shd w:val="clear" w:color="auto" w:fill="DDFFFF"/>
          </w:tcPr>
          <w:p w:rsidR="001F56ED" w:rsidRPr="00610B20" w:rsidRDefault="001F56ED" w:rsidP="002B108A">
            <w:pPr>
              <w:spacing w:after="0"/>
              <w:jc w:val="left"/>
              <w:rPr>
                <w:rFonts w:ascii="Times New Roman" w:eastAsia="Times New Roman" w:hAnsi="Times New Roman" w:cs="Times New Roman"/>
                <w:sz w:val="24"/>
                <w:szCs w:val="24"/>
                <w:lang w:eastAsia="es-ES"/>
              </w:rPr>
            </w:pPr>
          </w:p>
          <w:p w:rsidR="001F56ED" w:rsidRDefault="001F56ED" w:rsidP="002B108A">
            <w:pPr>
              <w:spacing w:after="0"/>
              <w:rPr>
                <w:rFonts w:ascii="Arial" w:eastAsia="Times New Roman" w:hAnsi="Arial" w:cs="Arial"/>
                <w:b/>
                <w:color w:val="000080"/>
                <w:sz w:val="20"/>
                <w:szCs w:val="20"/>
                <w:lang w:val="es-ES_tradnl" w:eastAsia="es-ES"/>
              </w:rPr>
            </w:pPr>
            <w:r w:rsidRPr="001F56ED">
              <w:rPr>
                <w:rFonts w:ascii="Arial" w:eastAsia="Times New Roman" w:hAnsi="Arial" w:cs="Arial"/>
                <w:b/>
                <w:color w:val="000080"/>
                <w:sz w:val="20"/>
                <w:szCs w:val="20"/>
                <w:lang w:val="es-ES_tradnl" w:eastAsia="es-ES"/>
              </w:rPr>
              <w:t>LOS BENEFICIARIOS DE BONO DE DESARROLLO HUMANO</w:t>
            </w:r>
            <w:r>
              <w:rPr>
                <w:rFonts w:ascii="Arial" w:eastAsia="Times New Roman" w:hAnsi="Arial" w:cs="Arial"/>
                <w:b/>
                <w:color w:val="000080"/>
                <w:sz w:val="20"/>
                <w:szCs w:val="20"/>
                <w:lang w:val="es-ES_tradnl" w:eastAsia="es-ES"/>
              </w:rPr>
              <w:t xml:space="preserve"> </w:t>
            </w:r>
            <w:r w:rsidRPr="001F56ED">
              <w:rPr>
                <w:rFonts w:ascii="Arial" w:eastAsia="Times New Roman" w:hAnsi="Arial" w:cs="Arial"/>
                <w:b/>
                <w:color w:val="000080"/>
                <w:sz w:val="20"/>
                <w:szCs w:val="20"/>
                <w:lang w:val="es-ES_tradnl" w:eastAsia="es-ES"/>
              </w:rPr>
              <w:t xml:space="preserve">RECIBIRÁN EN FORMA GRATUITA </w:t>
            </w:r>
            <w:r>
              <w:rPr>
                <w:rFonts w:ascii="Arial" w:eastAsia="Times New Roman" w:hAnsi="Arial" w:cs="Arial"/>
                <w:b/>
                <w:color w:val="000080"/>
                <w:sz w:val="20"/>
                <w:szCs w:val="20"/>
                <w:lang w:val="es-ES_tradnl" w:eastAsia="es-ES"/>
              </w:rPr>
              <w:t>COCINAS</w:t>
            </w:r>
            <w:r w:rsidRPr="001F56ED">
              <w:rPr>
                <w:rFonts w:ascii="Arial" w:eastAsia="Times New Roman" w:hAnsi="Arial" w:cs="Arial"/>
                <w:b/>
                <w:color w:val="000080"/>
                <w:sz w:val="20"/>
                <w:szCs w:val="20"/>
                <w:lang w:val="es-ES_tradnl" w:eastAsia="es-ES"/>
              </w:rPr>
              <w:t xml:space="preserve"> DE INDUCCIÓN</w:t>
            </w:r>
          </w:p>
          <w:p w:rsidR="001F56ED" w:rsidRPr="00610B20" w:rsidRDefault="001F56ED" w:rsidP="002B108A">
            <w:pPr>
              <w:spacing w:after="0"/>
              <w:rPr>
                <w:rFonts w:ascii="Arial" w:eastAsia="Times New Roman" w:hAnsi="Arial" w:cs="Arial"/>
                <w:b/>
                <w:color w:val="000080"/>
                <w:sz w:val="20"/>
                <w:szCs w:val="20"/>
                <w:lang w:val="es-ES_tradnl" w:eastAsia="es-ES"/>
              </w:rPr>
            </w:pPr>
          </w:p>
          <w:p w:rsidR="001F56ED" w:rsidRPr="00610B20" w:rsidRDefault="001F56ED"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264, publicado</w:t>
            </w:r>
            <w:r w:rsidRPr="00610B20">
              <w:rPr>
                <w:rFonts w:ascii="Arial" w:eastAsia="Times New Roman" w:hAnsi="Arial" w:cs="Arial"/>
                <w:color w:val="000080"/>
                <w:sz w:val="20"/>
                <w:szCs w:val="20"/>
                <w:lang w:eastAsia="es-ES"/>
              </w:rPr>
              <w:t xml:space="preserve"> en el Registro Oficial </w:t>
            </w:r>
            <w:r>
              <w:rPr>
                <w:rFonts w:ascii="Arial" w:eastAsia="Times New Roman" w:hAnsi="Arial" w:cs="Arial"/>
                <w:color w:val="000080"/>
                <w:sz w:val="20"/>
                <w:szCs w:val="20"/>
                <w:lang w:eastAsia="es-ES"/>
              </w:rPr>
              <w:t>617 de 28</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1F56ED" w:rsidRDefault="001F56ED"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1F56ED" w:rsidRDefault="002B108A" w:rsidP="002B108A">
            <w:pPr>
              <w:spacing w:after="0"/>
              <w:jc w:val="both"/>
              <w:rPr>
                <w:rFonts w:ascii="Arial" w:eastAsia="Times New Roman" w:hAnsi="Arial" w:cs="Arial"/>
                <w:b/>
                <w:color w:val="000080"/>
                <w:sz w:val="20"/>
                <w:szCs w:val="20"/>
                <w:lang w:eastAsia="es-ES"/>
              </w:rPr>
            </w:pPr>
            <w:hyperlink r:id="rId17"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 xml:space="preserve">Artículo 1.- Los beneficiarios de las transferencias monetarias del Ministerio de Inclusión Económica y Social, MIES (Beneficiarios del Bono de Desarrollo Humano) que se encuentren en la base del Registro Social del Ministerio Coordinador de Desarrollo Social y que cumplan con las condiciones definidas por la Gerencia del Programa PEC de la Subsecretaría de </w:t>
            </w:r>
            <w:r w:rsidRPr="001F56ED">
              <w:rPr>
                <w:rFonts w:ascii="Arial" w:eastAsia="Times New Roman" w:hAnsi="Arial" w:cs="Arial"/>
                <w:color w:val="000080"/>
                <w:sz w:val="20"/>
                <w:szCs w:val="20"/>
                <w:lang w:eastAsia="es-ES"/>
              </w:rPr>
              <w:lastRenderedPageBreak/>
              <w:t>Energía Renovable y Eficiencia Energética, recibirán en forma gratuita Kits de inducción, como parte de la ejecución del “Programa de Eficiencia Energética para Cocción por Inducción y Calentamiento de agu</w:t>
            </w:r>
            <w:r>
              <w:rPr>
                <w:rFonts w:ascii="Arial" w:eastAsia="Times New Roman" w:hAnsi="Arial" w:cs="Arial"/>
                <w:color w:val="000080"/>
                <w:sz w:val="20"/>
                <w:szCs w:val="20"/>
                <w:lang w:eastAsia="es-ES"/>
              </w:rPr>
              <w:t xml:space="preserve">a con electricidad en el sector </w:t>
            </w:r>
            <w:r w:rsidRPr="001F56ED">
              <w:rPr>
                <w:rFonts w:ascii="Arial" w:eastAsia="Times New Roman" w:hAnsi="Arial" w:cs="Arial"/>
                <w:color w:val="000080"/>
                <w:sz w:val="20"/>
                <w:szCs w:val="20"/>
                <w:lang w:eastAsia="es-ES"/>
              </w:rPr>
              <w:t>residencial”, de acuerdo al perfil aprobado en el dictamen de prioridad emitido por SENPLADES mediante Oficio Nro. SENPLADES-SGPBV-2015-0690-OF de fecha 17 de agosto de 2015, con el fin de incentivar el uso de tecnologías ambientalmente limpias, sanas, económicas y renovables.</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Cada Kit de inducción estará compuesto por: una cocina de inducción, un juego de ollas para inducción y la instalación del circuito interno a 220 Voltios.</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Artículo 2.- La Subsecretaría de Energía Renovable y Eficiencia Energética, a través de la Gerencia del Programa PEC, en coordinación con la Subsecretaría de Distribución y Comercialización de Energía y la CNEL EP - Unidad de Negocio de Eficiencia Energética, definirán las estrategias, directrices y mecanismos para la entrega e instalación de los kits de inducción a los beneficiarios del Bono de Desarrollo Humano (BDH) dentro del “Programa Cocción Eficiente”.</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Artículo 3.- La Subsecretaría de Energía Renovable y Eficiencia Energética, por petición de la Gerencia del Programa PEC, solicitará a la Coordinación General de Planificación y a la Coordinación General Administrativa Financiera, gestionen ante el Ministerio de Finanzas, el financiamiento y entrega oportuna de los recursos necesarios para la ejecución del referido Programa.</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Los desembolsos se canalizaran a través de la cuenta del Ministerio de Electricidad y Energía Renovable o de la CNEL EP - Unidad de Negocio de Eficiencia Energética, según corresponda, y formarán parte de su presupuesto.</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Artículo 4.- La CNEL EP - Unidad de Negocio de Eficiencia Energética realizará la entrega de los kits de inducción dispuestos en el artículo 1 del presente instrumento, de forma directa o a través de terceros previa suscripción de los convenios o instrumentos jurídicos respectivos, a favor de quienes acrediten la condición de beneficiarios del Bono de Desarrollo Humano (BDH) al momento de la entrega, conforme a la base de datos entregada por el MIES, para lo cual las Empresas Eléctricas de Distribución, en sus áreas de servicio respectivas, procederán con la instalación de las acometidas, medidores y circuitos internos para el uso de las cocinas de inducción.</w:t>
            </w:r>
          </w:p>
          <w:p w:rsidR="001F56ED" w:rsidRP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Artículo 5.- L a Subsecretaría de Energía Renovable y Eficiencia Energética, a través de la Gerencia del Programa PEC, elaborará en coordinación con la Subsecretaría de Distribución y Comercialización de Energía, el Manual del Modelo de Gestión, que permita la ejecución del presente Acuerdo Ministerial, en el que deberá constar entre otros, la programación de entregas, asignaciones, y más detalles técnico-operativos a implementarse dentro del “Programa Cocción Eficiente”.</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El referido manual, una vez aprobado por el Ministro o su delegado será de cumplimiento obligatorio y podrá ser modificado de acuerdo a los requerimientos técnicos y necesidades que surjan durante la implementación del Programa.</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Artículo 6.- La Gerencia del Programa PEC, una vez se haya efectuado la entrega gratuita de los Kits de inducción a los beneficiarios del Bono de Desarrollo Humano, presentará informes de avance trimestrales y un informe final del cumplimiento del presente Acuerdo Ministerial.</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P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DISPOSICIÓN FINAL</w:t>
            </w:r>
          </w:p>
          <w:p w:rsidR="001F56ED" w:rsidRDefault="001F56ED" w:rsidP="001F56ED">
            <w:pPr>
              <w:spacing w:after="0"/>
              <w:ind w:left="596"/>
              <w:jc w:val="both"/>
              <w:rPr>
                <w:rFonts w:ascii="Arial" w:eastAsia="Times New Roman" w:hAnsi="Arial" w:cs="Arial"/>
                <w:color w:val="000080"/>
                <w:sz w:val="20"/>
                <w:szCs w:val="20"/>
                <w:lang w:eastAsia="es-ES"/>
              </w:rPr>
            </w:pPr>
          </w:p>
          <w:p w:rsid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De la ejecución del presente Acuerdo, que entrará en vigencia a partir de la presente fecha, sin perjuicio de su publicación en el Registro Oficial, encárguese a las Subsecretarías de Energía Renovable y Eficiencia Energética y Distribución y Comercialización de Energía; y, a la Gerencia del Programa PEC.</w:t>
            </w:r>
          </w:p>
          <w:p w:rsidR="001F56ED" w:rsidRPr="001F56ED" w:rsidRDefault="001F56ED" w:rsidP="001F56ED">
            <w:pPr>
              <w:spacing w:after="0"/>
              <w:ind w:left="596"/>
              <w:jc w:val="both"/>
              <w:rPr>
                <w:rFonts w:ascii="Arial" w:eastAsia="Times New Roman" w:hAnsi="Arial" w:cs="Arial"/>
                <w:color w:val="000080"/>
                <w:sz w:val="20"/>
                <w:szCs w:val="20"/>
                <w:lang w:eastAsia="es-ES"/>
              </w:rPr>
            </w:pPr>
          </w:p>
          <w:p w:rsidR="001F56ED" w:rsidRDefault="001F56ED" w:rsidP="001F56ED">
            <w:pPr>
              <w:spacing w:after="0"/>
              <w:ind w:left="596"/>
              <w:jc w:val="both"/>
              <w:rPr>
                <w:rFonts w:ascii="Arial" w:eastAsia="Times New Roman" w:hAnsi="Arial" w:cs="Arial"/>
                <w:color w:val="000080"/>
                <w:sz w:val="20"/>
                <w:szCs w:val="20"/>
                <w:lang w:eastAsia="es-ES"/>
              </w:rPr>
            </w:pPr>
            <w:r w:rsidRPr="001F56ED">
              <w:rPr>
                <w:rFonts w:ascii="Arial" w:eastAsia="Times New Roman" w:hAnsi="Arial" w:cs="Arial"/>
                <w:color w:val="000080"/>
                <w:sz w:val="20"/>
                <w:szCs w:val="20"/>
                <w:lang w:eastAsia="es-ES"/>
              </w:rPr>
              <w:t>Dado y aprobado en Quito D.M., a 15 de septiembre de 2015.</w:t>
            </w:r>
          </w:p>
          <w:p w:rsidR="001F56ED" w:rsidRPr="00610B20" w:rsidRDefault="001F56ED" w:rsidP="002B108A">
            <w:pPr>
              <w:spacing w:after="0"/>
              <w:jc w:val="both"/>
              <w:rPr>
                <w:rFonts w:ascii="Times New Roman" w:eastAsia="Times New Roman" w:hAnsi="Times New Roman" w:cs="Times New Roman"/>
                <w:sz w:val="24"/>
                <w:szCs w:val="24"/>
                <w:lang w:eastAsia="es-ES"/>
              </w:rPr>
            </w:pPr>
          </w:p>
        </w:tc>
      </w:tr>
    </w:tbl>
    <w:p w:rsidR="000F252A" w:rsidRDefault="000F252A" w:rsidP="00B0720F">
      <w:pPr>
        <w:jc w:val="both"/>
      </w:pPr>
      <w:r w:rsidRPr="00610B20">
        <w:rPr>
          <w:noProof/>
          <w:lang w:eastAsia="es-EC"/>
        </w:rPr>
        <w:lastRenderedPageBreak/>
        <mc:AlternateContent>
          <mc:Choice Requires="wps">
            <w:drawing>
              <wp:anchor distT="0" distB="0" distL="114300" distR="114300" simplePos="0" relativeHeight="251675648" behindDoc="0" locked="0" layoutInCell="1" allowOverlap="1" wp14:anchorId="59EDA570" wp14:editId="0CF09CF9">
                <wp:simplePos x="0" y="0"/>
                <wp:positionH relativeFrom="margin">
                  <wp:align>left</wp:align>
                </wp:positionH>
                <wp:positionV relativeFrom="paragraph">
                  <wp:posOffset>19988</wp:posOffset>
                </wp:positionV>
                <wp:extent cx="1508078" cy="228600"/>
                <wp:effectExtent l="0" t="0" r="16510" b="1905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078" cy="228600"/>
                        </a:xfrm>
                        <a:prstGeom prst="rect">
                          <a:avLst/>
                        </a:prstGeom>
                        <a:solidFill>
                          <a:srgbClr val="000080"/>
                        </a:solidFill>
                        <a:ln w="9525">
                          <a:solidFill>
                            <a:srgbClr val="000080"/>
                          </a:solidFill>
                          <a:miter lim="800000"/>
                          <a:headEnd/>
                          <a:tailEnd/>
                        </a:ln>
                      </wps:spPr>
                      <wps:txbx>
                        <w:txbxContent>
                          <w:p w:rsidR="002B108A" w:rsidRPr="00567E83" w:rsidRDefault="002B108A" w:rsidP="000F252A">
                            <w:pPr>
                              <w:jc w:val="both"/>
                              <w:rPr>
                                <w:rFonts w:ascii="Arial" w:hAnsi="Arial" w:cs="Arial"/>
                                <w:b/>
                                <w:color w:val="FFFFFF"/>
                                <w:sz w:val="20"/>
                                <w:szCs w:val="20"/>
                              </w:rPr>
                            </w:pPr>
                            <w:r>
                              <w:rPr>
                                <w:rFonts w:ascii="Arial" w:hAnsi="Arial" w:cs="Arial"/>
                                <w:b/>
                                <w:color w:val="FFFFFF"/>
                                <w:sz w:val="20"/>
                                <w:szCs w:val="20"/>
                              </w:rPr>
                              <w:t>Jueves 29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DA570" id="Cuadro de texto 10" o:spid="_x0000_s1034" type="#_x0000_t202" style="position:absolute;left:0;text-align:left;margin-left:0;margin-top:1.55pt;width:118.75pt;height:18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zXLQIAAGAEAAAOAAAAZHJzL2Uyb0RvYy54bWysVNtu2zAMfR+wfxD0vtgJkjY14hRdug4D&#10;ugvQ7QMUSY6FyaJGKbG7rx8lJ1m2vRXLgyCG1OHhIenV7dBZdtAYDLiaTyclZ9pJUMbtav7t68Ob&#10;JWchCqeEBadr/qwDv12/frXqfaVn0IJVGhmBuFD1vuZtjL4qiiBb3YkwAa8dORvATkQycVcoFD2h&#10;d7aYleVV0QMqjyB1CPTv/ejk64zfNFrGz00TdGS25sQt5hPzuU1nsV6JaofCt0YeaYgXsOiEcZT0&#10;DHUvomB7NP9AdUYiBGjiREJXQNMYqXMNVM20/Kuap1Z4nWshcYI/yxT+H6z8dPiCzCjqHcnjREc9&#10;2uyFQmBKs6iHCIw8JFPvQ0XRT57i4/AWBnqSSw7+EeT3wBxsWuF2+g4R+lYLRTSn6WVx8XTECQlk&#10;238ERenEPkIGGhrskoakCiN04vN8bhERYTKlXJTL8pqGSpJvNltelZlcIarTa48hvtfQsXSpOdII&#10;ZHRxeAwxsRHVKSQlC2CNejDWZgN3241FdhBpXOi3PKH/EWYd62t+s5gtRgFeANGZSHNvTVfzZUp0&#10;nMQk2zun8lRGYex4J8rWHXVM0o0ixmE75M4tT+3ZgnomYRHGMae1pEsL+JOznka85uHHXqDmzH5w&#10;1Jyb6XyediIb88X1jAy89GwvPcJJgqp55Gy8buK4R3uPZtdSpnEcHNxRQxuTtU6dH1kd6dMY5xYc&#10;Vy7tyaWdo35/GNa/AAAA//8DAFBLAwQUAAYACAAAACEAb3e1OtwAAAAFAQAADwAAAGRycy9kb3du&#10;cmV2LnhtbEyPy07DMBBF90j8gzVI7KiTRlAIcaqqPBbsWkJVdm48TaLG4yh2k/D3DCu6vLqjc89k&#10;y8m2YsDeN44UxLMIBFLpTEOVguLz7e4RhA+ajG4doYIf9LDMr68ynRo30gaHbagEQ8inWkEdQpdK&#10;6csarfYz1yFxd3S91YFjX0nT65HhtpXzKHqQVjfEC7XucF1jedqeLVN2ycfupRqO+/cx+bbF62kf&#10;fRVK3d5Mq2cQAafwfwx/+qwOOTsd3JmMF60CfiQoSGIQXM6TxT2IA+enGGSeyUv7/BcAAP//AwBQ&#10;SwECLQAUAAYACAAAACEAtoM4kv4AAADhAQAAEwAAAAAAAAAAAAAAAAAAAAAAW0NvbnRlbnRfVHlw&#10;ZXNdLnhtbFBLAQItABQABgAIAAAAIQA4/SH/1gAAAJQBAAALAAAAAAAAAAAAAAAAAC8BAABfcmVs&#10;cy8ucmVsc1BLAQItABQABgAIAAAAIQDKnTzXLQIAAGAEAAAOAAAAAAAAAAAAAAAAAC4CAABkcnMv&#10;ZTJvRG9jLnhtbFBLAQItABQABgAIAAAAIQBvd7U63AAAAAUBAAAPAAAAAAAAAAAAAAAAAIcEAABk&#10;cnMvZG93bnJldi54bWxQSwUGAAAAAAQABADzAAAAkAUAAAAA&#10;" fillcolor="navy" strokecolor="navy">
                <v:textbox>
                  <w:txbxContent>
                    <w:p w:rsidR="000F252A" w:rsidRPr="00567E83" w:rsidRDefault="000F252A" w:rsidP="000F252A">
                      <w:pPr>
                        <w:jc w:val="both"/>
                        <w:rPr>
                          <w:rFonts w:ascii="Arial" w:hAnsi="Arial" w:cs="Arial"/>
                          <w:b/>
                          <w:color w:val="FFFFFF"/>
                          <w:sz w:val="20"/>
                          <w:szCs w:val="20"/>
                        </w:rPr>
                      </w:pPr>
                      <w:r>
                        <w:rPr>
                          <w:rFonts w:ascii="Arial" w:hAnsi="Arial" w:cs="Arial"/>
                          <w:b/>
                          <w:color w:val="FFFFFF"/>
                          <w:sz w:val="20"/>
                          <w:szCs w:val="20"/>
                        </w:rPr>
                        <w:t>Jueves 29 de Octubre</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F252A" w:rsidRPr="00610B20" w:rsidTr="002B108A">
        <w:trPr>
          <w:trHeight w:val="1380"/>
        </w:trPr>
        <w:tc>
          <w:tcPr>
            <w:tcW w:w="9257" w:type="dxa"/>
            <w:shd w:val="clear" w:color="auto" w:fill="E6F1DF"/>
          </w:tcPr>
          <w:p w:rsidR="000F252A" w:rsidRPr="00610B20" w:rsidRDefault="000F252A" w:rsidP="002B108A">
            <w:pPr>
              <w:spacing w:after="0"/>
              <w:jc w:val="left"/>
              <w:rPr>
                <w:rFonts w:ascii="Times New Roman" w:eastAsia="Times New Roman" w:hAnsi="Times New Roman" w:cs="Times New Roman"/>
                <w:sz w:val="24"/>
                <w:szCs w:val="24"/>
                <w:lang w:eastAsia="es-ES"/>
              </w:rPr>
            </w:pPr>
          </w:p>
          <w:p w:rsidR="000F252A" w:rsidRDefault="00887B69" w:rsidP="002B108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887B69">
              <w:rPr>
                <w:rFonts w:ascii="Arial" w:eastAsia="Times New Roman" w:hAnsi="Arial" w:cs="Arial"/>
                <w:b/>
                <w:color w:val="000080"/>
                <w:sz w:val="20"/>
                <w:szCs w:val="20"/>
                <w:lang w:val="es-ES_tradnl" w:eastAsia="es-ES"/>
              </w:rPr>
              <w:t xml:space="preserve"> EL REGLAMENTO GENERAL A LA LEY DE PERSONAL DE LAS FUERZAS ARMADAS </w:t>
            </w:r>
          </w:p>
          <w:p w:rsidR="00887B69" w:rsidRPr="00610B20" w:rsidRDefault="00887B69" w:rsidP="002B108A">
            <w:pPr>
              <w:spacing w:after="0"/>
              <w:rPr>
                <w:rFonts w:ascii="Arial" w:eastAsia="Times New Roman" w:hAnsi="Arial" w:cs="Arial"/>
                <w:b/>
                <w:color w:val="000080"/>
                <w:sz w:val="20"/>
                <w:szCs w:val="20"/>
                <w:lang w:eastAsia="es-ES"/>
              </w:rPr>
            </w:pPr>
          </w:p>
          <w:p w:rsidR="000F252A" w:rsidRPr="00610B20" w:rsidRDefault="000F252A"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887B69">
              <w:rPr>
                <w:rFonts w:ascii="Arial" w:eastAsia="Times New Roman" w:hAnsi="Arial" w:cs="Arial"/>
                <w:color w:val="000080"/>
                <w:sz w:val="20"/>
                <w:szCs w:val="20"/>
                <w:lang w:eastAsia="es-ES"/>
              </w:rPr>
              <w:t>Decreto Ejecutivo 794, publicado</w:t>
            </w:r>
            <w:r w:rsidRPr="00610B20">
              <w:rPr>
                <w:rFonts w:ascii="Arial" w:eastAsia="Times New Roman" w:hAnsi="Arial" w:cs="Arial"/>
                <w:color w:val="000080"/>
                <w:sz w:val="20"/>
                <w:szCs w:val="20"/>
                <w:lang w:eastAsia="es-ES"/>
              </w:rPr>
              <w:t xml:space="preserve"> en el Registro Oficial </w:t>
            </w:r>
            <w:r w:rsidR="00887B69">
              <w:rPr>
                <w:rFonts w:ascii="Arial" w:eastAsia="Times New Roman" w:hAnsi="Arial" w:cs="Arial"/>
                <w:color w:val="000080"/>
                <w:sz w:val="20"/>
                <w:szCs w:val="20"/>
                <w:lang w:eastAsia="es-ES"/>
              </w:rPr>
              <w:t>618</w:t>
            </w:r>
            <w:r w:rsidR="00B30C74">
              <w:rPr>
                <w:rFonts w:ascii="Arial" w:eastAsia="Times New Roman" w:hAnsi="Arial" w:cs="Arial"/>
                <w:color w:val="000080"/>
                <w:sz w:val="20"/>
                <w:szCs w:val="20"/>
                <w:lang w:eastAsia="es-ES"/>
              </w:rPr>
              <w:t xml:space="preserve"> de 29</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0F252A" w:rsidRDefault="000F252A"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887B69">
              <w:rPr>
                <w:rFonts w:ascii="Arial" w:eastAsia="Times New Roman" w:hAnsi="Arial" w:cs="Arial"/>
                <w:color w:val="000080"/>
                <w:sz w:val="20"/>
                <w:szCs w:val="20"/>
                <w:lang w:eastAsia="es-ES"/>
              </w:rPr>
              <w:t>Reforma</w:t>
            </w:r>
          </w:p>
          <w:p w:rsidR="00887B69" w:rsidRDefault="002B108A" w:rsidP="002B108A">
            <w:pPr>
              <w:spacing w:after="0"/>
              <w:jc w:val="both"/>
              <w:rPr>
                <w:rFonts w:ascii="Arial" w:eastAsia="Times New Roman" w:hAnsi="Arial" w:cs="Arial"/>
                <w:b/>
                <w:color w:val="000080"/>
                <w:sz w:val="20"/>
                <w:szCs w:val="20"/>
                <w:lang w:eastAsia="es-ES"/>
              </w:rPr>
            </w:pPr>
            <w:hyperlink r:id="rId18"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887B69" w:rsidRDefault="00887B69" w:rsidP="00887B69">
            <w:pPr>
              <w:spacing w:after="0"/>
              <w:ind w:left="596"/>
              <w:jc w:val="both"/>
              <w:rPr>
                <w:rFonts w:ascii="Arial" w:eastAsia="Times New Roman" w:hAnsi="Arial" w:cs="Arial"/>
                <w:color w:val="000080"/>
                <w:sz w:val="20"/>
                <w:szCs w:val="20"/>
                <w:lang w:eastAsia="es-ES"/>
              </w:rPr>
            </w:pPr>
            <w:r w:rsidRPr="00887B69">
              <w:rPr>
                <w:rFonts w:ascii="Arial" w:eastAsia="Times New Roman" w:hAnsi="Arial" w:cs="Arial"/>
                <w:color w:val="000080"/>
                <w:sz w:val="20"/>
                <w:szCs w:val="20"/>
                <w:lang w:eastAsia="es-ES"/>
              </w:rPr>
              <w:t>Artículo Único.- Sustitúyase el artículo 35, por el siguiente texto:</w:t>
            </w:r>
          </w:p>
          <w:p w:rsidR="00887B69" w:rsidRPr="00887B69" w:rsidRDefault="00887B69" w:rsidP="00887B69">
            <w:pPr>
              <w:spacing w:after="0"/>
              <w:ind w:left="596"/>
              <w:jc w:val="both"/>
              <w:rPr>
                <w:rFonts w:ascii="Arial" w:eastAsia="Times New Roman" w:hAnsi="Arial" w:cs="Arial"/>
                <w:color w:val="000080"/>
                <w:sz w:val="20"/>
                <w:szCs w:val="20"/>
                <w:lang w:eastAsia="es-ES"/>
              </w:rPr>
            </w:pPr>
          </w:p>
          <w:p w:rsidR="00887B69" w:rsidRPr="00887B69" w:rsidRDefault="00887B69" w:rsidP="00887B69">
            <w:pPr>
              <w:spacing w:after="0"/>
              <w:ind w:left="1305"/>
              <w:jc w:val="both"/>
              <w:rPr>
                <w:rFonts w:ascii="Arial" w:eastAsia="Times New Roman" w:hAnsi="Arial" w:cs="Arial"/>
                <w:color w:val="000080"/>
                <w:sz w:val="20"/>
                <w:szCs w:val="20"/>
                <w:lang w:eastAsia="es-ES"/>
              </w:rPr>
            </w:pPr>
            <w:r w:rsidRPr="00887B69">
              <w:rPr>
                <w:rFonts w:ascii="Arial" w:eastAsia="Times New Roman" w:hAnsi="Arial" w:cs="Arial"/>
                <w:color w:val="000080"/>
                <w:sz w:val="20"/>
                <w:szCs w:val="20"/>
                <w:lang w:eastAsia="es-ES"/>
              </w:rPr>
              <w:t>“Art. 35.- Para ingresar al Curso de Estado Mayor Conjunto en el Instituto Nacional de Defensa (INADE), el personal militar deberá tener un promedio en las calificaciones anuales igual o superior a dieciocho punto cincuenta (18,50) durante su permanencia como Oficial Superior.</w:t>
            </w:r>
          </w:p>
          <w:p w:rsidR="00887B69" w:rsidRDefault="00887B69" w:rsidP="00887B69">
            <w:pPr>
              <w:spacing w:after="0"/>
              <w:ind w:left="1305"/>
              <w:jc w:val="both"/>
              <w:rPr>
                <w:rFonts w:ascii="Arial" w:eastAsia="Times New Roman" w:hAnsi="Arial" w:cs="Arial"/>
                <w:color w:val="000080"/>
                <w:sz w:val="20"/>
                <w:szCs w:val="20"/>
                <w:lang w:eastAsia="es-ES"/>
              </w:rPr>
            </w:pPr>
          </w:p>
          <w:p w:rsidR="00887B69" w:rsidRDefault="00887B69" w:rsidP="00887B69">
            <w:pPr>
              <w:spacing w:after="0"/>
              <w:ind w:left="1305"/>
              <w:jc w:val="both"/>
              <w:rPr>
                <w:rFonts w:ascii="Arial" w:eastAsia="Times New Roman" w:hAnsi="Arial" w:cs="Arial"/>
                <w:color w:val="000080"/>
                <w:sz w:val="20"/>
                <w:szCs w:val="20"/>
                <w:lang w:eastAsia="es-ES"/>
              </w:rPr>
            </w:pPr>
            <w:r w:rsidRPr="00887B69">
              <w:rPr>
                <w:rFonts w:ascii="Arial" w:eastAsia="Times New Roman" w:hAnsi="Arial" w:cs="Arial"/>
                <w:color w:val="000080"/>
                <w:sz w:val="20"/>
                <w:szCs w:val="20"/>
                <w:lang w:eastAsia="es-ES"/>
              </w:rPr>
              <w:t>El Curso de Estado Mayor Conjunto en el Instituto Nacional de Defensa (INADE) se lo deberá realizar durante el primer año de permanencia en el grado de Coronel y a su culminación se obtendrá una evaluación cuantitativa para cada oficial.</w:t>
            </w:r>
          </w:p>
          <w:p w:rsidR="00887B69" w:rsidRPr="00887B69" w:rsidRDefault="00887B69" w:rsidP="00887B69">
            <w:pPr>
              <w:spacing w:after="0"/>
              <w:ind w:left="1305"/>
              <w:jc w:val="both"/>
              <w:rPr>
                <w:rFonts w:ascii="Arial" w:eastAsia="Times New Roman" w:hAnsi="Arial" w:cs="Arial"/>
                <w:color w:val="000080"/>
                <w:sz w:val="20"/>
                <w:szCs w:val="20"/>
                <w:lang w:eastAsia="es-ES"/>
              </w:rPr>
            </w:pPr>
          </w:p>
          <w:p w:rsidR="00887B69" w:rsidRPr="00887B69" w:rsidRDefault="00887B69" w:rsidP="00887B69">
            <w:pPr>
              <w:spacing w:after="0"/>
              <w:ind w:left="1305"/>
              <w:jc w:val="both"/>
              <w:rPr>
                <w:rFonts w:ascii="Arial" w:eastAsia="Times New Roman" w:hAnsi="Arial" w:cs="Arial"/>
                <w:color w:val="000080"/>
                <w:sz w:val="20"/>
                <w:szCs w:val="20"/>
                <w:lang w:eastAsia="es-ES"/>
              </w:rPr>
            </w:pPr>
            <w:r w:rsidRPr="00887B69">
              <w:rPr>
                <w:rFonts w:ascii="Arial" w:eastAsia="Times New Roman" w:hAnsi="Arial" w:cs="Arial"/>
                <w:color w:val="000080"/>
                <w:sz w:val="20"/>
                <w:szCs w:val="20"/>
                <w:lang w:eastAsia="es-ES"/>
              </w:rPr>
              <w:t>La evaluación se la realizará a base de calificaciones con puntajes sobre veinte (20) puntos; la nota final para la aprobación del Curso deberá ser superior o igual a dieciocho punto cincuenta (18.50)”</w:t>
            </w:r>
          </w:p>
          <w:p w:rsidR="00887B69" w:rsidRPr="00887B69" w:rsidRDefault="00887B69" w:rsidP="00887B69">
            <w:pPr>
              <w:spacing w:after="0"/>
              <w:ind w:left="596"/>
              <w:jc w:val="both"/>
              <w:rPr>
                <w:rFonts w:ascii="Arial" w:eastAsia="Times New Roman" w:hAnsi="Arial" w:cs="Arial"/>
                <w:color w:val="000080"/>
                <w:sz w:val="20"/>
                <w:szCs w:val="20"/>
                <w:lang w:eastAsia="es-ES"/>
              </w:rPr>
            </w:pPr>
            <w:r w:rsidRPr="00887B69">
              <w:rPr>
                <w:rFonts w:ascii="Arial" w:eastAsia="Times New Roman" w:hAnsi="Arial" w:cs="Arial"/>
                <w:color w:val="000080"/>
                <w:sz w:val="20"/>
                <w:szCs w:val="20"/>
                <w:lang w:eastAsia="es-ES"/>
              </w:rPr>
              <w:t xml:space="preserve"> </w:t>
            </w:r>
          </w:p>
          <w:p w:rsidR="00887B69" w:rsidRDefault="00887B69" w:rsidP="00887B69">
            <w:pPr>
              <w:spacing w:after="0"/>
              <w:ind w:left="596"/>
              <w:jc w:val="both"/>
              <w:rPr>
                <w:rFonts w:ascii="Arial" w:eastAsia="Times New Roman" w:hAnsi="Arial" w:cs="Arial"/>
                <w:color w:val="000080"/>
                <w:sz w:val="20"/>
                <w:szCs w:val="20"/>
                <w:lang w:eastAsia="es-ES"/>
              </w:rPr>
            </w:pPr>
            <w:r w:rsidRPr="00887B69">
              <w:rPr>
                <w:rFonts w:ascii="Arial" w:eastAsia="Times New Roman" w:hAnsi="Arial" w:cs="Arial"/>
                <w:color w:val="000080"/>
                <w:sz w:val="20"/>
                <w:szCs w:val="20"/>
                <w:lang w:eastAsia="es-ES"/>
              </w:rPr>
              <w:t>DISPOSICIÓN FINAL.- De la ejecución del presente Decreto Ejecutivo, que entrará en vigencia a partir de su publicación en el Registro Oficial, encárguese al señor Ministro de Defensa Nacional.</w:t>
            </w:r>
          </w:p>
          <w:p w:rsidR="000F252A" w:rsidRPr="00610B20" w:rsidRDefault="000F252A" w:rsidP="002B108A">
            <w:pPr>
              <w:spacing w:after="0"/>
              <w:ind w:left="738"/>
              <w:jc w:val="both"/>
              <w:rPr>
                <w:rFonts w:ascii="Arial" w:eastAsia="Times New Roman" w:hAnsi="Arial" w:cs="Arial"/>
                <w:b/>
                <w:color w:val="000080"/>
                <w:sz w:val="20"/>
                <w:szCs w:val="20"/>
                <w:lang w:eastAsia="es-ES"/>
              </w:rPr>
            </w:pPr>
          </w:p>
        </w:tc>
      </w:tr>
    </w:tbl>
    <w:p w:rsidR="00752F5E" w:rsidRDefault="00752F5E" w:rsidP="000F252A">
      <w:pPr>
        <w:jc w:val="both"/>
      </w:pPr>
      <w:r w:rsidRPr="00610B20">
        <w:rPr>
          <w:noProof/>
          <w:lang w:eastAsia="es-EC"/>
        </w:rPr>
        <mc:AlternateContent>
          <mc:Choice Requires="wps">
            <w:drawing>
              <wp:anchor distT="0" distB="0" distL="114300" distR="114300" simplePos="0" relativeHeight="251677696" behindDoc="0" locked="0" layoutInCell="1" allowOverlap="1" wp14:anchorId="0213311E" wp14:editId="35500166">
                <wp:simplePos x="0" y="0"/>
                <wp:positionH relativeFrom="margin">
                  <wp:posOffset>0</wp:posOffset>
                </wp:positionH>
                <wp:positionV relativeFrom="paragraph">
                  <wp:posOffset>24765</wp:posOffset>
                </wp:positionV>
                <wp:extent cx="1508078" cy="228600"/>
                <wp:effectExtent l="0" t="0" r="1651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078" cy="228600"/>
                        </a:xfrm>
                        <a:prstGeom prst="rect">
                          <a:avLst/>
                        </a:prstGeom>
                        <a:solidFill>
                          <a:srgbClr val="000080"/>
                        </a:solidFill>
                        <a:ln w="9525">
                          <a:solidFill>
                            <a:srgbClr val="000080"/>
                          </a:solidFill>
                          <a:miter lim="800000"/>
                          <a:headEnd/>
                          <a:tailEnd/>
                        </a:ln>
                      </wps:spPr>
                      <wps:txbx>
                        <w:txbxContent>
                          <w:p w:rsidR="002B108A" w:rsidRPr="00567E83" w:rsidRDefault="002B108A" w:rsidP="00752F5E">
                            <w:pPr>
                              <w:jc w:val="both"/>
                              <w:rPr>
                                <w:rFonts w:ascii="Arial" w:hAnsi="Arial" w:cs="Arial"/>
                                <w:b/>
                                <w:color w:val="FFFFFF"/>
                                <w:sz w:val="20"/>
                                <w:szCs w:val="20"/>
                              </w:rPr>
                            </w:pPr>
                            <w:r>
                              <w:rPr>
                                <w:rFonts w:ascii="Arial" w:hAnsi="Arial" w:cs="Arial"/>
                                <w:b/>
                                <w:color w:val="FFFFFF"/>
                                <w:sz w:val="20"/>
                                <w:szCs w:val="20"/>
                              </w:rPr>
                              <w:t>Viernes 30 de Octubre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13311E" id="Cuadro de texto 11" o:spid="_x0000_s1035" type="#_x0000_t202" style="position:absolute;left:0;text-align:left;margin-left:0;margin-top:1.95pt;width:118.75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juLgIAAGAEAAAOAAAAZHJzL2Uyb0RvYy54bWysVNuOGjEMfa/Uf4jyXmZAsAuIYbVlu1Wl&#10;7UXa9gNCkmGiZuLUCczQr6+TAUrbt1V5iGLsHNvHx7O661vLDhqDAVfx8ajkTDsJyrhdxb99fXwz&#10;5yxE4ZSw4HTFjzrwu/XrV6vOL/UEGrBKIyMQF5adr3gTo18WRZCNbkUYgdeOnDVgKyKZuCsUio7Q&#10;W1tMyvKm6ACVR5A6BPr3YXDydcavay3j57oOOjJbcaot5hPzuU1nsV6J5Q6Fb4w8lSFeUEUrjKOk&#10;F6gHEQXbo/kHqjUSIUAdRxLaAuraSJ17oG7G5V/dPDfC69wLkRP8habw/2Dlp8MXZEbR7MacOdHS&#10;jDZ7oRCY0izqPgIjD9HU+bCk6GdP8bF/Cz09yS0H/wTye2AONo1wO32PCF2jhaIy88vi6umAExLI&#10;tvsIitKJfYQM1NfYJg6JFUboNK7jZURUCJMp5aycl7ckKkm+yWR+U+YZFmJ5fu0xxPcaWpYuFUeS&#10;QEYXh6cQqQ8KPYekZAGsUY/G2mzgbruxyA4iyYV+8zP6H2HWsa7ii9lkNhDwAojWRNK9NW3F5ynR&#10;SYmJtndOZVVGYexwp5Kto8oTj4m6gcTYb/s8ucV5PFtQRyIWYZA5rSVdGsCfnHUk8YqHH3uBmjP7&#10;wdFwFuPpNO1ENqaz2wkZeO3ZXnuEkwRV8cjZcN3EYY/2Hs2uoUyDHBzc00Brk7lOFQ9VnconGecR&#10;nFYu7cm1naN+fxjWvwAAAP//AwBQSwMEFAAGAAgAAAAhAMTbtEPcAAAABQEAAA8AAABkcnMvZG93&#10;bnJldi54bWxMj8tuwjAQRfeV+AdrKrErTon6IMRBqKVddFeaItiZeEgi4nEUmyT9+w6rdnl1R+ee&#10;SVejbUSPna8dKbifRSCQCmdqKhXkX293zyB80GR04wgV/KCHVTa5SXVi3ECf2G9DKRhCPtEKqhDa&#10;REpfVGi1n7kWibuT66wOHLtSmk4PDLeNnEfRo7S6Jl6odIsvFRbn7cUyZRd/7F7L/rR/H+KDzTfn&#10;ffSdKzW9HddLEAHH8HcMV31Wh4ydju5CxotGAT8SFMQLEFzO46cHEMdrXoDMUvnfPvsFAAD//wMA&#10;UEsBAi0AFAAGAAgAAAAhALaDOJL+AAAA4QEAABMAAAAAAAAAAAAAAAAAAAAAAFtDb250ZW50X1R5&#10;cGVzXS54bWxQSwECLQAUAAYACAAAACEAOP0h/9YAAACUAQAACwAAAAAAAAAAAAAAAAAvAQAAX3Jl&#10;bHMvLnJlbHNQSwECLQAUAAYACAAAACEAXWEY7i4CAABgBAAADgAAAAAAAAAAAAAAAAAuAgAAZHJz&#10;L2Uyb0RvYy54bWxQSwECLQAUAAYACAAAACEAxNu0Q9wAAAAFAQAADwAAAAAAAAAAAAAAAACIBAAA&#10;ZHJzL2Rvd25yZXYueG1sUEsFBgAAAAAEAAQA8wAAAJEFAAAAAA==&#10;" fillcolor="navy" strokecolor="navy">
                <v:textbox>
                  <w:txbxContent>
                    <w:p w:rsidR="00752F5E" w:rsidRPr="00567E83" w:rsidRDefault="00752F5E" w:rsidP="00752F5E">
                      <w:pPr>
                        <w:jc w:val="both"/>
                        <w:rPr>
                          <w:rFonts w:ascii="Arial" w:hAnsi="Arial" w:cs="Arial"/>
                          <w:b/>
                          <w:color w:val="FFFFFF"/>
                          <w:sz w:val="20"/>
                          <w:szCs w:val="20"/>
                        </w:rPr>
                      </w:pPr>
                      <w:r>
                        <w:rPr>
                          <w:rFonts w:ascii="Arial" w:hAnsi="Arial" w:cs="Arial"/>
                          <w:b/>
                          <w:color w:val="FFFFFF"/>
                          <w:sz w:val="20"/>
                          <w:szCs w:val="20"/>
                        </w:rPr>
                        <w:t>Viernes 30</w:t>
                      </w:r>
                      <w:r>
                        <w:rPr>
                          <w:rFonts w:ascii="Arial" w:hAnsi="Arial" w:cs="Arial"/>
                          <w:b/>
                          <w:color w:val="FFFFFF"/>
                          <w:sz w:val="20"/>
                          <w:szCs w:val="20"/>
                        </w:rPr>
                        <w:t xml:space="preserve"> de Octubre</w:t>
                      </w:r>
                    </w:p>
                  </w:txbxContent>
                </v:textbox>
                <w10:wrap anchorx="margin"/>
              </v:shape>
            </w:pict>
          </mc:Fallback>
        </mc:AlternateContent>
      </w:r>
    </w:p>
    <w:p w:rsidR="00752F5E" w:rsidRDefault="00752F5E" w:rsidP="000F252A">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52F5E" w:rsidRPr="00610B20" w:rsidTr="002B108A">
        <w:trPr>
          <w:trHeight w:val="1380"/>
        </w:trPr>
        <w:tc>
          <w:tcPr>
            <w:tcW w:w="9257" w:type="dxa"/>
            <w:shd w:val="clear" w:color="auto" w:fill="DDFFFF"/>
          </w:tcPr>
          <w:p w:rsidR="00752F5E" w:rsidRPr="00610B20" w:rsidRDefault="00752F5E" w:rsidP="002B108A">
            <w:pPr>
              <w:spacing w:after="0"/>
              <w:jc w:val="left"/>
              <w:rPr>
                <w:rFonts w:ascii="Times New Roman" w:eastAsia="Times New Roman" w:hAnsi="Times New Roman" w:cs="Times New Roman"/>
                <w:sz w:val="24"/>
                <w:szCs w:val="24"/>
                <w:lang w:eastAsia="es-ES"/>
              </w:rPr>
            </w:pPr>
          </w:p>
          <w:p w:rsidR="00752F5E" w:rsidRDefault="00752F5E" w:rsidP="002B108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752F5E">
              <w:rPr>
                <w:rFonts w:ascii="Arial" w:eastAsia="Times New Roman" w:hAnsi="Arial" w:cs="Arial"/>
                <w:b/>
                <w:color w:val="000080"/>
                <w:sz w:val="20"/>
                <w:szCs w:val="20"/>
                <w:lang w:val="es-ES_tradnl" w:eastAsia="es-ES"/>
              </w:rPr>
              <w:t xml:space="preserve"> LA NORMA TÉCNICA DEL SUBSI</w:t>
            </w:r>
            <w:r>
              <w:rPr>
                <w:rFonts w:ascii="Arial" w:eastAsia="Times New Roman" w:hAnsi="Arial" w:cs="Arial"/>
                <w:b/>
                <w:color w:val="000080"/>
                <w:sz w:val="20"/>
                <w:szCs w:val="20"/>
                <w:lang w:val="es-ES_tradnl" w:eastAsia="es-ES"/>
              </w:rPr>
              <w:t>STEMA DE SELECCIÓN DE PERSONAL</w:t>
            </w:r>
          </w:p>
          <w:p w:rsidR="00752F5E" w:rsidRPr="00610B20" w:rsidRDefault="00752F5E" w:rsidP="002B108A">
            <w:pPr>
              <w:spacing w:after="0"/>
              <w:rPr>
                <w:rFonts w:ascii="Arial" w:eastAsia="Times New Roman" w:hAnsi="Arial" w:cs="Arial"/>
                <w:b/>
                <w:color w:val="000080"/>
                <w:sz w:val="20"/>
                <w:szCs w:val="20"/>
                <w:lang w:val="es-ES_tradnl" w:eastAsia="es-ES"/>
              </w:rPr>
            </w:pPr>
          </w:p>
          <w:p w:rsidR="00752F5E" w:rsidRPr="00610B20" w:rsidRDefault="00752F5E"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0230</w:t>
            </w:r>
            <w:r w:rsidR="00D734D3">
              <w:rPr>
                <w:rFonts w:ascii="Arial" w:eastAsia="Times New Roman" w:hAnsi="Arial" w:cs="Arial"/>
                <w:color w:val="000080"/>
                <w:sz w:val="20"/>
                <w:szCs w:val="20"/>
                <w:lang w:eastAsia="es-ES"/>
              </w:rPr>
              <w:t>, publicado</w:t>
            </w:r>
            <w:r w:rsidRPr="00610B20">
              <w:rPr>
                <w:rFonts w:ascii="Arial" w:eastAsia="Times New Roman" w:hAnsi="Arial" w:cs="Arial"/>
                <w:color w:val="000080"/>
                <w:sz w:val="20"/>
                <w:szCs w:val="20"/>
                <w:lang w:eastAsia="es-ES"/>
              </w:rPr>
              <w:t xml:space="preserve"> en el Registro Oficial </w:t>
            </w:r>
            <w:r>
              <w:rPr>
                <w:rFonts w:ascii="Arial" w:eastAsia="Times New Roman" w:hAnsi="Arial" w:cs="Arial"/>
                <w:color w:val="000080"/>
                <w:sz w:val="20"/>
                <w:szCs w:val="20"/>
                <w:lang w:eastAsia="es-ES"/>
              </w:rPr>
              <w:t>619 de 30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752F5E" w:rsidRDefault="00752F5E"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Pr>
                <w:rFonts w:ascii="Arial" w:eastAsia="Times New Roman" w:hAnsi="Arial" w:cs="Arial"/>
                <w:color w:val="000080"/>
                <w:sz w:val="20"/>
                <w:szCs w:val="20"/>
                <w:lang w:eastAsia="es-ES"/>
              </w:rPr>
              <w:t>Reforma</w:t>
            </w:r>
          </w:p>
          <w:p w:rsidR="00752F5E" w:rsidRDefault="002B108A" w:rsidP="002B108A">
            <w:pPr>
              <w:spacing w:after="0"/>
              <w:jc w:val="both"/>
              <w:rPr>
                <w:rFonts w:ascii="Arial" w:eastAsia="Times New Roman" w:hAnsi="Arial" w:cs="Arial"/>
                <w:b/>
                <w:color w:val="000080"/>
                <w:sz w:val="20"/>
                <w:szCs w:val="20"/>
                <w:lang w:eastAsia="es-ES"/>
              </w:rPr>
            </w:pPr>
            <w:hyperlink r:id="rId19" w:history="1">
              <w:r w:rsidRPr="002B108A">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752F5E" w:rsidRDefault="00752F5E" w:rsidP="00752F5E">
            <w:pPr>
              <w:spacing w:after="0"/>
              <w:ind w:left="738"/>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Art. 1.- En el artículo 36, en el segundo inciso, sustitúyase el punto final por punto y coma, e inclúyase el siguiente texto:</w:t>
            </w:r>
          </w:p>
          <w:p w:rsidR="00752F5E" w:rsidRPr="00752F5E" w:rsidRDefault="00752F5E" w:rsidP="00752F5E">
            <w:pPr>
              <w:spacing w:after="0"/>
              <w:ind w:left="738"/>
              <w:jc w:val="both"/>
              <w:rPr>
                <w:rFonts w:ascii="Arial" w:eastAsia="Times New Roman" w:hAnsi="Arial" w:cs="Arial"/>
                <w:color w:val="000080"/>
                <w:sz w:val="20"/>
                <w:szCs w:val="20"/>
                <w:lang w:eastAsia="es-ES"/>
              </w:rPr>
            </w:pPr>
          </w:p>
          <w:p w:rsidR="00752F5E" w:rsidRPr="00752F5E" w:rsidRDefault="00752F5E" w:rsidP="00752F5E">
            <w:pPr>
              <w:spacing w:after="0"/>
              <w:ind w:left="1447"/>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w:t>
            </w:r>
            <w:proofErr w:type="gramStart"/>
            <w:r w:rsidRPr="00752F5E">
              <w:rPr>
                <w:rFonts w:ascii="Arial" w:eastAsia="Times New Roman" w:hAnsi="Arial" w:cs="Arial"/>
                <w:color w:val="000080"/>
                <w:sz w:val="20"/>
                <w:szCs w:val="20"/>
                <w:lang w:eastAsia="es-ES"/>
              </w:rPr>
              <w:t>salvo</w:t>
            </w:r>
            <w:proofErr w:type="gramEnd"/>
            <w:r w:rsidRPr="00752F5E">
              <w:rPr>
                <w:rFonts w:ascii="Arial" w:eastAsia="Times New Roman" w:hAnsi="Arial" w:cs="Arial"/>
                <w:color w:val="000080"/>
                <w:sz w:val="20"/>
                <w:szCs w:val="20"/>
                <w:lang w:eastAsia="es-ES"/>
              </w:rPr>
              <w:t xml:space="preserve"> que la o el ganador del concurso se encuentre fuera del país, en cuyo caso, dentro de los indicados tres (3) días, deberá comunicar al administrador del concurso su confirmación de que va a retornar al país a posesionarse del puesto y, si así lo hace, tendrá un término de veinte (20) días para entregar la información prevista en el artículo 3 del Reglamento General a la LOSEP. ”</w:t>
            </w:r>
          </w:p>
          <w:p w:rsidR="00752F5E" w:rsidRDefault="00752F5E" w:rsidP="00752F5E">
            <w:pPr>
              <w:spacing w:after="0"/>
              <w:ind w:left="738"/>
              <w:jc w:val="both"/>
              <w:rPr>
                <w:rFonts w:ascii="Arial" w:eastAsia="Times New Roman" w:hAnsi="Arial" w:cs="Arial"/>
                <w:color w:val="000080"/>
                <w:sz w:val="20"/>
                <w:szCs w:val="20"/>
                <w:lang w:eastAsia="es-ES"/>
              </w:rPr>
            </w:pPr>
          </w:p>
          <w:p w:rsidR="00752F5E" w:rsidRDefault="00752F5E" w:rsidP="00752F5E">
            <w:pPr>
              <w:spacing w:after="0"/>
              <w:ind w:left="738"/>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Art. 2.- Incorpórese como Disposición Transitoria Tercera, la siguiente:</w:t>
            </w:r>
          </w:p>
          <w:p w:rsidR="00752F5E" w:rsidRPr="00752F5E" w:rsidRDefault="00752F5E" w:rsidP="00752F5E">
            <w:pPr>
              <w:spacing w:after="0"/>
              <w:ind w:left="738"/>
              <w:jc w:val="both"/>
              <w:rPr>
                <w:rFonts w:ascii="Arial" w:eastAsia="Times New Roman" w:hAnsi="Arial" w:cs="Arial"/>
                <w:color w:val="000080"/>
                <w:sz w:val="20"/>
                <w:szCs w:val="20"/>
                <w:lang w:eastAsia="es-ES"/>
              </w:rPr>
            </w:pPr>
          </w:p>
          <w:p w:rsidR="00752F5E" w:rsidRDefault="00752F5E" w:rsidP="00752F5E">
            <w:pPr>
              <w:spacing w:after="0"/>
              <w:ind w:left="1447"/>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“Si la institución del Estado, por restricciones presupuestarias del año 2015, no pueda otorgar el nombramiento provisional de prueba previsto en el numeral b.5) del artículo 17 de la LOSEP; el Tribunal de Méritos y Oposición, en cumplimiento del artículo 37 de la presente Norma, podrá declarar ganadora o ganador de un concurso de méritos y oposición y la máxima autoridad o su delegada o delegado podrá emitir dicho nombramiento en el ejercicio fiscal 2016, cuyo ingreso se realizará el primer día hábil del mes en el cual se emitiría el nom</w:t>
            </w:r>
            <w:r>
              <w:rPr>
                <w:rFonts w:ascii="Arial" w:eastAsia="Times New Roman" w:hAnsi="Arial" w:cs="Arial"/>
                <w:color w:val="000080"/>
                <w:sz w:val="20"/>
                <w:szCs w:val="20"/>
                <w:lang w:eastAsia="es-ES"/>
              </w:rPr>
              <w:t xml:space="preserve">bramiento provisional a prueba, </w:t>
            </w:r>
            <w:r w:rsidRPr="00752F5E">
              <w:rPr>
                <w:rFonts w:ascii="Arial" w:eastAsia="Times New Roman" w:hAnsi="Arial" w:cs="Arial"/>
                <w:color w:val="000080"/>
                <w:sz w:val="20"/>
                <w:szCs w:val="20"/>
                <w:lang w:eastAsia="es-ES"/>
              </w:rPr>
              <w:t xml:space="preserve">siempre que cuente con la asignación presupuestaria y el saldo de disponibilidad </w:t>
            </w:r>
            <w:r w:rsidRPr="00752F5E">
              <w:rPr>
                <w:rFonts w:ascii="Arial" w:eastAsia="Times New Roman" w:hAnsi="Arial" w:cs="Arial"/>
                <w:color w:val="000080"/>
                <w:sz w:val="20"/>
                <w:szCs w:val="20"/>
                <w:lang w:eastAsia="es-ES"/>
              </w:rPr>
              <w:lastRenderedPageBreak/>
              <w:t>suficiente en concordancia con lo dispuesto en el artículo 115 del Código Orgánico de Planificación y Finanzas Públicas y artículo 105 de la Ley Orgánica del Servicio Público. Se exceptúa de esta disposición los puestos vacantes con declaratoria de ganador o ganadora y que se encuentren ocupados con el nombramiento provisional señalado en el numeral b.3) del artículo 17 de la LOSEP.</w:t>
            </w:r>
          </w:p>
          <w:p w:rsidR="00752F5E" w:rsidRPr="00752F5E" w:rsidRDefault="00752F5E" w:rsidP="00752F5E">
            <w:pPr>
              <w:spacing w:after="0"/>
              <w:ind w:left="1447"/>
              <w:jc w:val="both"/>
              <w:rPr>
                <w:rFonts w:ascii="Arial" w:eastAsia="Times New Roman" w:hAnsi="Arial" w:cs="Arial"/>
                <w:color w:val="000080"/>
                <w:sz w:val="20"/>
                <w:szCs w:val="20"/>
                <w:lang w:eastAsia="es-ES"/>
              </w:rPr>
            </w:pPr>
          </w:p>
          <w:p w:rsidR="00752F5E" w:rsidRDefault="00752F5E" w:rsidP="00752F5E">
            <w:pPr>
              <w:spacing w:after="0"/>
              <w:ind w:left="1447"/>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La persona que haya sido declarada ganadora o ganador del concurso de méritos y oposición, que a la época de esa declaratoria sea servidora o servidor público, no requerirá renunciar a su puesto sino hasta que se le emita el nombramiento provisional de prueba previsto en el numeral b.5) del artículo 17 de la LOSEP.”</w:t>
            </w:r>
          </w:p>
          <w:p w:rsidR="00752F5E" w:rsidRPr="00752F5E" w:rsidRDefault="00752F5E" w:rsidP="00752F5E">
            <w:pPr>
              <w:spacing w:after="0"/>
              <w:ind w:left="738"/>
              <w:jc w:val="both"/>
              <w:rPr>
                <w:rFonts w:ascii="Arial" w:eastAsia="Times New Roman" w:hAnsi="Arial" w:cs="Arial"/>
                <w:color w:val="000080"/>
                <w:sz w:val="20"/>
                <w:szCs w:val="20"/>
                <w:lang w:eastAsia="es-ES"/>
              </w:rPr>
            </w:pPr>
          </w:p>
          <w:p w:rsidR="00752F5E" w:rsidRDefault="00752F5E" w:rsidP="00752F5E">
            <w:pPr>
              <w:spacing w:after="0"/>
              <w:ind w:left="738"/>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DISPOSICIÓN TRANSITORIA</w:t>
            </w:r>
          </w:p>
          <w:p w:rsidR="00752F5E" w:rsidRPr="00752F5E" w:rsidRDefault="00752F5E" w:rsidP="00752F5E">
            <w:pPr>
              <w:spacing w:after="0"/>
              <w:ind w:left="738"/>
              <w:jc w:val="both"/>
              <w:rPr>
                <w:rFonts w:ascii="Arial" w:eastAsia="Times New Roman" w:hAnsi="Arial" w:cs="Arial"/>
                <w:color w:val="000080"/>
                <w:sz w:val="20"/>
                <w:szCs w:val="20"/>
                <w:lang w:eastAsia="es-ES"/>
              </w:rPr>
            </w:pPr>
          </w:p>
          <w:p w:rsidR="00752F5E" w:rsidRDefault="00752F5E" w:rsidP="00752F5E">
            <w:pPr>
              <w:spacing w:after="0"/>
              <w:ind w:left="738"/>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ÚNICA.- Las UATH institucionales deberán aplicar lo dispuesto en la presente reforma inclusive en los procesos selectivos que se encuentren en la etapa de convocatoria o en una posterior.</w:t>
            </w:r>
          </w:p>
          <w:p w:rsidR="00752F5E" w:rsidRPr="00752F5E" w:rsidRDefault="00752F5E" w:rsidP="00752F5E">
            <w:pPr>
              <w:spacing w:after="0"/>
              <w:ind w:left="738"/>
              <w:jc w:val="both"/>
              <w:rPr>
                <w:rFonts w:ascii="Arial" w:eastAsia="Times New Roman" w:hAnsi="Arial" w:cs="Arial"/>
                <w:color w:val="000080"/>
                <w:sz w:val="20"/>
                <w:szCs w:val="20"/>
                <w:lang w:eastAsia="es-ES"/>
              </w:rPr>
            </w:pPr>
          </w:p>
          <w:p w:rsidR="00752F5E" w:rsidRDefault="00752F5E" w:rsidP="00752F5E">
            <w:pPr>
              <w:spacing w:after="0"/>
              <w:ind w:left="738"/>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Disposición Final.- El presente Acuerdo entrará en vigencia a partir de su suscripción, sin perjuicio de su publicación en el Registro Oficial.</w:t>
            </w:r>
          </w:p>
          <w:p w:rsidR="00752F5E" w:rsidRPr="00752F5E" w:rsidRDefault="00752F5E" w:rsidP="00752F5E">
            <w:pPr>
              <w:spacing w:after="0"/>
              <w:ind w:left="738"/>
              <w:jc w:val="both"/>
              <w:rPr>
                <w:rFonts w:ascii="Arial" w:eastAsia="Times New Roman" w:hAnsi="Arial" w:cs="Arial"/>
                <w:color w:val="000080"/>
                <w:sz w:val="20"/>
                <w:szCs w:val="20"/>
                <w:lang w:eastAsia="es-ES"/>
              </w:rPr>
            </w:pPr>
          </w:p>
          <w:p w:rsidR="00752F5E" w:rsidRDefault="00752F5E" w:rsidP="00752F5E">
            <w:pPr>
              <w:spacing w:after="0"/>
              <w:ind w:left="738"/>
              <w:jc w:val="both"/>
              <w:rPr>
                <w:rFonts w:ascii="Arial" w:eastAsia="Times New Roman" w:hAnsi="Arial" w:cs="Arial"/>
                <w:color w:val="000080"/>
                <w:sz w:val="20"/>
                <w:szCs w:val="20"/>
                <w:lang w:eastAsia="es-ES"/>
              </w:rPr>
            </w:pPr>
            <w:r w:rsidRPr="00752F5E">
              <w:rPr>
                <w:rFonts w:ascii="Arial" w:eastAsia="Times New Roman" w:hAnsi="Arial" w:cs="Arial"/>
                <w:color w:val="000080"/>
                <w:sz w:val="20"/>
                <w:szCs w:val="20"/>
                <w:lang w:eastAsia="es-ES"/>
              </w:rPr>
              <w:t>Dado en la ciudad de San Francisco de Quito, Distrito Metropolitano, a 05 de octubre de 2015.</w:t>
            </w:r>
          </w:p>
          <w:p w:rsidR="00752F5E" w:rsidRPr="00610B20" w:rsidRDefault="00752F5E" w:rsidP="002B108A">
            <w:pPr>
              <w:spacing w:after="0"/>
              <w:jc w:val="both"/>
              <w:rPr>
                <w:rFonts w:ascii="Times New Roman" w:eastAsia="Times New Roman" w:hAnsi="Times New Roman" w:cs="Times New Roman"/>
                <w:sz w:val="24"/>
                <w:szCs w:val="24"/>
                <w:lang w:eastAsia="es-ES"/>
              </w:rPr>
            </w:pPr>
          </w:p>
        </w:tc>
      </w:tr>
      <w:tr w:rsidR="00752F5E" w:rsidRPr="00610B20" w:rsidTr="002B108A">
        <w:trPr>
          <w:trHeight w:val="1380"/>
        </w:trPr>
        <w:tc>
          <w:tcPr>
            <w:tcW w:w="9257" w:type="dxa"/>
            <w:shd w:val="clear" w:color="auto" w:fill="E6F1DF"/>
          </w:tcPr>
          <w:p w:rsidR="00752F5E" w:rsidRPr="00610B20" w:rsidRDefault="00752F5E" w:rsidP="002B108A">
            <w:pPr>
              <w:spacing w:after="0"/>
              <w:jc w:val="left"/>
              <w:rPr>
                <w:rFonts w:ascii="Times New Roman" w:eastAsia="Times New Roman" w:hAnsi="Times New Roman" w:cs="Times New Roman"/>
                <w:sz w:val="24"/>
                <w:szCs w:val="24"/>
                <w:lang w:eastAsia="es-ES"/>
              </w:rPr>
            </w:pPr>
          </w:p>
          <w:p w:rsidR="00752F5E" w:rsidRDefault="00D734D3" w:rsidP="002B108A">
            <w:pPr>
              <w:spacing w:after="0"/>
              <w:rPr>
                <w:rFonts w:ascii="Arial" w:eastAsia="Times New Roman" w:hAnsi="Arial" w:cs="Arial"/>
                <w:b/>
                <w:color w:val="000080"/>
                <w:sz w:val="20"/>
                <w:szCs w:val="20"/>
                <w:lang w:val="es-ES_tradnl" w:eastAsia="es-ES"/>
              </w:rPr>
            </w:pPr>
            <w:r>
              <w:rPr>
                <w:rFonts w:ascii="Arial" w:eastAsia="Times New Roman" w:hAnsi="Arial" w:cs="Arial"/>
                <w:b/>
                <w:color w:val="000080"/>
                <w:sz w:val="20"/>
                <w:szCs w:val="20"/>
                <w:lang w:val="es-ES_tradnl" w:eastAsia="es-ES"/>
              </w:rPr>
              <w:t>REFORMA</w:t>
            </w:r>
            <w:r w:rsidRPr="00D734D3">
              <w:rPr>
                <w:rFonts w:ascii="Arial" w:eastAsia="Times New Roman" w:hAnsi="Arial" w:cs="Arial"/>
                <w:b/>
                <w:color w:val="000080"/>
                <w:sz w:val="20"/>
                <w:szCs w:val="20"/>
                <w:lang w:val="es-ES_tradnl" w:eastAsia="es-ES"/>
              </w:rPr>
              <w:t xml:space="preserve"> EL REGLAMENTO PARA EL PAGO DE COMPENSACIÓN POR RESIDENCIA Y TRANSPORTE PARA FUNCIONARIOS Y SERVID</w:t>
            </w:r>
            <w:r>
              <w:rPr>
                <w:rFonts w:ascii="Arial" w:eastAsia="Times New Roman" w:hAnsi="Arial" w:cs="Arial"/>
                <w:b/>
                <w:color w:val="000080"/>
                <w:sz w:val="20"/>
                <w:szCs w:val="20"/>
                <w:lang w:val="es-ES_tradnl" w:eastAsia="es-ES"/>
              </w:rPr>
              <w:t xml:space="preserve">ORES DE LAS INSTITUCIONES </w:t>
            </w:r>
            <w:r w:rsidRPr="00D734D3">
              <w:rPr>
                <w:rFonts w:ascii="Arial" w:eastAsia="Times New Roman" w:hAnsi="Arial" w:cs="Arial"/>
                <w:b/>
                <w:color w:val="000080"/>
                <w:sz w:val="20"/>
                <w:szCs w:val="20"/>
                <w:lang w:val="es-ES_tradnl" w:eastAsia="es-ES"/>
              </w:rPr>
              <w:t xml:space="preserve">DEL ESTADO </w:t>
            </w:r>
          </w:p>
          <w:p w:rsidR="00D734D3" w:rsidRPr="00610B20" w:rsidRDefault="00D734D3" w:rsidP="002B108A">
            <w:pPr>
              <w:spacing w:after="0"/>
              <w:rPr>
                <w:rFonts w:ascii="Arial" w:eastAsia="Times New Roman" w:hAnsi="Arial" w:cs="Arial"/>
                <w:b/>
                <w:color w:val="000080"/>
                <w:sz w:val="20"/>
                <w:szCs w:val="20"/>
                <w:lang w:eastAsia="es-ES"/>
              </w:rPr>
            </w:pPr>
          </w:p>
          <w:p w:rsidR="00D734D3" w:rsidRPr="00610B20" w:rsidRDefault="00D734D3" w:rsidP="00D734D3">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Pr>
                <w:rFonts w:ascii="Arial" w:eastAsia="Times New Roman" w:hAnsi="Arial" w:cs="Arial"/>
                <w:color w:val="000080"/>
                <w:sz w:val="20"/>
                <w:szCs w:val="20"/>
                <w:lang w:eastAsia="es-ES"/>
              </w:rPr>
              <w:t>Acuerdo Ministerial 0236, publicado</w:t>
            </w:r>
            <w:r w:rsidRPr="00610B20">
              <w:rPr>
                <w:rFonts w:ascii="Arial" w:eastAsia="Times New Roman" w:hAnsi="Arial" w:cs="Arial"/>
                <w:color w:val="000080"/>
                <w:sz w:val="20"/>
                <w:szCs w:val="20"/>
                <w:lang w:eastAsia="es-ES"/>
              </w:rPr>
              <w:t xml:space="preserve"> en el Registro Oficial </w:t>
            </w:r>
            <w:r>
              <w:rPr>
                <w:rFonts w:ascii="Arial" w:eastAsia="Times New Roman" w:hAnsi="Arial" w:cs="Arial"/>
                <w:color w:val="000080"/>
                <w:sz w:val="20"/>
                <w:szCs w:val="20"/>
                <w:lang w:eastAsia="es-ES"/>
              </w:rPr>
              <w:t>619 de 30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752F5E" w:rsidRDefault="00752F5E"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w:t>
            </w:r>
            <w:r w:rsidR="00A42964">
              <w:rPr>
                <w:rFonts w:ascii="Arial" w:eastAsia="Times New Roman" w:hAnsi="Arial" w:cs="Arial"/>
                <w:color w:val="000080"/>
                <w:sz w:val="20"/>
                <w:szCs w:val="20"/>
                <w:lang w:eastAsia="es-ES"/>
              </w:rPr>
              <w:t>Reforma</w:t>
            </w:r>
          </w:p>
          <w:p w:rsidR="00D734D3" w:rsidRDefault="004762B0" w:rsidP="002B108A">
            <w:pPr>
              <w:spacing w:after="0"/>
              <w:jc w:val="both"/>
              <w:rPr>
                <w:rFonts w:ascii="Arial" w:eastAsia="Times New Roman" w:hAnsi="Arial" w:cs="Arial"/>
                <w:b/>
                <w:color w:val="000080"/>
                <w:sz w:val="20"/>
                <w:szCs w:val="20"/>
                <w:lang w:eastAsia="es-ES"/>
              </w:rPr>
            </w:pPr>
            <w:hyperlink r:id="rId20" w:history="1">
              <w:r w:rsidR="002B108A" w:rsidRPr="004762B0">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1.- En donde diga: “Unidad de Administración de Recursos Humanos” y/o “UARH”, dirá: “Unidad de Administración del Talento Humano” y/o “UATH”.</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2.- Sustitúyase el artículo 2, por el siguiente:</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Pr="00D734D3" w:rsidRDefault="00D734D3" w:rsidP="00D734D3">
            <w:pPr>
              <w:spacing w:after="0"/>
              <w:ind w:left="1872"/>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2.- Del ámbito de aplicación.- Las disposiciones del presente Reglamento son de aplicación obligatoria en todas las instituciones del Estado determinadas en el artículo 3 de la Ley Orgánic</w:t>
            </w:r>
            <w:r>
              <w:rPr>
                <w:rFonts w:ascii="Arial" w:eastAsia="Times New Roman" w:hAnsi="Arial" w:cs="Arial"/>
                <w:color w:val="000080"/>
                <w:sz w:val="20"/>
                <w:szCs w:val="20"/>
                <w:lang w:eastAsia="es-ES"/>
              </w:rPr>
              <w:t>a del Servicio Público - LOSEP.</w:t>
            </w:r>
            <w:r w:rsidRPr="00D734D3">
              <w:rPr>
                <w:rFonts w:ascii="Arial" w:eastAsia="Times New Roman" w:hAnsi="Arial" w:cs="Arial"/>
                <w:color w:val="000080"/>
                <w:sz w:val="20"/>
                <w:szCs w:val="20"/>
                <w:lang w:eastAsia="es-ES"/>
              </w:rPr>
              <w:t>”</w:t>
            </w:r>
          </w:p>
          <w:p w:rsid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3.- En el artículo 3, al final del inciso primero inclúyase un punto seguido y el siguiente texto: “Se concederá el viático por gastos de residencia únicamente si el domicilio habitual, personal o familiar, de la o el servidor, dista por lo menos 100 Km de la ciudad donde debe trasladar su residencia para prestar sus servicios.”</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4.- Sustitúyase el artículo 5, por el siguiente:</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P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5.- De la forma de cálculo.- El cálculo de la compensación por residencia y transporte, se realizará de la siguiente manera:</w:t>
            </w:r>
          </w:p>
          <w:p w:rsid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1163"/>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w:t>
            </w:r>
            <w:r w:rsidRPr="00D734D3">
              <w:rPr>
                <w:rFonts w:ascii="Arial" w:eastAsia="Times New Roman" w:hAnsi="Arial" w:cs="Arial"/>
                <w:color w:val="000080"/>
                <w:sz w:val="20"/>
                <w:szCs w:val="20"/>
                <w:lang w:eastAsia="es-ES"/>
              </w:rPr>
              <w:tab/>
              <w:t>Del pago de compensación por residencia a las y los funcionarios y servidores.- Para el reconocimiento, cálculo y pago del viático por gastos de residencia se considerará dos niveles:</w:t>
            </w:r>
          </w:p>
          <w:p w:rsidR="00D734D3" w:rsidRPr="00D734D3" w:rsidRDefault="00D734D3" w:rsidP="00D734D3">
            <w:pPr>
              <w:spacing w:after="0"/>
              <w:ind w:left="1163"/>
              <w:jc w:val="both"/>
              <w:rPr>
                <w:rFonts w:ascii="Arial" w:eastAsia="Times New Roman" w:hAnsi="Arial" w:cs="Arial"/>
                <w:color w:val="000080"/>
                <w:sz w:val="20"/>
                <w:szCs w:val="20"/>
                <w:lang w:eastAsia="es-ES"/>
              </w:rPr>
            </w:pPr>
          </w:p>
          <w:p w:rsidR="00D734D3" w:rsidRPr="00D734D3" w:rsidRDefault="00D734D3" w:rsidP="00D734D3">
            <w:pPr>
              <w:pStyle w:val="Prrafodelista"/>
              <w:numPr>
                <w:ilvl w:val="1"/>
                <w:numId w:val="15"/>
              </w:numPr>
              <w:spacing w:after="0"/>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Para las y los servidores ubicados en los grados 7 y 8 de la Escala de Remuneraciones Mensuales Unificadas del Nivel Jerárquico Superior, el viático por gastos de residencia será un valor fijo mensual de setecientos ocho dólares de los Estados Unidos de América (USD $708.00); y,</w:t>
            </w:r>
          </w:p>
          <w:p w:rsidR="00D734D3" w:rsidRDefault="00D734D3" w:rsidP="00D734D3">
            <w:pPr>
              <w:pStyle w:val="Prrafodelista"/>
              <w:numPr>
                <w:ilvl w:val="1"/>
                <w:numId w:val="15"/>
              </w:numPr>
              <w:spacing w:after="0"/>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 xml:space="preserve">Para las y los servidores ubicados en los grados inferiores al 7 de la Escala </w:t>
            </w:r>
            <w:r w:rsidRPr="00D734D3">
              <w:rPr>
                <w:rFonts w:ascii="Arial" w:eastAsia="Times New Roman" w:hAnsi="Arial" w:cs="Arial"/>
                <w:color w:val="000080"/>
                <w:sz w:val="20"/>
                <w:szCs w:val="20"/>
                <w:lang w:eastAsia="es-ES"/>
              </w:rPr>
              <w:lastRenderedPageBreak/>
              <w:t>de Remuneraciones Mensuales Unificadas del Nivel Jerárquico Superior y en los grupos ocupacionales de la Escala Nacional de Remuneraciones Mensuales Unificadas del Sector Público, el viático por gastos de residencia, será un valor fijo mensual de trescientos cincuenta y cuatro dólares de los Estados Unidos de América (USD $354.00).</w:t>
            </w:r>
          </w:p>
          <w:p w:rsidR="00D734D3" w:rsidRPr="00D734D3" w:rsidRDefault="00D734D3" w:rsidP="00D734D3">
            <w:pPr>
              <w:pStyle w:val="Prrafodelista"/>
              <w:spacing w:after="0"/>
              <w:ind w:left="2178"/>
              <w:jc w:val="both"/>
              <w:rPr>
                <w:rFonts w:ascii="Arial" w:eastAsia="Times New Roman" w:hAnsi="Arial" w:cs="Arial"/>
                <w:color w:val="000080"/>
                <w:sz w:val="20"/>
                <w:szCs w:val="20"/>
                <w:lang w:eastAsia="es-ES"/>
              </w:rPr>
            </w:pPr>
          </w:p>
          <w:p w:rsidR="00D734D3" w:rsidRDefault="00D734D3" w:rsidP="00D734D3">
            <w:pPr>
              <w:spacing w:after="0"/>
              <w:ind w:left="1163"/>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b)</w:t>
            </w:r>
            <w:r w:rsidRPr="00D734D3">
              <w:rPr>
                <w:rFonts w:ascii="Arial" w:eastAsia="Times New Roman" w:hAnsi="Arial" w:cs="Arial"/>
                <w:color w:val="000080"/>
                <w:sz w:val="20"/>
                <w:szCs w:val="20"/>
                <w:lang w:eastAsia="es-ES"/>
              </w:rPr>
              <w:tab/>
              <w:t>Del pago de transporte a funcionarias y funcionarios.- A las y los funcionarios que ocupan puestos establecidos en la Escala de Remuneraciones Mensuales Unificadas del Nivel Jerárquico Superior, que por el cumplimiento de sus funciones deban trasladar su domicilio personal a una ciudad distinta a la de su residencia habitual, las instituciones en las que se encuentran prestando servicios les entregarán hasta tres (3) pasajes de ida y retorno en el mes, a fin de que por cualquier medio de transporte puedan trasladarse a sus domicilios familiares habituales los fines de semana y feriados establecidos en la ley.</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1163"/>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En el caso de que, a la o el funcionario que por necesidades institucionales tenga que desplazarse a cumplir tareas oficiales o desempeñar actividades inherentes a su puesto y le corresponda viajar el día viernes o lunes a la ciudad donde se encuentra su domicilio familiar habitual, ese boleto o pasaje de avión deberá ser considerado como uno de los tres (3) pasajes a los que hace referencia el inciso anterior.</w:t>
            </w:r>
          </w:p>
          <w:p w:rsidR="00D734D3" w:rsidRPr="00D734D3" w:rsidRDefault="00D734D3" w:rsidP="00D734D3">
            <w:pPr>
              <w:spacing w:after="0"/>
              <w:ind w:left="1163"/>
              <w:jc w:val="both"/>
              <w:rPr>
                <w:rFonts w:ascii="Arial" w:eastAsia="Times New Roman" w:hAnsi="Arial" w:cs="Arial"/>
                <w:color w:val="000080"/>
                <w:sz w:val="20"/>
                <w:szCs w:val="20"/>
                <w:lang w:eastAsia="es-ES"/>
              </w:rPr>
            </w:pPr>
          </w:p>
          <w:p w:rsidR="00D734D3" w:rsidRDefault="00D734D3" w:rsidP="00D734D3">
            <w:pPr>
              <w:spacing w:after="0"/>
              <w:ind w:left="1163"/>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Por ningún motivo las y los funcionarios recibirán en dinero los valores correspondientes para cubrir los gastos de transporte. Los boletos utilizados serán remitidos a la unidad financiera dentro de la semana siguiente a la que se haya utilizado este beneficio.</w:t>
            </w:r>
          </w:p>
          <w:p w:rsidR="00D734D3" w:rsidRPr="00D734D3" w:rsidRDefault="00D734D3" w:rsidP="00D734D3">
            <w:pPr>
              <w:spacing w:after="0"/>
              <w:ind w:left="1163"/>
              <w:jc w:val="both"/>
              <w:rPr>
                <w:rFonts w:ascii="Arial" w:eastAsia="Times New Roman" w:hAnsi="Arial" w:cs="Arial"/>
                <w:color w:val="000080"/>
                <w:sz w:val="20"/>
                <w:szCs w:val="20"/>
                <w:lang w:eastAsia="es-ES"/>
              </w:rPr>
            </w:pPr>
          </w:p>
          <w:p w:rsidR="00D734D3" w:rsidRDefault="00D734D3" w:rsidP="00D734D3">
            <w:pPr>
              <w:spacing w:after="0"/>
              <w:ind w:left="1163"/>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El valor por concepto de movilización o transporte, debe ser la tarifa que regularmente aplican las compañías nacionales de transporte aéreo, terrestre o fluvial a la fecha de adquisición del correspondiente boleto o pasaje.”</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5.- En el artículo 6, sustitúyase el inciso primero por el siguiente:</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1305"/>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6.- De la documentación.- La Unidad de Administración del Talento Humano institucional emitirá el informe previo al pago de la compensación por residencia sobre la base de la declaración juramentada que la o el servidor debe presentar al inicio de su gestión, en la que debe constar que tiene su domicilio habitual, personal</w:t>
            </w:r>
            <w:r>
              <w:rPr>
                <w:rFonts w:ascii="Arial" w:eastAsia="Times New Roman" w:hAnsi="Arial" w:cs="Arial"/>
                <w:color w:val="000080"/>
                <w:sz w:val="20"/>
                <w:szCs w:val="20"/>
                <w:lang w:eastAsia="es-ES"/>
              </w:rPr>
              <w:t xml:space="preserve"> </w:t>
            </w:r>
            <w:r w:rsidRPr="00D734D3">
              <w:rPr>
                <w:rFonts w:ascii="Arial" w:eastAsia="Times New Roman" w:hAnsi="Arial" w:cs="Arial"/>
                <w:color w:val="000080"/>
                <w:sz w:val="20"/>
                <w:szCs w:val="20"/>
                <w:lang w:eastAsia="es-ES"/>
              </w:rPr>
              <w:t>o familiar, se encuentra fuera del país o de la ciudad en la cual va a prestar sus servicios y que su domicilio habitual, si está dentro del país, dista por lo menos 100 Km de la ciudad donde debe trasladar en forma habitual su residencia para prestar sus servicios.”</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6.- A continuación de la Disposición General Cuarta, incorpórese las siguientes:</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1305"/>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“QUINTA.- En el caso de los Gobiernos Autónomos Descentralizados, para el cálculo y pago del viático por gastos de residencia, deberán considerar como techos, los valores del artículo 5 del presente Acuerdo para lo cual le corresponde a cada Gobierno Autónomo Descentralizado emitir el acto normativo o resolución correspondiente que regule estos valores, observando su real capacidad económica.</w:t>
            </w:r>
          </w:p>
          <w:p w:rsidR="00D734D3" w:rsidRPr="00D734D3" w:rsidRDefault="00D734D3" w:rsidP="00D734D3">
            <w:pPr>
              <w:spacing w:after="0"/>
              <w:ind w:left="1305"/>
              <w:jc w:val="both"/>
              <w:rPr>
                <w:rFonts w:ascii="Arial" w:eastAsia="Times New Roman" w:hAnsi="Arial" w:cs="Arial"/>
                <w:color w:val="000080"/>
                <w:sz w:val="20"/>
                <w:szCs w:val="20"/>
                <w:lang w:eastAsia="es-ES"/>
              </w:rPr>
            </w:pPr>
          </w:p>
          <w:p w:rsidR="00D734D3" w:rsidRDefault="00D734D3" w:rsidP="00D734D3">
            <w:pPr>
              <w:spacing w:after="0"/>
              <w:ind w:left="1305"/>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SEXTA.- El incumplimiento de este Acuerdo por parte de las instituciones del Estado, será comunicado inmediatamente por el Ministerio del Trabajo a la autoridad nominadora y a la Contraloría General del Estado, para los fines establecidos en el artículo 134 y Disposición General Sexta de la LOSEP. En el caso de los Gobiernos Autónomos Descentralizados, sus entidades y regímenes especiales, el control lo efectuará la Contraloría General del Estado.</w:t>
            </w:r>
          </w:p>
          <w:p w:rsidR="00D734D3" w:rsidRPr="00D734D3" w:rsidRDefault="00D734D3" w:rsidP="00D734D3">
            <w:pPr>
              <w:spacing w:after="0"/>
              <w:ind w:left="1305"/>
              <w:jc w:val="both"/>
              <w:rPr>
                <w:rFonts w:ascii="Arial" w:eastAsia="Times New Roman" w:hAnsi="Arial" w:cs="Arial"/>
                <w:color w:val="000080"/>
                <w:sz w:val="20"/>
                <w:szCs w:val="20"/>
                <w:lang w:eastAsia="es-ES"/>
              </w:rPr>
            </w:pPr>
          </w:p>
          <w:p w:rsidR="00D734D3" w:rsidRDefault="00D734D3" w:rsidP="00D734D3">
            <w:pPr>
              <w:spacing w:after="0"/>
              <w:ind w:left="1305"/>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 xml:space="preserve">SÉPTIMA.- Las y los servidores públicos que concluyeran su relación laboral en la entidad durante el transcurso del mes, percibirán la parte proporcional por los días laborados del viático por gastos de residencia. Adicionalmente, en el caso de las instituciones del Estado cuyo presupuesto forme parte del Presupuesto General del Estado, el pago de este rubro se lo efectuará a través del subsistema Presupuestario de Remuneraciones y Nómina SPRYN, administrado por el Ministerio de Finanzas, </w:t>
            </w:r>
            <w:r w:rsidRPr="00D734D3">
              <w:rPr>
                <w:rFonts w:ascii="Arial" w:eastAsia="Times New Roman" w:hAnsi="Arial" w:cs="Arial"/>
                <w:color w:val="000080"/>
                <w:sz w:val="20"/>
                <w:szCs w:val="20"/>
                <w:lang w:eastAsia="es-ES"/>
              </w:rPr>
              <w:lastRenderedPageBreak/>
              <w:t>para lo cual las y los servidores públicos deberán constar en los distributivos de remuneraciones mensuales unificadas para que puedan ser beneficiarios del pago por este beneficio.”</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7.- Incorpórese como Disposición Transitoria Única, la siguiente:</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1305"/>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“ÚNICA.- Las y los servidores que a la fecha de entrada en vigencia de la presente Norma venían percibiendo el viático por gastos de residencia y/o movilización o transporte, pero que no cumplan con los requisitos para acceder a dicho beneficio según este Acuerdo, dejarán de mantener el beneficio en forma inmediata. Las y los servidores que cumplen con dichos requisitos, deberán informarlo por escrito a la UATH institucional, en el plazo máximo de un mes. Se procederá con el pago correspondiente, previa certificación de la disponibilidad presupuestaria para el efecto.”</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Art. 8.- En el Acuerdo Ministerial No. MRL-2013-024, publicado en el Registro Oficial No. 900 de 26 de febrero de 2013, inclúyanse las siguientes reformas:</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Pr="00D734D3" w:rsidRDefault="00D734D3" w:rsidP="00D734D3">
            <w:pPr>
              <w:pStyle w:val="Prrafodelista"/>
              <w:numPr>
                <w:ilvl w:val="1"/>
                <w:numId w:val="16"/>
              </w:numPr>
              <w:spacing w:after="0"/>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En el artículo 3, elimínese el segundo inciso; y,</w:t>
            </w:r>
          </w:p>
          <w:p w:rsidR="00D734D3" w:rsidRPr="00D734D3" w:rsidRDefault="00D734D3" w:rsidP="00D734D3">
            <w:pPr>
              <w:pStyle w:val="Prrafodelista"/>
              <w:numPr>
                <w:ilvl w:val="1"/>
                <w:numId w:val="16"/>
              </w:numPr>
              <w:spacing w:after="0"/>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Sustitúyase el artículo 6, por el siguiente:</w:t>
            </w:r>
          </w:p>
          <w:p w:rsidR="00D734D3" w:rsidRDefault="00D734D3" w:rsidP="00D734D3">
            <w:pPr>
              <w:spacing w:after="0"/>
              <w:ind w:left="738"/>
              <w:jc w:val="both"/>
              <w:rPr>
                <w:rFonts w:ascii="Arial" w:eastAsia="Times New Roman" w:hAnsi="Arial" w:cs="Arial"/>
                <w:color w:val="000080"/>
                <w:sz w:val="20"/>
                <w:szCs w:val="20"/>
                <w:lang w:eastAsia="es-ES"/>
              </w:rPr>
            </w:pPr>
          </w:p>
          <w:p w:rsidR="00D734D3" w:rsidRPr="00D734D3" w:rsidRDefault="00D734D3" w:rsidP="00D734D3">
            <w:pPr>
              <w:spacing w:after="0"/>
              <w:ind w:left="2155"/>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 xml:space="preserve"> “Art. 6.- De la forma de cálculo.- En los casos en que proceda el pago del viático por gastos de residencia, el valor que deberá recibir la o el servidor comprendido en uno de los grados de la Escala de Remuneraciones Mensuales Unificadas del Nivel Jerárquico Superior y de la Escala Nacional de Remuneraciones Mensuales Unificadas del Sector Público, se aplicarán los valores establecidos en el literal a) del artículo 5 del Reglamento para el pago de compensación por residencia y transporte para funcionarios y servidores de las instituciones, organismos y empresas del Estado.”</w:t>
            </w:r>
          </w:p>
          <w:p w:rsid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Disposición final.- El presente Acuerdo entrará en vigencia a partir del 01 de octubre de 2015 y su financiamiento con cargo a los presupuestos institucionales, sin perjuicio de su publicación en el Registro Oficial.</w:t>
            </w:r>
          </w:p>
          <w:p w:rsidR="00D734D3" w:rsidRPr="00D734D3" w:rsidRDefault="00D734D3" w:rsidP="00D734D3">
            <w:pPr>
              <w:spacing w:after="0"/>
              <w:ind w:left="738"/>
              <w:jc w:val="both"/>
              <w:rPr>
                <w:rFonts w:ascii="Arial" w:eastAsia="Times New Roman" w:hAnsi="Arial" w:cs="Arial"/>
                <w:color w:val="000080"/>
                <w:sz w:val="20"/>
                <w:szCs w:val="20"/>
                <w:lang w:eastAsia="es-ES"/>
              </w:rPr>
            </w:pPr>
          </w:p>
          <w:p w:rsidR="00D734D3" w:rsidRDefault="00D734D3" w:rsidP="00D734D3">
            <w:pPr>
              <w:spacing w:after="0"/>
              <w:ind w:left="738"/>
              <w:jc w:val="both"/>
              <w:rPr>
                <w:rFonts w:ascii="Arial" w:eastAsia="Times New Roman" w:hAnsi="Arial" w:cs="Arial"/>
                <w:color w:val="000080"/>
                <w:sz w:val="20"/>
                <w:szCs w:val="20"/>
                <w:lang w:eastAsia="es-ES"/>
              </w:rPr>
            </w:pPr>
            <w:r w:rsidRPr="00D734D3">
              <w:rPr>
                <w:rFonts w:ascii="Arial" w:eastAsia="Times New Roman" w:hAnsi="Arial" w:cs="Arial"/>
                <w:color w:val="000080"/>
                <w:sz w:val="20"/>
                <w:szCs w:val="20"/>
                <w:lang w:eastAsia="es-ES"/>
              </w:rPr>
              <w:t>Dado en la ciudad de San Francisco de Quito, Distrito Metropolitano, a 12 de octubre de 2015.</w:t>
            </w:r>
          </w:p>
          <w:p w:rsidR="00752F5E" w:rsidRPr="00610B20" w:rsidRDefault="00752F5E" w:rsidP="002B108A">
            <w:pPr>
              <w:spacing w:after="0"/>
              <w:ind w:left="738"/>
              <w:jc w:val="both"/>
              <w:rPr>
                <w:rFonts w:ascii="Arial" w:eastAsia="Times New Roman" w:hAnsi="Arial" w:cs="Arial"/>
                <w:b/>
                <w:color w:val="000080"/>
                <w:sz w:val="20"/>
                <w:szCs w:val="20"/>
                <w:lang w:eastAsia="es-ES"/>
              </w:rPr>
            </w:pPr>
          </w:p>
        </w:tc>
      </w:tr>
      <w:tr w:rsidR="00752F5E" w:rsidRPr="00610B20" w:rsidTr="002B108A">
        <w:trPr>
          <w:trHeight w:val="1380"/>
        </w:trPr>
        <w:tc>
          <w:tcPr>
            <w:tcW w:w="9257" w:type="dxa"/>
            <w:shd w:val="clear" w:color="auto" w:fill="DDFFFF"/>
          </w:tcPr>
          <w:p w:rsidR="00752F5E" w:rsidRPr="00610B20" w:rsidRDefault="00752F5E" w:rsidP="002B108A">
            <w:pPr>
              <w:spacing w:after="0"/>
              <w:jc w:val="left"/>
              <w:rPr>
                <w:rFonts w:ascii="Times New Roman" w:eastAsia="Times New Roman" w:hAnsi="Times New Roman" w:cs="Times New Roman"/>
                <w:sz w:val="24"/>
                <w:szCs w:val="24"/>
                <w:lang w:eastAsia="es-ES"/>
              </w:rPr>
            </w:pPr>
          </w:p>
          <w:p w:rsidR="00752F5E" w:rsidRDefault="00A42964" w:rsidP="002B108A">
            <w:pPr>
              <w:spacing w:after="0"/>
              <w:rPr>
                <w:rFonts w:ascii="Arial" w:eastAsia="Times New Roman" w:hAnsi="Arial" w:cs="Arial"/>
                <w:b/>
                <w:color w:val="000080"/>
                <w:sz w:val="20"/>
                <w:szCs w:val="20"/>
                <w:lang w:val="es-ES_tradnl" w:eastAsia="es-ES"/>
              </w:rPr>
            </w:pPr>
            <w:r w:rsidRPr="00A42964">
              <w:rPr>
                <w:rFonts w:ascii="Arial" w:eastAsia="Times New Roman" w:hAnsi="Arial" w:cs="Arial"/>
                <w:b/>
                <w:color w:val="000080"/>
                <w:sz w:val="20"/>
                <w:szCs w:val="20"/>
                <w:lang w:val="es-ES_tradnl" w:eastAsia="es-ES"/>
              </w:rPr>
              <w:t xml:space="preserve">INSTRUCTIVO PARA LA ACTUACIÓN DE LOS DEFENSORES PÚBLICOS EN LA APLICACIÓN DE LAS MEDIDAS CAUTELARES DEL ARTÍCULO 220 DEL CÓDIGO ORGÁNICO INTEGRAL PENAL </w:t>
            </w:r>
          </w:p>
          <w:p w:rsidR="00A42964" w:rsidRPr="00610B20" w:rsidRDefault="00A42964" w:rsidP="002B108A">
            <w:pPr>
              <w:spacing w:after="0"/>
              <w:rPr>
                <w:rFonts w:ascii="Arial" w:eastAsia="Times New Roman" w:hAnsi="Arial" w:cs="Arial"/>
                <w:b/>
                <w:color w:val="000080"/>
                <w:sz w:val="20"/>
                <w:szCs w:val="20"/>
                <w:lang w:val="es-ES_tradnl" w:eastAsia="es-ES"/>
              </w:rPr>
            </w:pPr>
          </w:p>
          <w:p w:rsidR="00752F5E" w:rsidRPr="00610B20" w:rsidRDefault="00752F5E"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 xml:space="preserve">Expedido por: </w:t>
            </w:r>
            <w:r w:rsidR="00A42964">
              <w:rPr>
                <w:rFonts w:ascii="Arial" w:eastAsia="Times New Roman" w:hAnsi="Arial" w:cs="Arial"/>
                <w:color w:val="000080"/>
                <w:sz w:val="20"/>
                <w:szCs w:val="20"/>
                <w:lang w:eastAsia="es-ES"/>
              </w:rPr>
              <w:t>Resolución de la Defensoría Pública 157</w:t>
            </w:r>
            <w:r w:rsidRPr="00610B20">
              <w:rPr>
                <w:rFonts w:ascii="Arial" w:eastAsia="Times New Roman" w:hAnsi="Arial" w:cs="Arial"/>
                <w:color w:val="000080"/>
                <w:sz w:val="20"/>
                <w:szCs w:val="20"/>
                <w:lang w:eastAsia="es-ES"/>
              </w:rPr>
              <w:t xml:space="preserve">, publicada en el Registro Oficial </w:t>
            </w:r>
            <w:r w:rsidR="00A42964">
              <w:rPr>
                <w:rFonts w:ascii="Arial" w:eastAsia="Times New Roman" w:hAnsi="Arial" w:cs="Arial"/>
                <w:color w:val="000080"/>
                <w:sz w:val="20"/>
                <w:szCs w:val="20"/>
                <w:lang w:eastAsia="es-ES"/>
              </w:rPr>
              <w:t>619 de 30</w:t>
            </w:r>
            <w:r w:rsidRPr="00610B20">
              <w:rPr>
                <w:rFonts w:ascii="Arial" w:eastAsia="Times New Roman" w:hAnsi="Arial" w:cs="Arial"/>
                <w:color w:val="000080"/>
                <w:sz w:val="20"/>
                <w:szCs w:val="20"/>
                <w:lang w:eastAsia="es-ES"/>
              </w:rPr>
              <w:t xml:space="preserve"> de </w:t>
            </w:r>
            <w:r>
              <w:rPr>
                <w:rFonts w:ascii="Arial" w:eastAsia="Times New Roman" w:hAnsi="Arial" w:cs="Arial"/>
                <w:color w:val="000080"/>
                <w:sz w:val="20"/>
                <w:szCs w:val="20"/>
                <w:lang w:eastAsia="es-ES"/>
              </w:rPr>
              <w:t>Octubre</w:t>
            </w:r>
            <w:r w:rsidRPr="00610B20">
              <w:rPr>
                <w:rFonts w:ascii="Arial" w:eastAsia="Times New Roman" w:hAnsi="Arial" w:cs="Arial"/>
                <w:color w:val="000080"/>
                <w:sz w:val="20"/>
                <w:szCs w:val="20"/>
                <w:lang w:eastAsia="es-ES"/>
              </w:rPr>
              <w:t xml:space="preserve"> del 2015  </w:t>
            </w:r>
          </w:p>
          <w:p w:rsidR="00752F5E" w:rsidRDefault="00752F5E" w:rsidP="002B108A">
            <w:pPr>
              <w:spacing w:after="0"/>
              <w:jc w:val="both"/>
              <w:rPr>
                <w:rFonts w:ascii="Arial" w:eastAsia="Times New Roman" w:hAnsi="Arial" w:cs="Arial"/>
                <w:color w:val="000080"/>
                <w:sz w:val="20"/>
                <w:szCs w:val="20"/>
                <w:lang w:eastAsia="es-ES"/>
              </w:rPr>
            </w:pPr>
            <w:r w:rsidRPr="00610B20">
              <w:rPr>
                <w:rFonts w:ascii="Arial" w:eastAsia="Times New Roman" w:hAnsi="Arial" w:cs="Arial"/>
                <w:b/>
                <w:color w:val="000080"/>
                <w:sz w:val="20"/>
                <w:szCs w:val="20"/>
                <w:lang w:eastAsia="es-ES"/>
              </w:rPr>
              <w:t>Novedad:</w:t>
            </w:r>
            <w:r w:rsidRPr="00610B20">
              <w:rPr>
                <w:rFonts w:ascii="Arial" w:eastAsia="Times New Roman" w:hAnsi="Arial" w:cs="Arial"/>
                <w:color w:val="000080"/>
                <w:sz w:val="20"/>
                <w:szCs w:val="20"/>
                <w:lang w:eastAsia="es-ES"/>
              </w:rPr>
              <w:t xml:space="preserve"> Nuevo</w:t>
            </w:r>
          </w:p>
          <w:p w:rsidR="00A42964" w:rsidRDefault="004762B0" w:rsidP="002B108A">
            <w:pPr>
              <w:spacing w:after="0"/>
              <w:jc w:val="both"/>
              <w:rPr>
                <w:rFonts w:ascii="Arial" w:eastAsia="Times New Roman" w:hAnsi="Arial" w:cs="Arial"/>
                <w:b/>
                <w:color w:val="000080"/>
                <w:sz w:val="20"/>
                <w:szCs w:val="20"/>
                <w:lang w:eastAsia="es-ES"/>
              </w:rPr>
            </w:pPr>
            <w:hyperlink r:id="rId21" w:history="1">
              <w:r w:rsidR="002B108A" w:rsidRPr="004762B0">
                <w:rPr>
                  <w:rStyle w:val="Hipervnculo"/>
                  <w:rFonts w:ascii="Arial" w:eastAsia="Times New Roman" w:hAnsi="Arial" w:cs="Arial"/>
                  <w:b/>
                  <w:sz w:val="20"/>
                  <w:szCs w:val="20"/>
                  <w:lang w:eastAsia="es-ES"/>
                </w:rPr>
                <w:t>Ver vigencia</w:t>
              </w:r>
            </w:hyperlink>
          </w:p>
          <w:p w:rsidR="002B108A" w:rsidRDefault="002B108A" w:rsidP="002B108A">
            <w:pPr>
              <w:spacing w:after="0"/>
              <w:jc w:val="both"/>
              <w:rPr>
                <w:rFonts w:ascii="Arial" w:eastAsia="Times New Roman" w:hAnsi="Arial" w:cs="Arial"/>
                <w:color w:val="000080"/>
                <w:sz w:val="20"/>
                <w:szCs w:val="20"/>
                <w:lang w:eastAsia="es-ES"/>
              </w:rPr>
            </w:pPr>
          </w:p>
          <w:p w:rsidR="00A42964" w:rsidRP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Art. 1.- Objeto.- El presente instructivo tiene por objeto regular la actuación de las y los defensores públicos en las audiencias de flagrancia, formulación de cargos y revisión de medidas cautelares, en los procesos judiciales de los delitos de tráfico de mínima y mediana escala del artículo 220 del COIP, con el fin de evitar la impunidad y la criminalización de las y los consumidores en el marco del debido proceso, garantizando la aplicación del principio universal de presunción de inocencia.</w:t>
            </w:r>
          </w:p>
          <w:p w:rsidR="00A42964" w:rsidRP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 xml:space="preserve"> </w:t>
            </w:r>
          </w:p>
          <w:p w:rsid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Art. 2.- Solidez del caso.- Con el fin de promover el principio de economía procesal, previo a la realización de la audiencia de calificación de flagrancia, la defensa pública procurará una entrevista con el agente fiscal a fin de determinar si el caso amerita iniciar una investigación penal o, en su lugar, valorar la aplicación del procedimiento abreviado previo consentimiento del procesado.</w:t>
            </w:r>
          </w:p>
          <w:p w:rsidR="00A42964" w:rsidRPr="00A42964" w:rsidRDefault="00A42964" w:rsidP="00A42964">
            <w:pPr>
              <w:spacing w:after="0"/>
              <w:ind w:left="596"/>
              <w:jc w:val="both"/>
              <w:rPr>
                <w:rFonts w:ascii="Arial" w:eastAsia="Times New Roman" w:hAnsi="Arial" w:cs="Arial"/>
                <w:color w:val="000080"/>
                <w:sz w:val="20"/>
                <w:szCs w:val="20"/>
                <w:lang w:eastAsia="es-ES"/>
              </w:rPr>
            </w:pPr>
          </w:p>
          <w:p w:rsid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 xml:space="preserve">Art. 3.- Ponderación para la aplicación de medidas cautelares.- Con el fin de constitucionalizar </w:t>
            </w:r>
            <w:r w:rsidRPr="00A42964">
              <w:rPr>
                <w:rFonts w:ascii="Arial" w:eastAsia="Times New Roman" w:hAnsi="Arial" w:cs="Arial"/>
                <w:color w:val="000080"/>
                <w:sz w:val="20"/>
                <w:szCs w:val="20"/>
                <w:lang w:eastAsia="es-ES"/>
              </w:rPr>
              <w:lastRenderedPageBreak/>
              <w:t xml:space="preserve">la aplicación de las medidas cautelares, la defensa pública procurará un debate que permita identificar los indicios de </w:t>
            </w:r>
            <w:proofErr w:type="spellStart"/>
            <w:r w:rsidRPr="00A42964">
              <w:rPr>
                <w:rFonts w:ascii="Arial" w:eastAsia="Times New Roman" w:hAnsi="Arial" w:cs="Arial"/>
                <w:color w:val="000080"/>
                <w:sz w:val="20"/>
                <w:szCs w:val="20"/>
                <w:lang w:eastAsia="es-ES"/>
              </w:rPr>
              <w:t>sospechabilidad</w:t>
            </w:r>
            <w:proofErr w:type="spellEnd"/>
            <w:r w:rsidRPr="00A42964">
              <w:rPr>
                <w:rFonts w:ascii="Arial" w:eastAsia="Times New Roman" w:hAnsi="Arial" w:cs="Arial"/>
                <w:color w:val="000080"/>
                <w:sz w:val="20"/>
                <w:szCs w:val="20"/>
                <w:lang w:eastAsia="es-ES"/>
              </w:rPr>
              <w:t xml:space="preserve"> sobre el tráfico de mínima y mediana escala determinados en el artículo 220 del COIP, así como la Resolución No. 001-CONSEP-CD-2015 publicada en el Suplemento del Registro Oficial No. 586 del lunes 14 de septiembre de 2015. Las y los defensores públicos tendrán en cuenta los siguientes criterios al momento de analizar el empleo de medidas cautelares:</w:t>
            </w:r>
          </w:p>
          <w:p w:rsidR="00A42964" w:rsidRPr="00A42964" w:rsidRDefault="00A42964" w:rsidP="00A42964">
            <w:pPr>
              <w:spacing w:after="0"/>
              <w:ind w:left="596"/>
              <w:jc w:val="both"/>
              <w:rPr>
                <w:rFonts w:ascii="Arial" w:eastAsia="Times New Roman" w:hAnsi="Arial" w:cs="Arial"/>
                <w:color w:val="000080"/>
                <w:sz w:val="20"/>
                <w:szCs w:val="20"/>
                <w:lang w:eastAsia="es-ES"/>
              </w:rPr>
            </w:pPr>
          </w:p>
          <w:p w:rsidR="00A42964" w:rsidRPr="00A42964" w:rsidRDefault="00A42964" w:rsidP="00A42964">
            <w:pPr>
              <w:pStyle w:val="Prrafodelista"/>
              <w:numPr>
                <w:ilvl w:val="1"/>
                <w:numId w:val="18"/>
              </w:numPr>
              <w:spacing w:after="0"/>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 xml:space="preserve">Sospecha simple de tráfico.- Cuando las evidencias de las drogas de uso ilícito incautadas correspondan a los umbrales determinados para el consumo en la Resolución 001-CONSEP-CD-2013 o el umbral o tabla para el consumo vigente y, además, no existan indicios fácticos que supongan su comercialización o generalmente tráfico, la defensa considerará que la </w:t>
            </w:r>
            <w:proofErr w:type="spellStart"/>
            <w:r w:rsidRPr="00A42964">
              <w:rPr>
                <w:rFonts w:ascii="Arial" w:eastAsia="Times New Roman" w:hAnsi="Arial" w:cs="Arial"/>
                <w:color w:val="000080"/>
                <w:sz w:val="20"/>
                <w:szCs w:val="20"/>
                <w:lang w:eastAsia="es-ES"/>
              </w:rPr>
              <w:t>sospechabilidad</w:t>
            </w:r>
            <w:proofErr w:type="spellEnd"/>
            <w:r w:rsidRPr="00A42964">
              <w:rPr>
                <w:rFonts w:ascii="Arial" w:eastAsia="Times New Roman" w:hAnsi="Arial" w:cs="Arial"/>
                <w:color w:val="000080"/>
                <w:sz w:val="20"/>
                <w:szCs w:val="20"/>
                <w:lang w:eastAsia="es-ES"/>
              </w:rPr>
              <w:t xml:space="preserve"> dentro del supuesto delito flagrante es incipiente. En este caso, solicitará la no aplicación de la prisión preventiva y ninguna otra medida cautelar.</w:t>
            </w:r>
          </w:p>
          <w:p w:rsidR="00A42964" w:rsidRPr="00A42964" w:rsidRDefault="00A42964" w:rsidP="00A42964">
            <w:pPr>
              <w:pStyle w:val="Prrafodelista"/>
              <w:numPr>
                <w:ilvl w:val="1"/>
                <w:numId w:val="18"/>
              </w:numPr>
              <w:spacing w:after="0"/>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 xml:space="preserve">Sospecha dudosa de tráfico.- Cuando las evidencias de las drogas de uso ilícito incautadas excedan mínimamente los umbrales determinados para el consumo en la Resolución 001-CONSEP-CD-2013 o el umbral o tabla para el consumo vigente y, además, existan indicios dudosos o inciertos que supongan su comercialización o generalmente tráfico, la defensa considerará que la </w:t>
            </w:r>
            <w:proofErr w:type="spellStart"/>
            <w:r w:rsidRPr="00A42964">
              <w:rPr>
                <w:rFonts w:ascii="Arial" w:eastAsia="Times New Roman" w:hAnsi="Arial" w:cs="Arial"/>
                <w:color w:val="000080"/>
                <w:sz w:val="20"/>
                <w:szCs w:val="20"/>
                <w:lang w:eastAsia="es-ES"/>
              </w:rPr>
              <w:t>sospechabilidad</w:t>
            </w:r>
            <w:proofErr w:type="spellEnd"/>
            <w:r w:rsidRPr="00A42964">
              <w:rPr>
                <w:rFonts w:ascii="Arial" w:eastAsia="Times New Roman" w:hAnsi="Arial" w:cs="Arial"/>
                <w:color w:val="000080"/>
                <w:sz w:val="20"/>
                <w:szCs w:val="20"/>
                <w:lang w:eastAsia="es-ES"/>
              </w:rPr>
              <w:t xml:space="preserve"> dentro del supuesto delito flagrante no es suficiente. En este caso, solicitará la aplicación de cualquiera de las medidas alternativas o preferentes a la prisión preventiva.</w:t>
            </w:r>
          </w:p>
          <w:p w:rsidR="00A42964" w:rsidRPr="00A42964" w:rsidRDefault="00A42964" w:rsidP="00A42964">
            <w:pPr>
              <w:pStyle w:val="Prrafodelista"/>
              <w:numPr>
                <w:ilvl w:val="1"/>
                <w:numId w:val="18"/>
              </w:numPr>
              <w:spacing w:after="0"/>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 xml:space="preserve">Sospecha suficiente de tráfico.- Cuando las evidencias de las drogas de uso ilícito incautadas excedan los umbrales determinados para el consumo en la Resolución 001-CONSEP-CD-2013 o el umbral o tabla para el consumo vigente y, sobre todo, exista evidencia suficiente que suponga su comercialización o generalmente tráfico en los rangos determinados en la Resolución No. 001-CONSEP-CD-2015 o el umbral o tabla vigente, la defensa no </w:t>
            </w:r>
            <w:proofErr w:type="spellStart"/>
            <w:r w:rsidRPr="00A42964">
              <w:rPr>
                <w:rFonts w:ascii="Arial" w:eastAsia="Times New Roman" w:hAnsi="Arial" w:cs="Arial"/>
                <w:color w:val="000080"/>
                <w:sz w:val="20"/>
                <w:szCs w:val="20"/>
                <w:lang w:eastAsia="es-ES"/>
              </w:rPr>
              <w:t>incidentará</w:t>
            </w:r>
            <w:proofErr w:type="spellEnd"/>
            <w:r w:rsidRPr="00A42964">
              <w:rPr>
                <w:rFonts w:ascii="Arial" w:eastAsia="Times New Roman" w:hAnsi="Arial" w:cs="Arial"/>
                <w:color w:val="000080"/>
                <w:sz w:val="20"/>
                <w:szCs w:val="20"/>
                <w:lang w:eastAsia="es-ES"/>
              </w:rPr>
              <w:t xml:space="preserve"> sobre la solicitud de prisión preventiva, salvo situaciones fundadas en la ley, tales como mujeres embarazadas, personas adultas mayores, entre otros. Una vez implementado el dispositivo electrónico, la defensa pública propenderá su empleo a fin de garantizar la presencia del procesado a juicio y evitar la impunidad.</w:t>
            </w:r>
          </w:p>
          <w:p w:rsidR="00A42964" w:rsidRPr="00A42964" w:rsidRDefault="00A42964" w:rsidP="00A42964">
            <w:pPr>
              <w:spacing w:after="0"/>
              <w:ind w:left="596"/>
              <w:jc w:val="both"/>
              <w:rPr>
                <w:rFonts w:ascii="Arial" w:eastAsia="Times New Roman" w:hAnsi="Arial" w:cs="Arial"/>
                <w:color w:val="000080"/>
                <w:sz w:val="20"/>
                <w:szCs w:val="20"/>
                <w:lang w:eastAsia="es-ES"/>
              </w:rPr>
            </w:pPr>
          </w:p>
          <w:p w:rsidR="00A42964" w:rsidRP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Adicionalmente, la defensa pública propenderá a la aplicación de mecanismos alternativos de solución de conflictos o al procedimiento abreviado previo consentimiento del procesado y a la concomitante suspensión condicional de la pena.</w:t>
            </w:r>
          </w:p>
          <w:p w:rsidR="00A42964" w:rsidRDefault="00A42964" w:rsidP="00A42964">
            <w:pPr>
              <w:spacing w:after="0"/>
              <w:ind w:left="596"/>
              <w:jc w:val="both"/>
              <w:rPr>
                <w:rFonts w:ascii="Arial" w:eastAsia="Times New Roman" w:hAnsi="Arial" w:cs="Arial"/>
                <w:color w:val="000080"/>
                <w:sz w:val="20"/>
                <w:szCs w:val="20"/>
                <w:lang w:eastAsia="es-ES"/>
              </w:rPr>
            </w:pPr>
          </w:p>
          <w:p w:rsid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Disposición General</w:t>
            </w:r>
          </w:p>
          <w:p w:rsidR="00A42964" w:rsidRPr="00A42964" w:rsidRDefault="00A42964" w:rsidP="00A42964">
            <w:pPr>
              <w:spacing w:after="0"/>
              <w:ind w:left="596"/>
              <w:jc w:val="both"/>
              <w:rPr>
                <w:rFonts w:ascii="Arial" w:eastAsia="Times New Roman" w:hAnsi="Arial" w:cs="Arial"/>
                <w:color w:val="000080"/>
                <w:sz w:val="20"/>
                <w:szCs w:val="20"/>
                <w:lang w:eastAsia="es-ES"/>
              </w:rPr>
            </w:pPr>
          </w:p>
          <w:p w:rsid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Para el efectivo cumplimiento del presente instructivo, la Defensoría Pública realizará procesos de capacitación específica para fomentar las destrezas de litigación oral en audiencias de flagrancia, formulación de cargos y medidas cautelares.</w:t>
            </w:r>
          </w:p>
          <w:p w:rsidR="00A42964" w:rsidRPr="00A42964" w:rsidRDefault="00A42964" w:rsidP="00A42964">
            <w:pPr>
              <w:spacing w:after="0"/>
              <w:ind w:left="596"/>
              <w:jc w:val="both"/>
              <w:rPr>
                <w:rFonts w:ascii="Arial" w:eastAsia="Times New Roman" w:hAnsi="Arial" w:cs="Arial"/>
                <w:color w:val="000080"/>
                <w:sz w:val="20"/>
                <w:szCs w:val="20"/>
                <w:lang w:eastAsia="es-ES"/>
              </w:rPr>
            </w:pPr>
          </w:p>
          <w:p w:rsid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Disposición Final</w:t>
            </w:r>
          </w:p>
          <w:p w:rsidR="00A42964" w:rsidRPr="00A42964" w:rsidRDefault="00A42964" w:rsidP="00A42964">
            <w:pPr>
              <w:spacing w:after="0"/>
              <w:ind w:left="596"/>
              <w:jc w:val="both"/>
              <w:rPr>
                <w:rFonts w:ascii="Arial" w:eastAsia="Times New Roman" w:hAnsi="Arial" w:cs="Arial"/>
                <w:color w:val="000080"/>
                <w:sz w:val="20"/>
                <w:szCs w:val="20"/>
                <w:lang w:eastAsia="es-ES"/>
              </w:rPr>
            </w:pPr>
          </w:p>
          <w:p w:rsid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La presente resolución entrará en vigencia a partir de esta fecha, sin perjuicio de su publicación en el Registro Oficial.</w:t>
            </w:r>
          </w:p>
          <w:p w:rsidR="00A42964" w:rsidRPr="00A42964" w:rsidRDefault="00A42964" w:rsidP="00A42964">
            <w:pPr>
              <w:spacing w:after="0"/>
              <w:ind w:left="596"/>
              <w:jc w:val="both"/>
              <w:rPr>
                <w:rFonts w:ascii="Arial" w:eastAsia="Times New Roman" w:hAnsi="Arial" w:cs="Arial"/>
                <w:color w:val="000080"/>
                <w:sz w:val="20"/>
                <w:szCs w:val="20"/>
                <w:lang w:eastAsia="es-ES"/>
              </w:rPr>
            </w:pPr>
          </w:p>
          <w:p w:rsidR="00A42964" w:rsidRDefault="00A42964" w:rsidP="00A42964">
            <w:pPr>
              <w:spacing w:after="0"/>
              <w:ind w:left="596"/>
              <w:jc w:val="both"/>
              <w:rPr>
                <w:rFonts w:ascii="Arial" w:eastAsia="Times New Roman" w:hAnsi="Arial" w:cs="Arial"/>
                <w:color w:val="000080"/>
                <w:sz w:val="20"/>
                <w:szCs w:val="20"/>
                <w:lang w:eastAsia="es-ES"/>
              </w:rPr>
            </w:pPr>
            <w:r w:rsidRPr="00A42964">
              <w:rPr>
                <w:rFonts w:ascii="Arial" w:eastAsia="Times New Roman" w:hAnsi="Arial" w:cs="Arial"/>
                <w:color w:val="000080"/>
                <w:sz w:val="20"/>
                <w:szCs w:val="20"/>
                <w:lang w:eastAsia="es-ES"/>
              </w:rPr>
              <w:t>Dado en la Defensoría Pública del Ecuador, en Quito, Distrito Metropolitano a los seis días del mes de octubre de dos mil quince.</w:t>
            </w:r>
          </w:p>
          <w:p w:rsidR="00752F5E" w:rsidRPr="00610B20" w:rsidRDefault="00752F5E" w:rsidP="002B108A">
            <w:pPr>
              <w:spacing w:after="0"/>
              <w:jc w:val="both"/>
              <w:rPr>
                <w:rFonts w:ascii="Times New Roman" w:eastAsia="Times New Roman" w:hAnsi="Times New Roman" w:cs="Times New Roman"/>
                <w:sz w:val="24"/>
                <w:szCs w:val="24"/>
                <w:lang w:eastAsia="es-ES"/>
              </w:rPr>
            </w:pPr>
          </w:p>
        </w:tc>
      </w:tr>
    </w:tbl>
    <w:p w:rsidR="00B0720F" w:rsidRDefault="00B0720F" w:rsidP="00B0720F">
      <w:pPr>
        <w:jc w:val="both"/>
      </w:pPr>
    </w:p>
    <w:p w:rsidR="00B0720F" w:rsidRDefault="00B0720F" w:rsidP="00B0720F">
      <w:pPr>
        <w:jc w:val="both"/>
      </w:pPr>
    </w:p>
    <w:p w:rsidR="00B0720F" w:rsidRDefault="00B0720F" w:rsidP="00B0720F">
      <w:pPr>
        <w:jc w:val="both"/>
      </w:pPr>
      <w:bookmarkStart w:id="0" w:name="_GoBack"/>
      <w:bookmarkEnd w:id="0"/>
    </w:p>
    <w:sectPr w:rsidR="00B0720F">
      <w:head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CFA" w:rsidRDefault="005D2CFA" w:rsidP="00C60DAB">
      <w:pPr>
        <w:spacing w:after="0"/>
      </w:pPr>
      <w:r>
        <w:separator/>
      </w:r>
    </w:p>
  </w:endnote>
  <w:endnote w:type="continuationSeparator" w:id="0">
    <w:p w:rsidR="005D2CFA" w:rsidRDefault="005D2CFA" w:rsidP="00C60D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CFA" w:rsidRDefault="005D2CFA" w:rsidP="00C60DAB">
      <w:pPr>
        <w:spacing w:after="0"/>
      </w:pPr>
      <w:r>
        <w:separator/>
      </w:r>
    </w:p>
  </w:footnote>
  <w:footnote w:type="continuationSeparator" w:id="0">
    <w:p w:rsidR="005D2CFA" w:rsidRDefault="005D2CFA" w:rsidP="00C60DA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08A" w:rsidRDefault="002B108A">
    <w:pPr>
      <w:pStyle w:val="Encabezado"/>
    </w:pPr>
    <w:r>
      <w:rPr>
        <w:noProof/>
        <w:lang w:eastAsia="es-EC"/>
      </w:rPr>
      <w:drawing>
        <wp:anchor distT="0" distB="0" distL="114300" distR="114300" simplePos="0" relativeHeight="251659264" behindDoc="1" locked="0" layoutInCell="1" allowOverlap="1" wp14:anchorId="28D9DAA0" wp14:editId="48A4E8E4">
          <wp:simplePos x="0" y="0"/>
          <wp:positionH relativeFrom="margin">
            <wp:posOffset>2251880</wp:posOffset>
          </wp:positionH>
          <wp:positionV relativeFrom="paragraph">
            <wp:posOffset>-82521</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6E93"/>
    <w:multiLevelType w:val="hybridMultilevel"/>
    <w:tmpl w:val="80E2D78A"/>
    <w:lvl w:ilvl="0" w:tplc="300A0011">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
    <w:nsid w:val="11454720"/>
    <w:multiLevelType w:val="hybridMultilevel"/>
    <w:tmpl w:val="A6D2754A"/>
    <w:lvl w:ilvl="0" w:tplc="300A0017">
      <w:start w:val="1"/>
      <w:numFmt w:val="lowerLetter"/>
      <w:lvlText w:val="%1)"/>
      <w:lvlJc w:val="left"/>
      <w:pPr>
        <w:ind w:left="1316" w:hanging="360"/>
      </w:pPr>
    </w:lvl>
    <w:lvl w:ilvl="1" w:tplc="300A0019">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2">
    <w:nsid w:val="190B67A9"/>
    <w:multiLevelType w:val="hybridMultilevel"/>
    <w:tmpl w:val="2DD49DB6"/>
    <w:lvl w:ilvl="0" w:tplc="D0503E8C">
      <w:start w:val="1"/>
      <w:numFmt w:val="decimal"/>
      <w:lvlText w:val="%1."/>
      <w:lvlJc w:val="left"/>
      <w:pPr>
        <w:ind w:left="1458" w:hanging="360"/>
      </w:pPr>
      <w:rPr>
        <w:rFonts w:hint="default"/>
      </w:rPr>
    </w:lvl>
    <w:lvl w:ilvl="1" w:tplc="D0503E8C">
      <w:start w:val="1"/>
      <w:numFmt w:val="decimal"/>
      <w:lvlText w:val="%2."/>
      <w:lvlJc w:val="left"/>
      <w:pPr>
        <w:ind w:left="2178" w:hanging="360"/>
      </w:pPr>
      <w:rPr>
        <w:rFonts w:hint="default"/>
      </w:r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3">
    <w:nsid w:val="1FBA4AFD"/>
    <w:multiLevelType w:val="hybridMultilevel"/>
    <w:tmpl w:val="4B406EF2"/>
    <w:lvl w:ilvl="0" w:tplc="300A0011">
      <w:start w:val="1"/>
      <w:numFmt w:val="decimal"/>
      <w:lvlText w:val="%1)"/>
      <w:lvlJc w:val="left"/>
      <w:pPr>
        <w:ind w:left="1458" w:hanging="360"/>
      </w:pPr>
    </w:lvl>
    <w:lvl w:ilvl="1" w:tplc="D2F0C04A">
      <w:start w:val="1"/>
      <w:numFmt w:val="lowerLetter"/>
      <w:lvlText w:val="%2)"/>
      <w:lvlJc w:val="left"/>
      <w:pPr>
        <w:ind w:left="2493" w:hanging="675"/>
      </w:pPr>
      <w:rPr>
        <w:rFonts w:hint="default"/>
      </w:r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4">
    <w:nsid w:val="256962F5"/>
    <w:multiLevelType w:val="hybridMultilevel"/>
    <w:tmpl w:val="9F0C12DC"/>
    <w:lvl w:ilvl="0" w:tplc="C90C4A6C">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5">
    <w:nsid w:val="2B977D23"/>
    <w:multiLevelType w:val="hybridMultilevel"/>
    <w:tmpl w:val="0DB40762"/>
    <w:lvl w:ilvl="0" w:tplc="300A0011">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6">
    <w:nsid w:val="2E466F0C"/>
    <w:multiLevelType w:val="hybridMultilevel"/>
    <w:tmpl w:val="FB06C5B4"/>
    <w:lvl w:ilvl="0" w:tplc="D0503E8C">
      <w:start w:val="1"/>
      <w:numFmt w:val="decimal"/>
      <w:lvlText w:val="%1."/>
      <w:lvlJc w:val="left"/>
      <w:pPr>
        <w:ind w:left="1458" w:hanging="360"/>
      </w:pPr>
      <w:rPr>
        <w:rFonts w:hint="default"/>
      </w:rPr>
    </w:lvl>
    <w:lvl w:ilvl="1" w:tplc="300A0019">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7">
    <w:nsid w:val="3025277D"/>
    <w:multiLevelType w:val="hybridMultilevel"/>
    <w:tmpl w:val="309E9FC4"/>
    <w:lvl w:ilvl="0" w:tplc="300A0017">
      <w:start w:val="1"/>
      <w:numFmt w:val="lowerLetter"/>
      <w:lvlText w:val="%1)"/>
      <w:lvlJc w:val="left"/>
      <w:pPr>
        <w:ind w:left="1458" w:hanging="360"/>
      </w:pPr>
    </w:lvl>
    <w:lvl w:ilvl="1" w:tplc="B17A09FE">
      <w:start w:val="1"/>
      <w:numFmt w:val="decimal"/>
      <w:lvlText w:val="%2."/>
      <w:lvlJc w:val="left"/>
      <w:pPr>
        <w:ind w:left="2493" w:hanging="675"/>
      </w:pPr>
      <w:rPr>
        <w:rFonts w:hint="default"/>
      </w:r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8">
    <w:nsid w:val="32CC7242"/>
    <w:multiLevelType w:val="hybridMultilevel"/>
    <w:tmpl w:val="784A11C4"/>
    <w:lvl w:ilvl="0" w:tplc="0B18DA40">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9">
    <w:nsid w:val="3E7B2409"/>
    <w:multiLevelType w:val="hybridMultilevel"/>
    <w:tmpl w:val="1318C834"/>
    <w:lvl w:ilvl="0" w:tplc="DE0E768A">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0">
    <w:nsid w:val="3F0C7277"/>
    <w:multiLevelType w:val="hybridMultilevel"/>
    <w:tmpl w:val="2A903AA0"/>
    <w:lvl w:ilvl="0" w:tplc="300A0017">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1">
    <w:nsid w:val="3FD05752"/>
    <w:multiLevelType w:val="hybridMultilevel"/>
    <w:tmpl w:val="621A17AA"/>
    <w:lvl w:ilvl="0" w:tplc="34BA4B70">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2">
    <w:nsid w:val="51CE1535"/>
    <w:multiLevelType w:val="hybridMultilevel"/>
    <w:tmpl w:val="88688EC4"/>
    <w:lvl w:ilvl="0" w:tplc="72F8FA86">
      <w:start w:val="1"/>
      <w:numFmt w:val="decimal"/>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3">
    <w:nsid w:val="620B1C8D"/>
    <w:multiLevelType w:val="hybridMultilevel"/>
    <w:tmpl w:val="14988D64"/>
    <w:lvl w:ilvl="0" w:tplc="300A0011">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4">
    <w:nsid w:val="75075942"/>
    <w:multiLevelType w:val="hybridMultilevel"/>
    <w:tmpl w:val="ED9AF0E2"/>
    <w:lvl w:ilvl="0" w:tplc="300A0017">
      <w:start w:val="1"/>
      <w:numFmt w:val="lowerLetter"/>
      <w:lvlText w:val="%1)"/>
      <w:lvlJc w:val="left"/>
      <w:pPr>
        <w:ind w:left="1316" w:hanging="360"/>
      </w:pPr>
    </w:lvl>
    <w:lvl w:ilvl="1" w:tplc="300A0017">
      <w:start w:val="1"/>
      <w:numFmt w:val="lowerLetter"/>
      <w:lvlText w:val="%2)"/>
      <w:lvlJc w:val="left"/>
      <w:pPr>
        <w:ind w:left="2036" w:hanging="360"/>
      </w:pPr>
    </w:lvl>
    <w:lvl w:ilvl="2" w:tplc="300A001B" w:tentative="1">
      <w:start w:val="1"/>
      <w:numFmt w:val="lowerRoman"/>
      <w:lvlText w:val="%3."/>
      <w:lvlJc w:val="right"/>
      <w:pPr>
        <w:ind w:left="2756" w:hanging="180"/>
      </w:pPr>
    </w:lvl>
    <w:lvl w:ilvl="3" w:tplc="300A000F" w:tentative="1">
      <w:start w:val="1"/>
      <w:numFmt w:val="decimal"/>
      <w:lvlText w:val="%4."/>
      <w:lvlJc w:val="left"/>
      <w:pPr>
        <w:ind w:left="3476" w:hanging="360"/>
      </w:pPr>
    </w:lvl>
    <w:lvl w:ilvl="4" w:tplc="300A0019" w:tentative="1">
      <w:start w:val="1"/>
      <w:numFmt w:val="lowerLetter"/>
      <w:lvlText w:val="%5."/>
      <w:lvlJc w:val="left"/>
      <w:pPr>
        <w:ind w:left="4196" w:hanging="360"/>
      </w:pPr>
    </w:lvl>
    <w:lvl w:ilvl="5" w:tplc="300A001B" w:tentative="1">
      <w:start w:val="1"/>
      <w:numFmt w:val="lowerRoman"/>
      <w:lvlText w:val="%6."/>
      <w:lvlJc w:val="right"/>
      <w:pPr>
        <w:ind w:left="4916" w:hanging="180"/>
      </w:pPr>
    </w:lvl>
    <w:lvl w:ilvl="6" w:tplc="300A000F" w:tentative="1">
      <w:start w:val="1"/>
      <w:numFmt w:val="decimal"/>
      <w:lvlText w:val="%7."/>
      <w:lvlJc w:val="left"/>
      <w:pPr>
        <w:ind w:left="5636" w:hanging="360"/>
      </w:pPr>
    </w:lvl>
    <w:lvl w:ilvl="7" w:tplc="300A0019" w:tentative="1">
      <w:start w:val="1"/>
      <w:numFmt w:val="lowerLetter"/>
      <w:lvlText w:val="%8."/>
      <w:lvlJc w:val="left"/>
      <w:pPr>
        <w:ind w:left="6356" w:hanging="360"/>
      </w:pPr>
    </w:lvl>
    <w:lvl w:ilvl="8" w:tplc="300A001B" w:tentative="1">
      <w:start w:val="1"/>
      <w:numFmt w:val="lowerRoman"/>
      <w:lvlText w:val="%9."/>
      <w:lvlJc w:val="right"/>
      <w:pPr>
        <w:ind w:left="7076" w:hanging="180"/>
      </w:pPr>
    </w:lvl>
  </w:abstractNum>
  <w:abstractNum w:abstractNumId="15">
    <w:nsid w:val="75DB2CEC"/>
    <w:multiLevelType w:val="hybridMultilevel"/>
    <w:tmpl w:val="3A08C770"/>
    <w:lvl w:ilvl="0" w:tplc="300A0017">
      <w:start w:val="1"/>
      <w:numFmt w:val="lowerLetter"/>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6">
    <w:nsid w:val="797B414C"/>
    <w:multiLevelType w:val="hybridMultilevel"/>
    <w:tmpl w:val="A2005D0E"/>
    <w:lvl w:ilvl="0" w:tplc="300A0017">
      <w:start w:val="1"/>
      <w:numFmt w:val="lowerLetter"/>
      <w:lvlText w:val="%1)"/>
      <w:lvlJc w:val="left"/>
      <w:pPr>
        <w:ind w:left="1458" w:hanging="360"/>
      </w:pPr>
    </w:lvl>
    <w:lvl w:ilvl="1" w:tplc="300A0019">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17">
    <w:nsid w:val="7A0C73C1"/>
    <w:multiLevelType w:val="hybridMultilevel"/>
    <w:tmpl w:val="F87A0F2E"/>
    <w:lvl w:ilvl="0" w:tplc="D0503E8C">
      <w:start w:val="1"/>
      <w:numFmt w:val="decimal"/>
      <w:lvlText w:val="%1."/>
      <w:lvlJc w:val="left"/>
      <w:pPr>
        <w:ind w:left="1458" w:hanging="360"/>
      </w:pPr>
      <w:rPr>
        <w:rFonts w:hint="default"/>
      </w:r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num w:numId="1">
    <w:abstractNumId w:val="10"/>
  </w:num>
  <w:num w:numId="2">
    <w:abstractNumId w:val="9"/>
  </w:num>
  <w:num w:numId="3">
    <w:abstractNumId w:val="5"/>
  </w:num>
  <w:num w:numId="4">
    <w:abstractNumId w:val="11"/>
  </w:num>
  <w:num w:numId="5">
    <w:abstractNumId w:val="0"/>
  </w:num>
  <w:num w:numId="6">
    <w:abstractNumId w:val="8"/>
  </w:num>
  <w:num w:numId="7">
    <w:abstractNumId w:val="3"/>
  </w:num>
  <w:num w:numId="8">
    <w:abstractNumId w:val="4"/>
  </w:num>
  <w:num w:numId="9">
    <w:abstractNumId w:val="13"/>
  </w:num>
  <w:num w:numId="10">
    <w:abstractNumId w:val="12"/>
  </w:num>
  <w:num w:numId="11">
    <w:abstractNumId w:val="15"/>
  </w:num>
  <w:num w:numId="12">
    <w:abstractNumId w:val="7"/>
  </w:num>
  <w:num w:numId="13">
    <w:abstractNumId w:val="17"/>
  </w:num>
  <w:num w:numId="14">
    <w:abstractNumId w:val="6"/>
  </w:num>
  <w:num w:numId="15">
    <w:abstractNumId w:val="2"/>
  </w:num>
  <w:num w:numId="16">
    <w:abstractNumId w:val="16"/>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0F4"/>
    <w:rsid w:val="00056138"/>
    <w:rsid w:val="000F252A"/>
    <w:rsid w:val="000F67EA"/>
    <w:rsid w:val="001246E2"/>
    <w:rsid w:val="001425E7"/>
    <w:rsid w:val="001F56ED"/>
    <w:rsid w:val="002371B1"/>
    <w:rsid w:val="002B108A"/>
    <w:rsid w:val="002D0D70"/>
    <w:rsid w:val="00307525"/>
    <w:rsid w:val="00312A72"/>
    <w:rsid w:val="003613E6"/>
    <w:rsid w:val="00440ADD"/>
    <w:rsid w:val="004762B0"/>
    <w:rsid w:val="004D4E6F"/>
    <w:rsid w:val="005042D0"/>
    <w:rsid w:val="00566A0B"/>
    <w:rsid w:val="005B1C50"/>
    <w:rsid w:val="005C4A02"/>
    <w:rsid w:val="005D2CFA"/>
    <w:rsid w:val="006A7390"/>
    <w:rsid w:val="006E7DA2"/>
    <w:rsid w:val="00726F43"/>
    <w:rsid w:val="00752F5E"/>
    <w:rsid w:val="007620F4"/>
    <w:rsid w:val="007E11CE"/>
    <w:rsid w:val="00806106"/>
    <w:rsid w:val="00826D3E"/>
    <w:rsid w:val="008331CB"/>
    <w:rsid w:val="0084595B"/>
    <w:rsid w:val="00887B69"/>
    <w:rsid w:val="009C38D2"/>
    <w:rsid w:val="009C7F8F"/>
    <w:rsid w:val="009D4135"/>
    <w:rsid w:val="00A26F11"/>
    <w:rsid w:val="00A42964"/>
    <w:rsid w:val="00B0720F"/>
    <w:rsid w:val="00B30C74"/>
    <w:rsid w:val="00C60DAB"/>
    <w:rsid w:val="00C674B1"/>
    <w:rsid w:val="00CF4017"/>
    <w:rsid w:val="00D455E7"/>
    <w:rsid w:val="00D47940"/>
    <w:rsid w:val="00D734D3"/>
    <w:rsid w:val="00F349C9"/>
    <w:rsid w:val="00FF747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0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0DAB"/>
    <w:pPr>
      <w:tabs>
        <w:tab w:val="center" w:pos="4252"/>
        <w:tab w:val="right" w:pos="8504"/>
      </w:tabs>
      <w:spacing w:after="0"/>
    </w:pPr>
  </w:style>
  <w:style w:type="character" w:customStyle="1" w:styleId="EncabezadoCar">
    <w:name w:val="Encabezado Car"/>
    <w:basedOn w:val="Fuentedeprrafopredeter"/>
    <w:link w:val="Encabezado"/>
    <w:uiPriority w:val="99"/>
    <w:rsid w:val="00C60DAB"/>
  </w:style>
  <w:style w:type="paragraph" w:styleId="Piedepgina">
    <w:name w:val="footer"/>
    <w:basedOn w:val="Normal"/>
    <w:link w:val="PiedepginaCar"/>
    <w:uiPriority w:val="99"/>
    <w:unhideWhenUsed/>
    <w:rsid w:val="00C60DAB"/>
    <w:pPr>
      <w:tabs>
        <w:tab w:val="center" w:pos="4252"/>
        <w:tab w:val="right" w:pos="8504"/>
      </w:tabs>
      <w:spacing w:after="0"/>
    </w:pPr>
  </w:style>
  <w:style w:type="character" w:customStyle="1" w:styleId="PiedepginaCar">
    <w:name w:val="Pie de página Car"/>
    <w:basedOn w:val="Fuentedeprrafopredeter"/>
    <w:link w:val="Piedepgina"/>
    <w:uiPriority w:val="99"/>
    <w:rsid w:val="00C60DAB"/>
  </w:style>
  <w:style w:type="paragraph" w:styleId="Prrafodelista">
    <w:name w:val="List Paragraph"/>
    <w:basedOn w:val="Normal"/>
    <w:uiPriority w:val="34"/>
    <w:qFormat/>
    <w:rsid w:val="00440ADD"/>
    <w:pPr>
      <w:ind w:left="720"/>
      <w:contextualSpacing/>
    </w:pPr>
  </w:style>
  <w:style w:type="paragraph" w:styleId="Textodeglobo">
    <w:name w:val="Balloon Text"/>
    <w:basedOn w:val="Normal"/>
    <w:link w:val="TextodegloboCar"/>
    <w:uiPriority w:val="99"/>
    <w:semiHidden/>
    <w:unhideWhenUsed/>
    <w:rsid w:val="002B108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108A"/>
    <w:rPr>
      <w:rFonts w:ascii="Tahoma" w:hAnsi="Tahoma" w:cs="Tahoma"/>
      <w:sz w:val="16"/>
      <w:szCs w:val="16"/>
    </w:rPr>
  </w:style>
  <w:style w:type="character" w:styleId="Hipervnculo">
    <w:name w:val="Hyperlink"/>
    <w:basedOn w:val="Fuentedeprrafopredeter"/>
    <w:uiPriority w:val="99"/>
    <w:unhideWhenUsed/>
    <w:rsid w:val="002B108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0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60DAB"/>
    <w:pPr>
      <w:tabs>
        <w:tab w:val="center" w:pos="4252"/>
        <w:tab w:val="right" w:pos="8504"/>
      </w:tabs>
      <w:spacing w:after="0"/>
    </w:pPr>
  </w:style>
  <w:style w:type="character" w:customStyle="1" w:styleId="EncabezadoCar">
    <w:name w:val="Encabezado Car"/>
    <w:basedOn w:val="Fuentedeprrafopredeter"/>
    <w:link w:val="Encabezado"/>
    <w:uiPriority w:val="99"/>
    <w:rsid w:val="00C60DAB"/>
  </w:style>
  <w:style w:type="paragraph" w:styleId="Piedepgina">
    <w:name w:val="footer"/>
    <w:basedOn w:val="Normal"/>
    <w:link w:val="PiedepginaCar"/>
    <w:uiPriority w:val="99"/>
    <w:unhideWhenUsed/>
    <w:rsid w:val="00C60DAB"/>
    <w:pPr>
      <w:tabs>
        <w:tab w:val="center" w:pos="4252"/>
        <w:tab w:val="right" w:pos="8504"/>
      </w:tabs>
      <w:spacing w:after="0"/>
    </w:pPr>
  </w:style>
  <w:style w:type="character" w:customStyle="1" w:styleId="PiedepginaCar">
    <w:name w:val="Pie de página Car"/>
    <w:basedOn w:val="Fuentedeprrafopredeter"/>
    <w:link w:val="Piedepgina"/>
    <w:uiPriority w:val="99"/>
    <w:rsid w:val="00C60DAB"/>
  </w:style>
  <w:style w:type="paragraph" w:styleId="Prrafodelista">
    <w:name w:val="List Paragraph"/>
    <w:basedOn w:val="Normal"/>
    <w:uiPriority w:val="34"/>
    <w:qFormat/>
    <w:rsid w:val="00440ADD"/>
    <w:pPr>
      <w:ind w:left="720"/>
      <w:contextualSpacing/>
    </w:pPr>
  </w:style>
  <w:style w:type="paragraph" w:styleId="Textodeglobo">
    <w:name w:val="Balloon Text"/>
    <w:basedOn w:val="Normal"/>
    <w:link w:val="TextodegloboCar"/>
    <w:uiPriority w:val="99"/>
    <w:semiHidden/>
    <w:unhideWhenUsed/>
    <w:rsid w:val="002B108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108A"/>
    <w:rPr>
      <w:rFonts w:ascii="Tahoma" w:hAnsi="Tahoma" w:cs="Tahoma"/>
      <w:sz w:val="16"/>
      <w:szCs w:val="16"/>
    </w:rPr>
  </w:style>
  <w:style w:type="character" w:styleId="Hipervnculo">
    <w:name w:val="Hyperlink"/>
    <w:basedOn w:val="Fuentedeprrafopredeter"/>
    <w:uiPriority w:val="99"/>
    <w:unhideWhenUsed/>
    <w:rsid w:val="002B10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811167">
      <w:bodyDiv w:val="1"/>
      <w:marLeft w:val="0"/>
      <w:marRight w:val="0"/>
      <w:marTop w:val="0"/>
      <w:marBottom w:val="0"/>
      <w:divBdr>
        <w:top w:val="none" w:sz="0" w:space="0" w:color="auto"/>
        <w:left w:val="none" w:sz="0" w:space="0" w:color="auto"/>
        <w:bottom w:val="none" w:sz="0" w:space="0" w:color="auto"/>
        <w:right w:val="none" w:sz="0" w:space="0" w:color="auto"/>
      </w:divBdr>
    </w:div>
    <w:div w:id="111726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eSilecPro/DocumentVisualizer/FullDocumentVisualizerHTML.aspx?id=MERCANTI-REGLAMENTO_DE_RECLAMOS_REGULADOS_POR_ARTICULO_42_LEY_GENERAL_SEGUROS" TargetMode="External"/><Relationship Id="rId13" Type="http://schemas.openxmlformats.org/officeDocument/2006/relationships/hyperlink" Target="http://www.silec.com.ec/WebTools/eSilecPro/DocumentVisualizer/FullDocumentVisualizerHTML.aspx?id=LABORAL-ESCALA_DE_REMUNERACIONES_DE_SERVIDORES_UNIVERSIDADES_Y_POLITECNICAS" TargetMode="External"/><Relationship Id="rId18" Type="http://schemas.openxmlformats.org/officeDocument/2006/relationships/hyperlink" Target="http://www.silec.com.ec/WebTools/eSilecPro/DocumentVisualizer/FullDocumentVisualizerHTML.aspx?id=FFAA-REGLAMENTO_A_LA_LEY_DE_PERSONAL_DE_LAS_FUERZAS_ARMADAS" TargetMode="External"/><Relationship Id="rId3" Type="http://schemas.microsoft.com/office/2007/relationships/stylesWithEffects" Target="stylesWithEffects.xml"/><Relationship Id="rId21" Type="http://schemas.openxmlformats.org/officeDocument/2006/relationships/hyperlink" Target="http://www.silec.com.ec/WebTools/eSilecPro/DocumentVisualizer/FullDocumentVisualizerHTML.aspx?id=PUBLICO-INSTRUCTIVO_DEFENSORES_PUBLICOS_EN_APLICACION_DE_MEDIDAS_CAUTELARES" TargetMode="External"/><Relationship Id="rId7" Type="http://schemas.openxmlformats.org/officeDocument/2006/relationships/endnotes" Target="endnotes.xml"/><Relationship Id="rId12" Type="http://schemas.openxmlformats.org/officeDocument/2006/relationships/hyperlink" Target="http://www.silec.com.ec/WebTools/eSilecPro/DocumentVisualizer/FullDocumentVisualizerHTML.aspx?id=BANCARIO-NORMA_PAGOS_OBLIGACIONES_TRIBUTARIAS_A_TRAVES_DE_DINERO_ELECTRONICO" TargetMode="External"/><Relationship Id="rId17" Type="http://schemas.openxmlformats.org/officeDocument/2006/relationships/hyperlink" Target="http://www.silec.com.ec/WebTools/eSilecPro/ImageVisualizer/ImageVisualizer.aspx?id=378948679DF24EA9EC61F6B6472A9C6548BBFE3C&amp;type=RO" TargetMode="External"/><Relationship Id="rId2" Type="http://schemas.openxmlformats.org/officeDocument/2006/relationships/styles" Target="styles.xml"/><Relationship Id="rId16" Type="http://schemas.openxmlformats.org/officeDocument/2006/relationships/hyperlink" Target="http://www.silec.com.ec/WebTools/eSilecPro/DocumentVisualizer/FullDocumentVisualizerHTML.aspx?id=SALUD-LEY_ORGANICA_DE_PREVENCION_INTEGRAL_FENOMENO_SOCIO_ECONOMICO_DROGAS" TargetMode="External"/><Relationship Id="rId20" Type="http://schemas.openxmlformats.org/officeDocument/2006/relationships/hyperlink" Target="http://www.silec.com.ec/WebTools/eSilecPro/DocumentVisualizer/FullDocumentVisualizerHTML.aspx?id=PUBLICO-REGLAMENTO_DE_GASTOS_DE_RESIDENCIA_Y_TRANSPORTE_DEL_SECTOR_PUBLIC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ilec.com.ec/WebTools/eSilecPro/DocumentVisualizer/FullDocumentVisualizerHTML.aspx?id=TRIBUTAR-NORMAS_QUE_REGULAN_DEVOLUCION_DEL_IVA_A_LOS_EXPORTADORES_DE_BIEN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ilec.com.ec/WebTools/eSilecPro/DocumentVisualizer/FullDocumentVisualizerHTML.aspx?id=PUBLICO-NORMA_TECNICA_DESPLIEGUE_Y_TENDIDO_REDES_FISICAS_TELECOMUNICACIONES" TargetMode="External"/><Relationship Id="rId23" Type="http://schemas.openxmlformats.org/officeDocument/2006/relationships/fontTable" Target="fontTable.xml"/><Relationship Id="rId10" Type="http://schemas.openxmlformats.org/officeDocument/2006/relationships/hyperlink" Target="http://www.silec.com.ec/WebTools/eSilecPro/DocumentVisualizer/FullDocumentVisualizerHTML.aspx?id=GESTION-LEY_GENERAL_DE_LOS_SERVICIOS_POSTALES" TargetMode="External"/><Relationship Id="rId19" Type="http://schemas.openxmlformats.org/officeDocument/2006/relationships/hyperlink" Target="http://www.silec.com.ec/WebTools/eSilecPro/DocumentVisualizer/FullDocumentVisualizerHTML.aspx?id=LABORAL-SUBSISTEMA_DE_SELECCION_DE_PERSONAL_DEL_SECTOR_PUBLICO" TargetMode="External"/><Relationship Id="rId4" Type="http://schemas.openxmlformats.org/officeDocument/2006/relationships/settings" Target="settings.xml"/><Relationship Id="rId9" Type="http://schemas.openxmlformats.org/officeDocument/2006/relationships/hyperlink" Target="http://www.silec.com.ec/WebTools/eSilecPro/DocumentVisualizer/FullDocumentVisualizerHTML.aspx?id=INSTITU-REGLAMENTO_APLICACION_EVALUACION_HABILITACION_EJERCICIO_PROFESIONAL" TargetMode="Externa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12053</Words>
  <Characters>66293</Characters>
  <Application>Microsoft Office Word</Application>
  <DocSecurity>0</DocSecurity>
  <Lines>552</Lines>
  <Paragraphs>156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Machado Bradley</cp:lastModifiedBy>
  <cp:revision>2</cp:revision>
  <dcterms:created xsi:type="dcterms:W3CDTF">2015-11-04T14:12:00Z</dcterms:created>
  <dcterms:modified xsi:type="dcterms:W3CDTF">2015-11-04T14:12:00Z</dcterms:modified>
</cp:coreProperties>
</file>