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3BA" w:rsidRPr="007363BA" w:rsidRDefault="007363BA" w:rsidP="007363BA">
      <w:pPr>
        <w:shd w:val="clear" w:color="auto" w:fill="FFFFFF"/>
        <w:ind w:right="24"/>
        <w:jc w:val="both"/>
        <w:rPr>
          <w:rFonts w:ascii="Bookman Old Style" w:hAnsi="Bookman Old Style"/>
          <w:b/>
          <w:spacing w:val="-1"/>
          <w:lang w:val="es-MX"/>
        </w:rPr>
      </w:pPr>
      <w:bookmarkStart w:id="0" w:name="_GoBack"/>
      <w:bookmarkEnd w:id="0"/>
      <w:r w:rsidRPr="007363BA">
        <w:rPr>
          <w:rFonts w:ascii="Bookman Old Style" w:hAnsi="Bookman Old Style"/>
          <w:b/>
          <w:spacing w:val="-1"/>
          <w:lang w:val="es-MX"/>
        </w:rPr>
        <w:t>FUNDAMENTOS PARA EJERCER EL DERECHO DE REPETICIÓN</w:t>
      </w:r>
    </w:p>
    <w:p w:rsidR="007363BA" w:rsidRDefault="007363BA" w:rsidP="007363BA">
      <w:pPr>
        <w:shd w:val="clear" w:color="auto" w:fill="FFFFFF"/>
        <w:ind w:right="24"/>
        <w:jc w:val="both"/>
        <w:rPr>
          <w:rFonts w:ascii="Bookman Old Style" w:hAnsi="Bookman Old Style"/>
          <w:i/>
          <w:spacing w:val="-1"/>
          <w:highlight w:val="yellow"/>
          <w:u w:val="single"/>
          <w:lang w:val="es-MX"/>
        </w:rPr>
      </w:pPr>
    </w:p>
    <w:p w:rsidR="00B663E4" w:rsidRPr="00B663E4" w:rsidRDefault="00B663E4" w:rsidP="007363BA">
      <w:pPr>
        <w:shd w:val="clear" w:color="auto" w:fill="FFFFFF"/>
        <w:ind w:right="24"/>
        <w:jc w:val="both"/>
        <w:rPr>
          <w:rFonts w:ascii="Bookman Old Style" w:hAnsi="Bookman Old Style"/>
          <w:i/>
          <w:spacing w:val="-1"/>
          <w:highlight w:val="yellow"/>
          <w:u w:val="single"/>
          <w:lang w:val="es-MX"/>
        </w:rPr>
      </w:pPr>
      <w:r w:rsidRPr="00B663E4">
        <w:rPr>
          <w:rFonts w:ascii="Bookman Old Style" w:hAnsi="Bookman Old Style"/>
          <w:i/>
          <w:highlight w:val="yellow"/>
          <w:lang w:val="es-ES"/>
        </w:rPr>
        <w:t>“ (…) 2. El Estado es responsable por la violación del derecho a la protección judicial establecido en los artículos 25.1 y 25.2.c) de la Convención Americana sobre Derechos Humanos, en relación con el artículo 1.1 de ese instrumento, en perjuicio de José Alfredo Mejía Idrovo, en los términos de los párrafos 89 al 112 de la presente Sentencia”.</w:t>
      </w:r>
    </w:p>
    <w:p w:rsidR="00B663E4" w:rsidRPr="00B663E4" w:rsidRDefault="00B663E4" w:rsidP="007363BA">
      <w:pPr>
        <w:shd w:val="clear" w:color="auto" w:fill="FFFFFF"/>
        <w:ind w:right="24"/>
        <w:jc w:val="both"/>
        <w:rPr>
          <w:rFonts w:ascii="Bookman Old Style" w:hAnsi="Bookman Old Style"/>
          <w:i/>
          <w:spacing w:val="-1"/>
          <w:highlight w:val="yellow"/>
          <w:u w:val="single"/>
          <w:lang w:val="es-MX"/>
        </w:rPr>
      </w:pPr>
    </w:p>
    <w:p w:rsidR="007363BA" w:rsidRPr="003F14D0" w:rsidRDefault="007363BA" w:rsidP="007363BA">
      <w:pPr>
        <w:shd w:val="clear" w:color="auto" w:fill="FFFFFF"/>
        <w:ind w:right="24"/>
        <w:jc w:val="both"/>
        <w:rPr>
          <w:rFonts w:ascii="Bookman Old Style" w:hAnsi="Bookman Old Style"/>
          <w:b/>
          <w:bCs/>
          <w:i/>
          <w:spacing w:val="-2"/>
          <w:lang w:val="es-MX"/>
        </w:rPr>
      </w:pPr>
      <w:r w:rsidRPr="003F14D0">
        <w:rPr>
          <w:rFonts w:ascii="Bookman Old Style" w:hAnsi="Bookman Old Style"/>
          <w:i/>
          <w:spacing w:val="-1"/>
          <w:highlight w:val="yellow"/>
          <w:u w:val="single"/>
          <w:lang w:val="es-MX"/>
        </w:rPr>
        <w:t xml:space="preserve">“(…) la Sentencia constituye </w:t>
      </w:r>
      <w:r w:rsidRPr="003F14D0">
        <w:rPr>
          <w:rFonts w:ascii="Bookman Old Style" w:hAnsi="Bookman Old Style"/>
          <w:i/>
          <w:iCs/>
          <w:spacing w:val="-1"/>
          <w:highlight w:val="yellow"/>
          <w:u w:val="single"/>
          <w:lang w:val="es-MX"/>
        </w:rPr>
        <w:t xml:space="preserve">per se </w:t>
      </w:r>
      <w:r w:rsidRPr="003F14D0">
        <w:rPr>
          <w:rFonts w:ascii="Bookman Old Style" w:hAnsi="Bookman Old Style"/>
          <w:i/>
          <w:spacing w:val="-1"/>
          <w:highlight w:val="yellow"/>
          <w:u w:val="single"/>
          <w:lang w:val="es-MX"/>
        </w:rPr>
        <w:t xml:space="preserve">una forma de </w:t>
      </w:r>
      <w:r w:rsidRPr="003F14D0">
        <w:rPr>
          <w:rFonts w:ascii="Bookman Old Style" w:hAnsi="Bookman Old Style"/>
          <w:i/>
          <w:highlight w:val="yellow"/>
          <w:u w:val="single"/>
          <w:lang w:val="es-MX"/>
        </w:rPr>
        <w:t xml:space="preserve">reparación, y ordenó a Ecuador la publicación de la Sentencia, el pago de indemnizaciones por daños </w:t>
      </w:r>
      <w:r w:rsidRPr="003F14D0">
        <w:rPr>
          <w:rFonts w:ascii="Bookman Old Style" w:hAnsi="Bookman Old Style"/>
          <w:i/>
          <w:spacing w:val="-1"/>
          <w:highlight w:val="yellow"/>
          <w:u w:val="single"/>
          <w:lang w:val="es-MX"/>
        </w:rPr>
        <w:t>materiales e inmateriales y de las costas y gastos</w:t>
      </w:r>
      <w:r w:rsidRPr="003F14D0">
        <w:rPr>
          <w:rFonts w:ascii="Bookman Old Style" w:hAnsi="Bookman Old Style"/>
          <w:i/>
          <w:spacing w:val="-1"/>
          <w:u w:val="single"/>
          <w:lang w:val="es-MX"/>
        </w:rPr>
        <w:t>”</w:t>
      </w:r>
    </w:p>
    <w:p w:rsidR="007363BA" w:rsidRDefault="007363BA">
      <w:pPr>
        <w:jc w:val="both"/>
        <w:rPr>
          <w:rFonts w:cs="Verdana"/>
          <w:b/>
          <w:bCs/>
          <w:smallCaps/>
          <w:sz w:val="20"/>
          <w:szCs w:val="20"/>
          <w:lang w:val="es-CR"/>
        </w:rPr>
      </w:pPr>
    </w:p>
    <w:p w:rsidR="00F249DD" w:rsidRDefault="001E7A49">
      <w:pPr>
        <w:jc w:val="both"/>
        <w:rPr>
          <w:rFonts w:cs="Verdana"/>
          <w:b/>
          <w:bCs/>
          <w:smallCaps/>
          <w:sz w:val="20"/>
          <w:szCs w:val="20"/>
          <w:lang w:val="es-CR"/>
        </w:rPr>
      </w:pPr>
      <w:hyperlink r:id="rId8" w:history="1">
        <w:r w:rsidRPr="008C10FE">
          <w:rPr>
            <w:rStyle w:val="Hipervnculo"/>
            <w:rFonts w:cs="Verdana"/>
            <w:b/>
            <w:bCs/>
            <w:smallCaps/>
            <w:sz w:val="20"/>
            <w:szCs w:val="20"/>
            <w:lang w:val="es-CR"/>
          </w:rPr>
          <w:t>http://corteidh.or.cr/docs/casos/articulos/seriec_228_esp.pdf</w:t>
        </w:r>
      </w:hyperlink>
    </w:p>
    <w:p w:rsidR="001E7A49" w:rsidRDefault="001E7A49">
      <w:pPr>
        <w:jc w:val="both"/>
        <w:rPr>
          <w:rFonts w:cs="Verdana"/>
          <w:b/>
          <w:bCs/>
          <w:smallCaps/>
          <w:sz w:val="20"/>
          <w:szCs w:val="20"/>
          <w:lang w:val="es-CR"/>
        </w:rPr>
      </w:pPr>
    </w:p>
    <w:p w:rsidR="00F249DD" w:rsidRPr="00922392" w:rsidRDefault="00F249DD" w:rsidP="00922392">
      <w:pPr>
        <w:rPr>
          <w:rFonts w:cs="Verdana"/>
          <w:b/>
          <w:bCs/>
          <w:smallCaps/>
          <w:sz w:val="20"/>
          <w:szCs w:val="20"/>
          <w:lang w:val="es-CR"/>
        </w:rPr>
      </w:pPr>
    </w:p>
    <w:p w:rsidR="00F249DD" w:rsidRPr="00A04CE3" w:rsidRDefault="00F249DD" w:rsidP="002F2994">
      <w:pPr>
        <w:jc w:val="center"/>
        <w:rPr>
          <w:rFonts w:ascii="Verdana" w:hAnsi="Verdana" w:cs="Verdana"/>
          <w:b/>
          <w:bCs/>
          <w:smallCaps/>
          <w:sz w:val="20"/>
          <w:szCs w:val="20"/>
          <w:lang w:val="es-CR"/>
        </w:rPr>
      </w:pPr>
      <w:r w:rsidRPr="00FC3247">
        <w:rPr>
          <w:rFonts w:ascii="Verdana" w:hAnsi="Verdana" w:cs="Verdana"/>
          <w:b/>
          <w:bCs/>
          <w:smallCaps/>
          <w:sz w:val="20"/>
          <w:szCs w:val="20"/>
          <w:lang w:val="es-CR"/>
        </w:rPr>
        <w:t>CORTE INTERAMERICANA DE DERECHOS HUMANOS</w:t>
      </w:r>
    </w:p>
    <w:p w:rsidR="00F249DD" w:rsidRPr="00A04CE3" w:rsidRDefault="00F249DD" w:rsidP="002F2994">
      <w:pPr>
        <w:rPr>
          <w:rFonts w:ascii="Verdana" w:hAnsi="Verdana" w:cs="Verdana"/>
          <w:b/>
          <w:bCs/>
          <w:smallCaps/>
          <w:sz w:val="20"/>
          <w:szCs w:val="20"/>
          <w:lang w:val="es-CR"/>
        </w:rPr>
      </w:pPr>
    </w:p>
    <w:p w:rsidR="00F249DD" w:rsidRPr="00A04CE3" w:rsidRDefault="00F249DD" w:rsidP="002F2994">
      <w:pPr>
        <w:rPr>
          <w:rFonts w:ascii="Verdana" w:hAnsi="Verdana" w:cs="Verdana"/>
          <w:b/>
          <w:bCs/>
          <w:smallCaps/>
          <w:sz w:val="20"/>
          <w:szCs w:val="20"/>
          <w:lang w:val="es-CR"/>
        </w:rPr>
      </w:pPr>
    </w:p>
    <w:p w:rsidR="00F249DD" w:rsidRPr="00A04CE3" w:rsidRDefault="00F249DD" w:rsidP="002F2994">
      <w:pPr>
        <w:jc w:val="center"/>
        <w:rPr>
          <w:rFonts w:ascii="Verdana" w:hAnsi="Verdana" w:cs="Verdana"/>
          <w:b/>
          <w:bCs/>
          <w:smallCaps/>
          <w:sz w:val="20"/>
          <w:szCs w:val="20"/>
          <w:lang w:val="es-CR"/>
        </w:rPr>
      </w:pPr>
      <w:r w:rsidRPr="00FC3247">
        <w:rPr>
          <w:rFonts w:ascii="Verdana" w:hAnsi="Verdana" w:cs="Verdana"/>
          <w:b/>
          <w:bCs/>
          <w:smallCaps/>
          <w:sz w:val="20"/>
          <w:szCs w:val="20"/>
          <w:lang w:val="es-CR"/>
        </w:rPr>
        <w:t>CASO MEJÍA IDROVO VS. ECUADOR</w:t>
      </w:r>
    </w:p>
    <w:p w:rsidR="00F249DD" w:rsidRPr="00A04CE3" w:rsidRDefault="00F249DD" w:rsidP="002F2994">
      <w:pPr>
        <w:rPr>
          <w:rFonts w:ascii="Verdana" w:hAnsi="Verdana" w:cs="Verdana"/>
          <w:b/>
          <w:bCs/>
          <w:smallCaps/>
          <w:sz w:val="20"/>
          <w:szCs w:val="20"/>
          <w:lang w:val="es-CR"/>
        </w:rPr>
      </w:pPr>
    </w:p>
    <w:p w:rsidR="00F249DD" w:rsidRPr="00A04CE3" w:rsidRDefault="00F249DD" w:rsidP="002F2994">
      <w:pPr>
        <w:rPr>
          <w:rFonts w:ascii="Verdana" w:hAnsi="Verdana" w:cs="Verdana"/>
          <w:b/>
          <w:bCs/>
          <w:smallCaps/>
          <w:sz w:val="20"/>
          <w:szCs w:val="20"/>
          <w:lang w:val="es-CR"/>
        </w:rPr>
      </w:pPr>
    </w:p>
    <w:p w:rsidR="00F249DD" w:rsidRPr="00A04CE3" w:rsidRDefault="00F249DD" w:rsidP="002F2994">
      <w:pPr>
        <w:jc w:val="center"/>
        <w:rPr>
          <w:rFonts w:ascii="Verdana" w:hAnsi="Verdana" w:cs="Verdana"/>
          <w:b/>
          <w:bCs/>
          <w:smallCaps/>
          <w:sz w:val="20"/>
          <w:szCs w:val="20"/>
          <w:lang w:val="es-CR"/>
        </w:rPr>
      </w:pPr>
      <w:r w:rsidRPr="00FC3247">
        <w:rPr>
          <w:rFonts w:ascii="Verdana" w:hAnsi="Verdana" w:cs="Verdana"/>
          <w:b/>
          <w:bCs/>
          <w:smallCaps/>
          <w:sz w:val="20"/>
          <w:szCs w:val="20"/>
          <w:lang w:val="es-CR"/>
        </w:rPr>
        <w:t>SENTENCIA DE 5 DE JULIO DE 2011</w:t>
      </w:r>
    </w:p>
    <w:p w:rsidR="00F249DD" w:rsidRPr="00A04CE3" w:rsidRDefault="00F249DD" w:rsidP="002F2994">
      <w:pPr>
        <w:rPr>
          <w:rFonts w:ascii="Verdana" w:hAnsi="Verdana" w:cs="Verdana"/>
          <w:b/>
          <w:bCs/>
          <w:smallCaps/>
          <w:sz w:val="20"/>
          <w:szCs w:val="20"/>
          <w:lang w:val="es-CR"/>
        </w:rPr>
      </w:pPr>
    </w:p>
    <w:p w:rsidR="00F249DD" w:rsidRPr="00A04CE3" w:rsidRDefault="00F249DD" w:rsidP="002F2994">
      <w:pPr>
        <w:rPr>
          <w:rFonts w:ascii="Verdana" w:hAnsi="Verdana" w:cs="Verdana"/>
          <w:b/>
          <w:bCs/>
          <w:smallCaps/>
          <w:sz w:val="20"/>
          <w:szCs w:val="20"/>
          <w:lang w:val="es-CR"/>
        </w:rPr>
      </w:pPr>
    </w:p>
    <w:p w:rsidR="00F249DD" w:rsidRPr="00A04CE3" w:rsidRDefault="00F249DD" w:rsidP="002F2994">
      <w:pPr>
        <w:jc w:val="center"/>
        <w:rPr>
          <w:rFonts w:ascii="Verdana" w:hAnsi="Verdana" w:cs="Verdana"/>
          <w:b/>
          <w:bCs/>
          <w:smallCaps/>
          <w:sz w:val="20"/>
          <w:szCs w:val="20"/>
          <w:lang w:val="es-CR"/>
        </w:rPr>
      </w:pPr>
      <w:r w:rsidRPr="00FC3247">
        <w:rPr>
          <w:rFonts w:ascii="Verdana" w:hAnsi="Verdana" w:cs="Verdana"/>
          <w:b/>
          <w:bCs/>
          <w:smallCaps/>
          <w:sz w:val="20"/>
          <w:szCs w:val="20"/>
          <w:lang w:val="es-CR"/>
        </w:rPr>
        <w:t>EXCEPCIONES PRELIMINARES, FONDO, REPARACIONES Y COSTAS</w:t>
      </w:r>
    </w:p>
    <w:p w:rsidR="00F249DD" w:rsidRDefault="00F249DD" w:rsidP="00922392">
      <w:pPr>
        <w:rPr>
          <w:rFonts w:cs="Verdana"/>
          <w:b/>
          <w:bCs/>
          <w:smallCaps/>
          <w:sz w:val="20"/>
          <w:szCs w:val="20"/>
          <w:lang w:val="es-CR"/>
        </w:rPr>
      </w:pPr>
    </w:p>
    <w:p w:rsidR="00F249DD" w:rsidRDefault="00F249DD" w:rsidP="00922392">
      <w:pPr>
        <w:rPr>
          <w:rFonts w:cs="Verdana"/>
          <w:b/>
          <w:bCs/>
          <w:smallCaps/>
          <w:sz w:val="20"/>
          <w:szCs w:val="20"/>
          <w:lang w:val="es-CR"/>
        </w:rPr>
      </w:pPr>
    </w:p>
    <w:p w:rsidR="00F249DD" w:rsidRPr="00922392" w:rsidRDefault="00F249DD" w:rsidP="00922392">
      <w:pPr>
        <w:rPr>
          <w:rFonts w:cs="Verdana"/>
          <w:b/>
          <w:bCs/>
          <w:smallCaps/>
          <w:sz w:val="20"/>
          <w:szCs w:val="20"/>
          <w:lang w:val="es-CR"/>
        </w:rPr>
      </w:pPr>
    </w:p>
    <w:p w:rsidR="00F249DD" w:rsidRPr="00922392" w:rsidRDefault="00F249DD" w:rsidP="00922392">
      <w:pPr>
        <w:jc w:val="both"/>
        <w:rPr>
          <w:rFonts w:ascii="Verdana" w:hAnsi="Verdana" w:cs="Verdana"/>
          <w:sz w:val="20"/>
          <w:szCs w:val="20"/>
          <w:lang w:val="es-CR"/>
        </w:rPr>
      </w:pPr>
      <w:r w:rsidRPr="00922392">
        <w:rPr>
          <w:rFonts w:ascii="Verdana" w:hAnsi="Verdana" w:cs="Verdana"/>
          <w:sz w:val="20"/>
          <w:szCs w:val="20"/>
          <w:lang w:val="es-CR"/>
        </w:rPr>
        <w:t xml:space="preserve">En el </w:t>
      </w:r>
      <w:r w:rsidRPr="00FC3247">
        <w:rPr>
          <w:rFonts w:ascii="Verdana" w:hAnsi="Verdana" w:cs="Verdana"/>
          <w:i/>
          <w:sz w:val="20"/>
          <w:szCs w:val="20"/>
          <w:lang w:val="es-CR"/>
        </w:rPr>
        <w:t>caso Mejía Idrovo</w:t>
      </w:r>
      <w:r w:rsidRPr="00922392">
        <w:rPr>
          <w:rFonts w:ascii="Verdana" w:hAnsi="Verdana" w:cs="Verdana"/>
          <w:i/>
          <w:sz w:val="20"/>
          <w:szCs w:val="20"/>
          <w:lang w:val="es-CR"/>
        </w:rPr>
        <w:t>,</w:t>
      </w:r>
    </w:p>
    <w:p w:rsidR="00F249DD" w:rsidRPr="00922392" w:rsidRDefault="00F249DD" w:rsidP="00120F89">
      <w:pPr>
        <w:jc w:val="both"/>
        <w:rPr>
          <w:rFonts w:ascii="Verdana" w:hAnsi="Verdana" w:cs="Verdana"/>
          <w:sz w:val="20"/>
          <w:szCs w:val="20"/>
          <w:lang w:val="es-CR"/>
        </w:rPr>
      </w:pPr>
    </w:p>
    <w:p w:rsidR="00F249DD" w:rsidRPr="00922392" w:rsidRDefault="00F249DD" w:rsidP="00120F89">
      <w:pPr>
        <w:jc w:val="both"/>
        <w:rPr>
          <w:rFonts w:ascii="Verdana" w:hAnsi="Verdana" w:cs="Verdana"/>
          <w:sz w:val="20"/>
          <w:szCs w:val="20"/>
          <w:lang w:val="es-CR"/>
        </w:rPr>
      </w:pPr>
      <w:r w:rsidRPr="00922392">
        <w:rPr>
          <w:rFonts w:ascii="Verdana" w:hAnsi="Verdana" w:cs="Verdana"/>
          <w:sz w:val="20"/>
          <w:szCs w:val="20"/>
          <w:lang w:val="es-CR"/>
        </w:rPr>
        <w:t>la Corte Interamericana de Derechos Humanos</w:t>
      </w:r>
      <w:r w:rsidRPr="00E54456">
        <w:rPr>
          <w:rStyle w:val="Refdenotaalpie"/>
          <w:rFonts w:ascii="Verdana" w:hAnsi="Verdana" w:cs="Verdana"/>
          <w:sz w:val="20"/>
          <w:szCs w:val="20"/>
          <w:lang w:val="es-CR"/>
        </w:rPr>
        <w:footnoteReference w:customMarkFollows="1" w:id="1"/>
        <w:sym w:font="Symbol" w:char="F02A"/>
      </w:r>
      <w:r>
        <w:rPr>
          <w:rFonts w:ascii="Verdana" w:hAnsi="Verdana" w:cs="Verdana"/>
          <w:sz w:val="20"/>
          <w:szCs w:val="20"/>
          <w:lang w:val="es-CR"/>
        </w:rPr>
        <w:t xml:space="preserve"> </w:t>
      </w:r>
      <w:r w:rsidRPr="00922392">
        <w:rPr>
          <w:rFonts w:ascii="Verdana" w:hAnsi="Verdana" w:cs="Verdana"/>
          <w:sz w:val="20"/>
          <w:szCs w:val="20"/>
          <w:lang w:val="es-CR"/>
        </w:rPr>
        <w:t>(en adelante “la Corte Interamericana”, “la Corte” o “el Tribunal”), integrada por los siguientes jueces:</w:t>
      </w:r>
    </w:p>
    <w:p w:rsidR="00F249DD" w:rsidRPr="00922392" w:rsidRDefault="00F249DD" w:rsidP="00922392">
      <w:pPr>
        <w:jc w:val="both"/>
        <w:rPr>
          <w:rFonts w:ascii="Verdana" w:hAnsi="Verdana" w:cs="Verdana"/>
          <w:sz w:val="20"/>
          <w:szCs w:val="20"/>
          <w:u w:val="single"/>
          <w:lang w:val="es-CR"/>
        </w:rPr>
      </w:pPr>
    </w:p>
    <w:p w:rsidR="00F249DD" w:rsidRPr="00922392" w:rsidRDefault="00F249DD" w:rsidP="00120F89">
      <w:pPr>
        <w:jc w:val="both"/>
        <w:rPr>
          <w:rFonts w:ascii="Verdana" w:hAnsi="Verdana" w:cs="Verdana"/>
          <w:sz w:val="20"/>
          <w:szCs w:val="20"/>
          <w:lang w:val="es-CR"/>
        </w:rPr>
      </w:pPr>
      <w:r w:rsidRPr="00922392">
        <w:rPr>
          <w:rFonts w:ascii="Verdana" w:hAnsi="Verdana" w:cs="Verdana"/>
          <w:sz w:val="20"/>
          <w:szCs w:val="20"/>
          <w:lang w:val="es-CR"/>
        </w:rPr>
        <w:tab/>
      </w:r>
      <w:smartTag w:uri="urn:schemas-microsoft-com:office:smarttags" w:element="PersonName">
        <w:smartTagPr>
          <w:attr w:name="ProductID" w:val="Diego Garc￭a-Say￡n"/>
        </w:smartTagPr>
        <w:r w:rsidRPr="00922392">
          <w:rPr>
            <w:rFonts w:ascii="Verdana" w:hAnsi="Verdana" w:cs="Verdana"/>
            <w:sz w:val="20"/>
            <w:szCs w:val="20"/>
            <w:lang w:val="es-CR"/>
          </w:rPr>
          <w:t>Diego García-Sayán</w:t>
        </w:r>
      </w:smartTag>
      <w:r w:rsidRPr="00922392">
        <w:rPr>
          <w:rFonts w:ascii="Verdana" w:hAnsi="Verdana" w:cs="Verdana"/>
          <w:sz w:val="20"/>
          <w:szCs w:val="20"/>
          <w:lang w:val="es-CR"/>
        </w:rPr>
        <w:t xml:space="preserve">, Presidente; </w:t>
      </w:r>
    </w:p>
    <w:p w:rsidR="00F249DD" w:rsidRPr="00922392" w:rsidRDefault="00F249DD" w:rsidP="00922392">
      <w:pPr>
        <w:ind w:firstLine="720"/>
        <w:jc w:val="both"/>
        <w:rPr>
          <w:rFonts w:ascii="Verdana" w:hAnsi="Verdana" w:cs="Verdana"/>
          <w:sz w:val="20"/>
          <w:szCs w:val="20"/>
          <w:lang w:val="es-CR"/>
        </w:rPr>
      </w:pPr>
      <w:r w:rsidRPr="00922392">
        <w:rPr>
          <w:rFonts w:ascii="Verdana" w:hAnsi="Verdana" w:cs="Verdana"/>
          <w:sz w:val="20"/>
          <w:szCs w:val="20"/>
          <w:lang w:val="es-CR"/>
        </w:rPr>
        <w:t xml:space="preserve">Leonardo A. Franco, </w:t>
      </w:r>
      <w:r>
        <w:rPr>
          <w:rFonts w:ascii="Verdana" w:hAnsi="Verdana" w:cs="Verdana"/>
          <w:sz w:val="20"/>
          <w:szCs w:val="20"/>
          <w:lang w:val="es-CR"/>
        </w:rPr>
        <w:t>Vicepresidente;</w:t>
      </w:r>
    </w:p>
    <w:p w:rsidR="00F249DD" w:rsidRPr="00922392" w:rsidRDefault="00F249DD" w:rsidP="00922392">
      <w:pPr>
        <w:ind w:firstLine="720"/>
        <w:jc w:val="both"/>
        <w:rPr>
          <w:rFonts w:ascii="Verdana" w:hAnsi="Verdana" w:cs="Verdana"/>
          <w:sz w:val="20"/>
          <w:szCs w:val="20"/>
          <w:lang w:val="es-CR"/>
        </w:rPr>
      </w:pPr>
      <w:r w:rsidRPr="00922392">
        <w:rPr>
          <w:rFonts w:ascii="Verdana" w:hAnsi="Verdana" w:cs="Verdana"/>
          <w:sz w:val="20"/>
          <w:szCs w:val="20"/>
          <w:lang w:val="es-CR"/>
        </w:rPr>
        <w:t>Manuel E. Ventura Robles, Juez;</w:t>
      </w:r>
    </w:p>
    <w:p w:rsidR="00F249DD" w:rsidRPr="008E0917" w:rsidRDefault="00F249DD" w:rsidP="00120F89">
      <w:pPr>
        <w:jc w:val="both"/>
        <w:rPr>
          <w:rFonts w:ascii="Verdana" w:hAnsi="Verdana" w:cs="Verdana"/>
          <w:sz w:val="20"/>
          <w:szCs w:val="20"/>
          <w:lang w:val="es-ES"/>
        </w:rPr>
      </w:pPr>
      <w:r w:rsidRPr="00922392">
        <w:rPr>
          <w:rFonts w:ascii="Verdana" w:hAnsi="Verdana" w:cs="Verdana"/>
          <w:sz w:val="20"/>
          <w:szCs w:val="20"/>
          <w:lang w:val="es-CR"/>
        </w:rPr>
        <w:tab/>
      </w:r>
      <w:smartTag w:uri="urn:schemas-microsoft-com:office:smarttags" w:element="PersonName">
        <w:smartTagPr>
          <w:attr w:name="ProductID" w:val="Margarette May Macaulay"/>
        </w:smartTagPr>
        <w:r w:rsidRPr="008E0917">
          <w:rPr>
            <w:rFonts w:ascii="Verdana" w:hAnsi="Verdana" w:cs="Verdana"/>
            <w:sz w:val="20"/>
            <w:szCs w:val="20"/>
            <w:lang w:val="es-ES"/>
          </w:rPr>
          <w:t>Margarette May Macaulay</w:t>
        </w:r>
      </w:smartTag>
      <w:r w:rsidRPr="008E0917">
        <w:rPr>
          <w:rFonts w:ascii="Verdana" w:hAnsi="Verdana" w:cs="Verdana"/>
          <w:sz w:val="20"/>
          <w:szCs w:val="20"/>
          <w:lang w:val="es-ES"/>
        </w:rPr>
        <w:t>, Jueza;</w:t>
      </w:r>
    </w:p>
    <w:p w:rsidR="00F249DD" w:rsidRPr="00ED5DBB" w:rsidRDefault="00F249DD" w:rsidP="00E54456">
      <w:pPr>
        <w:ind w:firstLine="720"/>
        <w:jc w:val="both"/>
        <w:rPr>
          <w:rFonts w:ascii="Verdana" w:hAnsi="Verdana" w:cs="Verdana"/>
          <w:sz w:val="20"/>
          <w:szCs w:val="20"/>
          <w:u w:val="single"/>
          <w:lang w:val="es-ES"/>
        </w:rPr>
      </w:pPr>
      <w:smartTag w:uri="urn:schemas-microsoft-com:office:smarttags" w:element="PersonName">
        <w:smartTagPr>
          <w:attr w:name="ProductID" w:val="Rhadys Abreu Blondet"/>
        </w:smartTagPr>
        <w:r w:rsidRPr="00E54456">
          <w:rPr>
            <w:rFonts w:ascii="Verdana" w:hAnsi="Verdana" w:cs="Verdana"/>
            <w:sz w:val="20"/>
            <w:szCs w:val="20"/>
            <w:lang w:val="es-CR"/>
          </w:rPr>
          <w:t>Rhadys Abreu Blondet</w:t>
        </w:r>
      </w:smartTag>
      <w:r w:rsidRPr="00E54456">
        <w:rPr>
          <w:rFonts w:ascii="Verdana" w:hAnsi="Verdana" w:cs="Verdana"/>
          <w:sz w:val="20"/>
          <w:szCs w:val="20"/>
          <w:lang w:val="es-CR"/>
        </w:rPr>
        <w:t>, Jueza</w:t>
      </w:r>
      <w:r w:rsidRPr="00E54456">
        <w:rPr>
          <w:rFonts w:ascii="Verdana" w:hAnsi="Verdana" w:cs="Verdana"/>
          <w:i/>
          <w:sz w:val="20"/>
          <w:szCs w:val="20"/>
          <w:lang w:val="es-CR"/>
        </w:rPr>
        <w:t xml:space="preserve">, </w:t>
      </w:r>
      <w:r w:rsidRPr="00E54456">
        <w:rPr>
          <w:rFonts w:ascii="Verdana" w:hAnsi="Verdana" w:cs="Verdana"/>
          <w:sz w:val="20"/>
          <w:szCs w:val="20"/>
          <w:lang w:val="es-CR"/>
        </w:rPr>
        <w:t>y</w:t>
      </w:r>
      <w:r w:rsidRPr="00E54456">
        <w:rPr>
          <w:rFonts w:ascii="Verdana" w:hAnsi="Verdana" w:cs="Verdana"/>
          <w:i/>
          <w:sz w:val="20"/>
          <w:szCs w:val="20"/>
          <w:lang w:val="es-CR"/>
        </w:rPr>
        <w:t xml:space="preserve"> </w:t>
      </w:r>
      <w:r w:rsidRPr="00E54456" w:rsidDel="0053670C">
        <w:rPr>
          <w:rFonts w:ascii="Verdana" w:hAnsi="Verdana" w:cs="Verdana"/>
          <w:sz w:val="20"/>
          <w:szCs w:val="20"/>
          <w:lang w:val="es-CR"/>
        </w:rPr>
        <w:t xml:space="preserve"> </w:t>
      </w:r>
    </w:p>
    <w:p w:rsidR="00F249DD" w:rsidRPr="0053670C" w:rsidRDefault="00F249DD" w:rsidP="00922392">
      <w:pPr>
        <w:ind w:right="96" w:firstLine="709"/>
        <w:rPr>
          <w:rFonts w:ascii="Verdana" w:hAnsi="Verdana" w:cs="Verdana"/>
          <w:sz w:val="20"/>
          <w:szCs w:val="20"/>
          <w:lang w:val="es-ES"/>
        </w:rPr>
      </w:pPr>
      <w:smartTag w:uri="urn:schemas-microsoft-com:office:smarttags" w:element="PersonName">
        <w:smartTagPr>
          <w:attr w:name="ProductID" w:val="Eduardo Vio"/>
        </w:smartTagPr>
        <w:r w:rsidRPr="0053670C">
          <w:rPr>
            <w:rFonts w:ascii="Verdana" w:hAnsi="Verdana" w:cs="Verdana"/>
            <w:sz w:val="20"/>
            <w:szCs w:val="20"/>
            <w:lang w:val="es-ES"/>
          </w:rPr>
          <w:t>Eduardo Vio</w:t>
        </w:r>
      </w:smartTag>
      <w:r w:rsidRPr="0053670C">
        <w:rPr>
          <w:rFonts w:ascii="Verdana" w:hAnsi="Verdana" w:cs="Verdana"/>
          <w:sz w:val="20"/>
          <w:szCs w:val="20"/>
          <w:lang w:val="es-ES"/>
        </w:rPr>
        <w:t xml:space="preserve"> Grossi, Juez</w:t>
      </w:r>
      <w:r>
        <w:rPr>
          <w:rFonts w:ascii="Verdana" w:hAnsi="Verdana" w:cs="Verdana"/>
          <w:sz w:val="20"/>
          <w:szCs w:val="20"/>
          <w:lang w:val="es-ES"/>
        </w:rPr>
        <w:t>.</w:t>
      </w:r>
    </w:p>
    <w:p w:rsidR="00F249DD" w:rsidRPr="00922392" w:rsidRDefault="00F249DD" w:rsidP="00922392">
      <w:pPr>
        <w:jc w:val="both"/>
        <w:rPr>
          <w:rFonts w:ascii="Verdana" w:hAnsi="Verdana"/>
          <w:i/>
          <w:sz w:val="20"/>
          <w:lang w:val="es-CR"/>
        </w:rPr>
      </w:pPr>
    </w:p>
    <w:p w:rsidR="00F249DD" w:rsidRPr="00922392" w:rsidRDefault="00F249DD" w:rsidP="00120F89">
      <w:pPr>
        <w:jc w:val="both"/>
        <w:rPr>
          <w:rFonts w:ascii="Verdana" w:hAnsi="Verdana" w:cs="Verdana"/>
          <w:sz w:val="20"/>
          <w:szCs w:val="20"/>
          <w:lang w:val="es-CR"/>
        </w:rPr>
      </w:pPr>
      <w:r>
        <w:rPr>
          <w:rFonts w:ascii="Verdana" w:hAnsi="Verdana" w:cs="Verdana"/>
          <w:sz w:val="20"/>
          <w:szCs w:val="20"/>
          <w:lang w:val="es-CR"/>
        </w:rPr>
        <w:t>presente</w:t>
      </w:r>
      <w:r>
        <w:rPr>
          <w:rStyle w:val="Refdenotaalpie"/>
          <w:rFonts w:ascii="Verdana" w:hAnsi="Verdana"/>
          <w:sz w:val="20"/>
          <w:szCs w:val="20"/>
          <w:lang w:val="es-CR"/>
        </w:rPr>
        <w:footnoteReference w:customMarkFollows="1" w:id="2"/>
        <w:sym w:font="Symbol" w:char="F02A"/>
      </w:r>
      <w:r>
        <w:rPr>
          <w:rStyle w:val="Refdenotaalpie"/>
          <w:rFonts w:ascii="Verdana" w:hAnsi="Verdana"/>
          <w:sz w:val="20"/>
          <w:szCs w:val="20"/>
          <w:lang w:val="es-CR"/>
        </w:rPr>
        <w:sym w:font="Symbol" w:char="F02A"/>
      </w:r>
      <w:r w:rsidRPr="00922392">
        <w:rPr>
          <w:rFonts w:ascii="Verdana" w:hAnsi="Verdana" w:cs="Verdana"/>
          <w:sz w:val="20"/>
          <w:szCs w:val="20"/>
          <w:lang w:val="es-CR"/>
        </w:rPr>
        <w:t>, además,</w:t>
      </w:r>
    </w:p>
    <w:p w:rsidR="00F249DD" w:rsidRPr="00922392" w:rsidRDefault="00F249DD" w:rsidP="00120F89">
      <w:pPr>
        <w:jc w:val="both"/>
        <w:rPr>
          <w:rFonts w:ascii="Verdana" w:hAnsi="Verdana" w:cs="Verdana"/>
          <w:sz w:val="20"/>
          <w:szCs w:val="20"/>
          <w:lang w:val="es-CR"/>
        </w:rPr>
      </w:pPr>
    </w:p>
    <w:p w:rsidR="00F249DD" w:rsidRPr="00922392" w:rsidRDefault="00F249DD" w:rsidP="00120F89">
      <w:pPr>
        <w:jc w:val="both"/>
        <w:rPr>
          <w:rFonts w:ascii="Verdana" w:hAnsi="Verdana" w:cs="Verdana"/>
          <w:sz w:val="20"/>
          <w:szCs w:val="20"/>
          <w:lang w:val="es-CR"/>
        </w:rPr>
      </w:pPr>
      <w:smartTag w:uri="urn:schemas-microsoft-com:office:smarttags" w:element="PersonName">
        <w:smartTagPr>
          <w:attr w:name="ProductID" w:val="Pablo Saavedra"/>
        </w:smartTagPr>
        <w:r w:rsidRPr="00922392">
          <w:rPr>
            <w:rFonts w:ascii="Verdana" w:hAnsi="Verdana" w:cs="Verdana"/>
            <w:sz w:val="20"/>
            <w:szCs w:val="20"/>
            <w:lang w:val="es-CR"/>
          </w:rPr>
          <w:t>Pablo Saavedra</w:t>
        </w:r>
      </w:smartTag>
      <w:r w:rsidRPr="00922392">
        <w:rPr>
          <w:rFonts w:ascii="Verdana" w:hAnsi="Verdana" w:cs="Verdana"/>
          <w:sz w:val="20"/>
          <w:szCs w:val="20"/>
          <w:lang w:val="es-CR"/>
        </w:rPr>
        <w:t xml:space="preserve"> Alessandri, Secretario, </w:t>
      </w:r>
    </w:p>
    <w:p w:rsidR="00F249DD" w:rsidRPr="00922392" w:rsidRDefault="00F249DD" w:rsidP="00120F89">
      <w:pPr>
        <w:jc w:val="both"/>
        <w:rPr>
          <w:rFonts w:ascii="Verdana" w:hAnsi="Verdana" w:cs="Verdana"/>
          <w:sz w:val="20"/>
          <w:szCs w:val="20"/>
          <w:lang w:val="es-CR"/>
        </w:rPr>
      </w:pPr>
    </w:p>
    <w:p w:rsidR="00F249DD" w:rsidRDefault="00F249DD" w:rsidP="00120F89">
      <w:pPr>
        <w:jc w:val="both"/>
        <w:rPr>
          <w:rFonts w:ascii="Verdana" w:hAnsi="Verdana" w:cs="Verdana"/>
          <w:sz w:val="20"/>
          <w:szCs w:val="20"/>
          <w:lang w:val="es-CR"/>
        </w:rPr>
      </w:pPr>
      <w:r w:rsidRPr="00922392">
        <w:rPr>
          <w:rFonts w:ascii="Verdana" w:hAnsi="Verdana" w:cs="Verdana"/>
          <w:sz w:val="20"/>
          <w:szCs w:val="20"/>
          <w:lang w:val="es-CR"/>
        </w:rPr>
        <w:t xml:space="preserve">de conformidad con los artículos 62.3 y 63.1 de la Convención Americana sobre Derechos </w:t>
      </w:r>
      <w:r w:rsidRPr="0043397E">
        <w:rPr>
          <w:rFonts w:ascii="Verdana" w:hAnsi="Verdana" w:cs="Verdana"/>
          <w:sz w:val="20"/>
          <w:szCs w:val="20"/>
          <w:lang w:val="es-CR"/>
        </w:rPr>
        <w:t xml:space="preserve">Humanos (en adelante “la Convención Americana” o “la Convención”) y con los artículos 30, 32, </w:t>
      </w:r>
      <w:r w:rsidRPr="0043397E">
        <w:rPr>
          <w:rFonts w:ascii="Verdana" w:hAnsi="Verdana" w:cs="Verdana"/>
          <w:sz w:val="20"/>
          <w:szCs w:val="20"/>
          <w:lang w:val="es-CR"/>
        </w:rPr>
        <w:lastRenderedPageBreak/>
        <w:t>38, 56, 57, 58 y 61 del Reglamento de la Corte</w:t>
      </w:r>
      <w:r>
        <w:rPr>
          <w:rStyle w:val="Refdenotaalpie"/>
          <w:rFonts w:ascii="Verdana" w:hAnsi="Verdana"/>
          <w:sz w:val="20"/>
          <w:szCs w:val="20"/>
          <w:lang w:val="es-CR"/>
        </w:rPr>
        <w:footnoteReference w:customMarkFollows="1" w:id="3"/>
        <w:sym w:font="Symbol" w:char="F02A"/>
      </w:r>
      <w:r>
        <w:rPr>
          <w:rStyle w:val="Refdenotaalpie"/>
          <w:rFonts w:ascii="Verdana" w:hAnsi="Verdana"/>
          <w:sz w:val="20"/>
          <w:szCs w:val="20"/>
          <w:lang w:val="es-CR"/>
        </w:rPr>
        <w:sym w:font="Symbol" w:char="F02A"/>
      </w:r>
      <w:r>
        <w:rPr>
          <w:rStyle w:val="Refdenotaalpie"/>
          <w:rFonts w:ascii="Verdana" w:hAnsi="Verdana"/>
          <w:sz w:val="20"/>
          <w:szCs w:val="20"/>
          <w:lang w:val="es-CR"/>
        </w:rPr>
        <w:sym w:font="Symbol" w:char="F02A"/>
      </w:r>
      <w:r w:rsidRPr="0043397E">
        <w:rPr>
          <w:rFonts w:ascii="Verdana" w:hAnsi="Verdana" w:cs="Verdana"/>
          <w:sz w:val="20"/>
          <w:szCs w:val="20"/>
          <w:lang w:val="es-CR"/>
        </w:rPr>
        <w:t xml:space="preserve"> (</w:t>
      </w:r>
      <w:r w:rsidRPr="00922392">
        <w:rPr>
          <w:rFonts w:ascii="Verdana" w:hAnsi="Verdana" w:cs="Verdana"/>
          <w:sz w:val="20"/>
          <w:szCs w:val="20"/>
          <w:lang w:val="es-CR"/>
        </w:rPr>
        <w:t>en adelante “el Reglamento”), dicta la presente Sentencia.</w:t>
      </w:r>
    </w:p>
    <w:p w:rsidR="00F249DD" w:rsidRPr="00922392" w:rsidRDefault="00F249DD" w:rsidP="00120F89">
      <w:pPr>
        <w:jc w:val="both"/>
        <w:rPr>
          <w:rFonts w:ascii="Verdana" w:hAnsi="Verdana" w:cs="Verdana"/>
          <w:sz w:val="20"/>
          <w:szCs w:val="20"/>
          <w:lang w:val="es-CR"/>
        </w:rPr>
      </w:pPr>
    </w:p>
    <w:p w:rsidR="00F249DD" w:rsidRPr="00922392" w:rsidRDefault="00F249DD" w:rsidP="00922392">
      <w:pPr>
        <w:rPr>
          <w:lang w:val="es-CR"/>
        </w:rPr>
      </w:pPr>
    </w:p>
    <w:p w:rsidR="00F249DD" w:rsidRPr="00D31A53" w:rsidRDefault="00F249DD" w:rsidP="009944FD">
      <w:pPr>
        <w:jc w:val="center"/>
        <w:rPr>
          <w:rFonts w:ascii="Verdana" w:hAnsi="Verdana"/>
          <w:b/>
          <w:caps/>
          <w:sz w:val="20"/>
          <w:szCs w:val="20"/>
          <w:lang w:val="es-MX"/>
        </w:rPr>
      </w:pPr>
      <w:r>
        <w:rPr>
          <w:rFonts w:ascii="Verdana" w:hAnsi="Verdana"/>
          <w:smallCaps/>
          <w:sz w:val="20"/>
          <w:szCs w:val="20"/>
          <w:lang w:val="es-CR"/>
        </w:rPr>
        <w:br w:type="page"/>
      </w:r>
      <w:r w:rsidRPr="00D31A53">
        <w:rPr>
          <w:rFonts w:ascii="Verdana" w:hAnsi="Verdana"/>
          <w:b/>
          <w:caps/>
          <w:sz w:val="20"/>
          <w:szCs w:val="20"/>
          <w:lang w:val="es-MX"/>
        </w:rPr>
        <w:lastRenderedPageBreak/>
        <w:t>Corte Interamericana de Derechos Humanos</w:t>
      </w:r>
    </w:p>
    <w:p w:rsidR="00F249DD" w:rsidRPr="002B1152" w:rsidRDefault="00F249DD" w:rsidP="009944FD">
      <w:pPr>
        <w:jc w:val="center"/>
        <w:rPr>
          <w:rFonts w:ascii="Verdana" w:hAnsi="Verdana"/>
          <w:b/>
          <w:caps/>
          <w:sz w:val="20"/>
          <w:szCs w:val="20"/>
          <w:lang w:val="es-MX"/>
        </w:rPr>
      </w:pPr>
      <w:r w:rsidRPr="00D31A53">
        <w:rPr>
          <w:rFonts w:ascii="Verdana" w:hAnsi="Verdana"/>
          <w:b/>
          <w:caps/>
          <w:sz w:val="20"/>
          <w:szCs w:val="20"/>
          <w:lang w:val="es-MX"/>
        </w:rPr>
        <w:t xml:space="preserve">Caso Mejía Idrovo </w:t>
      </w:r>
      <w:r w:rsidRPr="00D31A53">
        <w:rPr>
          <w:rFonts w:ascii="Verdana" w:hAnsi="Verdana"/>
          <w:b/>
          <w:i/>
          <w:caps/>
          <w:sz w:val="20"/>
          <w:szCs w:val="20"/>
          <w:lang w:val="es-MX"/>
        </w:rPr>
        <w:t>vs.</w:t>
      </w:r>
      <w:r w:rsidRPr="00D31A53">
        <w:rPr>
          <w:rFonts w:ascii="Verdana" w:hAnsi="Verdana"/>
          <w:b/>
          <w:caps/>
          <w:sz w:val="20"/>
          <w:szCs w:val="20"/>
          <w:lang w:val="es-MX"/>
        </w:rPr>
        <w:t xml:space="preserve"> Ecuador</w:t>
      </w:r>
    </w:p>
    <w:p w:rsidR="00F249DD" w:rsidRPr="002B1152" w:rsidRDefault="00F249DD" w:rsidP="009944FD">
      <w:pPr>
        <w:jc w:val="center"/>
        <w:rPr>
          <w:b/>
          <w:bCs/>
          <w:i/>
          <w:caps/>
          <w:sz w:val="20"/>
          <w:szCs w:val="20"/>
          <w:lang w:val="es-MX"/>
        </w:rPr>
      </w:pPr>
    </w:p>
    <w:p w:rsidR="00F249DD" w:rsidRPr="00EE3F03" w:rsidRDefault="00AD52A8" w:rsidP="006957E5">
      <w:pPr>
        <w:pStyle w:val="TDC1"/>
        <w:tabs>
          <w:tab w:val="left" w:pos="480"/>
        </w:tabs>
        <w:ind w:right="1296"/>
        <w:rPr>
          <w:rFonts w:ascii="Calibri" w:hAnsi="Calibri"/>
          <w:b w:val="0"/>
          <w:bCs w:val="0"/>
          <w:caps w:val="0"/>
          <w:sz w:val="22"/>
          <w:szCs w:val="22"/>
          <w:lang w:val="en-US"/>
        </w:rPr>
      </w:pPr>
      <w:r w:rsidRPr="00AD52A8">
        <w:fldChar w:fldCharType="begin"/>
      </w:r>
      <w:r w:rsidR="00F249DD">
        <w:instrText xml:space="preserve"> TOC \o "1-3" \h \z \u </w:instrText>
      </w:r>
      <w:r w:rsidRPr="00AD52A8">
        <w:fldChar w:fldCharType="separate"/>
      </w:r>
      <w:hyperlink w:anchor="_Toc295986401" w:history="1">
        <w:r w:rsidR="00F249DD" w:rsidRPr="00EE3F03">
          <w:rPr>
            <w:rStyle w:val="Hipervnculo"/>
            <w:u w:val="none"/>
          </w:rPr>
          <w:t>I.</w:t>
        </w:r>
        <w:r w:rsidR="00F249DD" w:rsidRPr="00EE3F03">
          <w:rPr>
            <w:rFonts w:ascii="Calibri" w:hAnsi="Calibri"/>
            <w:b w:val="0"/>
            <w:bCs w:val="0"/>
            <w:caps w:val="0"/>
            <w:sz w:val="22"/>
            <w:szCs w:val="22"/>
            <w:lang w:val="en-US"/>
          </w:rPr>
          <w:tab/>
        </w:r>
        <w:r w:rsidR="00F249DD" w:rsidRPr="00EE3F03">
          <w:rPr>
            <w:rStyle w:val="Hipervnculo"/>
            <w:u w:val="none"/>
          </w:rPr>
          <w:t>Introducción a la Causa y objeto de la Controversia</w:t>
        </w:r>
        <w:r w:rsidR="00F249DD" w:rsidRPr="00EE3F03">
          <w:rPr>
            <w:webHidden/>
          </w:rPr>
          <w:tab/>
        </w:r>
        <w:r w:rsidRPr="00EE3F03">
          <w:rPr>
            <w:webHidden/>
          </w:rPr>
          <w:fldChar w:fldCharType="begin"/>
        </w:r>
        <w:r w:rsidR="00F249DD" w:rsidRPr="00EE3F03">
          <w:rPr>
            <w:webHidden/>
          </w:rPr>
          <w:instrText xml:space="preserve"> PAGEREF _Toc295986401 \h </w:instrText>
        </w:r>
        <w:r w:rsidRPr="00EE3F03">
          <w:rPr>
            <w:webHidden/>
          </w:rPr>
        </w:r>
        <w:r w:rsidRPr="00EE3F03">
          <w:rPr>
            <w:webHidden/>
          </w:rPr>
          <w:fldChar w:fldCharType="separate"/>
        </w:r>
        <w:r w:rsidR="00405E66">
          <w:rPr>
            <w:webHidden/>
          </w:rPr>
          <w:t>3</w:t>
        </w:r>
        <w:r w:rsidRPr="00EE3F03">
          <w:rPr>
            <w:webHidden/>
          </w:rPr>
          <w:fldChar w:fldCharType="end"/>
        </w:r>
      </w:hyperlink>
    </w:p>
    <w:p w:rsidR="00F249DD" w:rsidRPr="00EE3F03" w:rsidRDefault="00AD52A8" w:rsidP="006957E5">
      <w:pPr>
        <w:pStyle w:val="TDC1"/>
        <w:tabs>
          <w:tab w:val="left" w:pos="480"/>
        </w:tabs>
        <w:ind w:right="1296"/>
        <w:rPr>
          <w:rFonts w:ascii="Calibri" w:hAnsi="Calibri"/>
          <w:b w:val="0"/>
          <w:bCs w:val="0"/>
          <w:caps w:val="0"/>
          <w:sz w:val="22"/>
          <w:szCs w:val="22"/>
          <w:lang w:val="en-US"/>
        </w:rPr>
      </w:pPr>
      <w:hyperlink w:anchor="_Toc295986402" w:history="1">
        <w:r w:rsidR="00F249DD" w:rsidRPr="00EE3F03">
          <w:rPr>
            <w:rStyle w:val="Hipervnculo"/>
            <w:u w:val="none"/>
          </w:rPr>
          <w:t>II.</w:t>
        </w:r>
        <w:r w:rsidR="00F249DD" w:rsidRPr="00EE3F03">
          <w:rPr>
            <w:rFonts w:ascii="Calibri" w:hAnsi="Calibri"/>
            <w:b w:val="0"/>
            <w:bCs w:val="0"/>
            <w:caps w:val="0"/>
            <w:sz w:val="22"/>
            <w:szCs w:val="22"/>
            <w:lang w:val="en-US"/>
          </w:rPr>
          <w:tab/>
        </w:r>
        <w:r w:rsidR="00F249DD" w:rsidRPr="00EE3F03">
          <w:rPr>
            <w:rStyle w:val="Hipervnculo"/>
            <w:u w:val="none"/>
          </w:rPr>
          <w:t>Procedimiento ante la Corte</w:t>
        </w:r>
        <w:r w:rsidR="00F249DD" w:rsidRPr="00EE3F03">
          <w:rPr>
            <w:webHidden/>
          </w:rPr>
          <w:tab/>
        </w:r>
        <w:r w:rsidRPr="00EE3F03">
          <w:rPr>
            <w:webHidden/>
          </w:rPr>
          <w:fldChar w:fldCharType="begin"/>
        </w:r>
        <w:r w:rsidR="00F249DD" w:rsidRPr="00EE3F03">
          <w:rPr>
            <w:webHidden/>
          </w:rPr>
          <w:instrText xml:space="preserve"> PAGEREF _Toc295986402 \h </w:instrText>
        </w:r>
        <w:r w:rsidRPr="00EE3F03">
          <w:rPr>
            <w:webHidden/>
          </w:rPr>
        </w:r>
        <w:r w:rsidRPr="00EE3F03">
          <w:rPr>
            <w:webHidden/>
          </w:rPr>
          <w:fldChar w:fldCharType="separate"/>
        </w:r>
        <w:r w:rsidR="00405E66">
          <w:rPr>
            <w:webHidden/>
          </w:rPr>
          <w:t>4</w:t>
        </w:r>
        <w:r w:rsidRPr="00EE3F03">
          <w:rPr>
            <w:webHidden/>
          </w:rPr>
          <w:fldChar w:fldCharType="end"/>
        </w:r>
      </w:hyperlink>
    </w:p>
    <w:p w:rsidR="00F249DD" w:rsidRPr="00EE3F03" w:rsidRDefault="00AD52A8" w:rsidP="006957E5">
      <w:pPr>
        <w:pStyle w:val="TDC1"/>
        <w:tabs>
          <w:tab w:val="left" w:pos="720"/>
        </w:tabs>
        <w:ind w:right="1296"/>
        <w:rPr>
          <w:rFonts w:ascii="Calibri" w:hAnsi="Calibri"/>
          <w:b w:val="0"/>
          <w:bCs w:val="0"/>
          <w:caps w:val="0"/>
          <w:sz w:val="22"/>
          <w:szCs w:val="22"/>
          <w:lang w:val="en-US"/>
        </w:rPr>
      </w:pPr>
      <w:hyperlink w:anchor="_Toc295986403" w:history="1">
        <w:r w:rsidR="00F249DD" w:rsidRPr="00EE3F03">
          <w:rPr>
            <w:rStyle w:val="Hipervnculo"/>
            <w:u w:val="none"/>
          </w:rPr>
          <w:t>III.</w:t>
        </w:r>
        <w:r w:rsidR="00F249DD" w:rsidRPr="00EE3F03">
          <w:rPr>
            <w:rFonts w:ascii="Calibri" w:hAnsi="Calibri"/>
            <w:b w:val="0"/>
            <w:bCs w:val="0"/>
            <w:caps w:val="0"/>
            <w:sz w:val="22"/>
            <w:szCs w:val="22"/>
            <w:lang w:val="en-US"/>
          </w:rPr>
          <w:tab/>
        </w:r>
        <w:r w:rsidR="00F249DD" w:rsidRPr="00EE3F03">
          <w:rPr>
            <w:rStyle w:val="Hipervnculo"/>
            <w:u w:val="none"/>
          </w:rPr>
          <w:t>Excepciones Preliminares</w:t>
        </w:r>
        <w:r w:rsidR="00F249DD" w:rsidRPr="00EE3F03">
          <w:rPr>
            <w:webHidden/>
          </w:rPr>
          <w:tab/>
        </w:r>
        <w:r w:rsidRPr="00EE3F03">
          <w:rPr>
            <w:webHidden/>
          </w:rPr>
          <w:fldChar w:fldCharType="begin"/>
        </w:r>
        <w:r w:rsidR="00F249DD" w:rsidRPr="00EE3F03">
          <w:rPr>
            <w:webHidden/>
          </w:rPr>
          <w:instrText xml:space="preserve"> PAGEREF _Toc295986403 \h </w:instrText>
        </w:r>
        <w:r w:rsidRPr="00EE3F03">
          <w:rPr>
            <w:webHidden/>
          </w:rPr>
        </w:r>
        <w:r w:rsidRPr="00EE3F03">
          <w:rPr>
            <w:webHidden/>
          </w:rPr>
          <w:fldChar w:fldCharType="separate"/>
        </w:r>
        <w:r w:rsidR="00405E66">
          <w:rPr>
            <w:webHidden/>
          </w:rPr>
          <w:t>5</w:t>
        </w:r>
        <w:r w:rsidRPr="00EE3F03">
          <w:rPr>
            <w:webHidden/>
          </w:rPr>
          <w:fldChar w:fldCharType="end"/>
        </w:r>
      </w:hyperlink>
    </w:p>
    <w:p w:rsidR="00F249DD" w:rsidRPr="00EE3F03" w:rsidRDefault="00AD52A8" w:rsidP="006957E5">
      <w:pPr>
        <w:pStyle w:val="TDC2"/>
        <w:tabs>
          <w:tab w:val="left" w:pos="720"/>
          <w:tab w:val="right" w:leader="dot" w:pos="8630"/>
        </w:tabs>
        <w:ind w:right="1296"/>
        <w:rPr>
          <w:rFonts w:ascii="Calibri" w:hAnsi="Calibri"/>
          <w:smallCaps w:val="0"/>
          <w:noProof/>
          <w:sz w:val="22"/>
          <w:szCs w:val="22"/>
        </w:rPr>
      </w:pPr>
      <w:hyperlink w:anchor="_Toc295986404" w:history="1">
        <w:r w:rsidR="00F249DD" w:rsidRPr="00EE3F03">
          <w:rPr>
            <w:rStyle w:val="Hipervnculo"/>
            <w:noProof/>
            <w:u w:val="none"/>
            <w:lang w:val="es-MX"/>
          </w:rPr>
          <w:t>A.</w:t>
        </w:r>
        <w:r w:rsidR="00F249DD" w:rsidRPr="00EE3F03">
          <w:rPr>
            <w:rFonts w:ascii="Calibri" w:hAnsi="Calibri"/>
            <w:smallCaps w:val="0"/>
            <w:noProof/>
            <w:sz w:val="22"/>
            <w:szCs w:val="22"/>
          </w:rPr>
          <w:tab/>
        </w:r>
        <w:r w:rsidR="00F249DD" w:rsidRPr="00EE3F03">
          <w:rPr>
            <w:rStyle w:val="Hipervnculo"/>
            <w:noProof/>
            <w:u w:val="none"/>
            <w:lang w:val="es-MX"/>
          </w:rPr>
          <w:t>Tribunal de Alzada o de Cuarta Instancia</w:t>
        </w:r>
        <w:r w:rsidR="00F249DD" w:rsidRPr="00EE3F03">
          <w:rPr>
            <w:noProof/>
            <w:webHidden/>
          </w:rPr>
          <w:tab/>
        </w:r>
        <w:r w:rsidRPr="00EE3F03">
          <w:rPr>
            <w:noProof/>
            <w:webHidden/>
          </w:rPr>
          <w:fldChar w:fldCharType="begin"/>
        </w:r>
        <w:r w:rsidR="00F249DD" w:rsidRPr="00EE3F03">
          <w:rPr>
            <w:noProof/>
            <w:webHidden/>
          </w:rPr>
          <w:instrText xml:space="preserve"> PAGEREF _Toc295986404 \h </w:instrText>
        </w:r>
        <w:r w:rsidRPr="00EE3F03">
          <w:rPr>
            <w:noProof/>
            <w:webHidden/>
          </w:rPr>
        </w:r>
        <w:r w:rsidRPr="00EE3F03">
          <w:rPr>
            <w:noProof/>
            <w:webHidden/>
          </w:rPr>
          <w:fldChar w:fldCharType="separate"/>
        </w:r>
        <w:r w:rsidR="00405E66">
          <w:rPr>
            <w:noProof/>
            <w:webHidden/>
          </w:rPr>
          <w:t>5</w:t>
        </w:r>
        <w:r w:rsidRPr="00EE3F03">
          <w:rPr>
            <w:noProof/>
            <w:webHidden/>
          </w:rPr>
          <w:fldChar w:fldCharType="end"/>
        </w:r>
      </w:hyperlink>
    </w:p>
    <w:p w:rsidR="00F249DD" w:rsidRPr="00EE3F03" w:rsidRDefault="00AD52A8" w:rsidP="006957E5">
      <w:pPr>
        <w:pStyle w:val="TDC2"/>
        <w:tabs>
          <w:tab w:val="left" w:pos="720"/>
          <w:tab w:val="right" w:leader="dot" w:pos="8630"/>
        </w:tabs>
        <w:ind w:right="1296"/>
        <w:rPr>
          <w:rFonts w:ascii="Calibri" w:hAnsi="Calibri"/>
          <w:smallCaps w:val="0"/>
          <w:noProof/>
          <w:sz w:val="22"/>
          <w:szCs w:val="22"/>
        </w:rPr>
      </w:pPr>
      <w:hyperlink w:anchor="_Toc295986405" w:history="1">
        <w:r w:rsidR="00F249DD" w:rsidRPr="00EE3F03">
          <w:rPr>
            <w:rStyle w:val="Hipervnculo"/>
            <w:noProof/>
            <w:u w:val="none"/>
            <w:lang w:val="es-MX"/>
          </w:rPr>
          <w:t>B.</w:t>
        </w:r>
        <w:r w:rsidR="00F249DD" w:rsidRPr="00EE3F03">
          <w:rPr>
            <w:rFonts w:ascii="Calibri" w:hAnsi="Calibri"/>
            <w:smallCaps w:val="0"/>
            <w:noProof/>
            <w:sz w:val="22"/>
            <w:szCs w:val="22"/>
          </w:rPr>
          <w:tab/>
        </w:r>
        <w:r w:rsidR="00F249DD" w:rsidRPr="00EE3F03">
          <w:rPr>
            <w:rStyle w:val="Hipervnculo"/>
            <w:noProof/>
            <w:u w:val="none"/>
            <w:lang w:val="es-MX"/>
          </w:rPr>
          <w:t>Falta de agotamiento de los recursos de la jurisdicción interna</w:t>
        </w:r>
        <w:r w:rsidR="00F249DD" w:rsidRPr="00EE3F03">
          <w:rPr>
            <w:noProof/>
            <w:webHidden/>
          </w:rPr>
          <w:tab/>
        </w:r>
        <w:r w:rsidRPr="00EE3F03">
          <w:rPr>
            <w:noProof/>
            <w:webHidden/>
          </w:rPr>
          <w:fldChar w:fldCharType="begin"/>
        </w:r>
        <w:r w:rsidR="00F249DD" w:rsidRPr="00EE3F03">
          <w:rPr>
            <w:noProof/>
            <w:webHidden/>
          </w:rPr>
          <w:instrText xml:space="preserve"> PAGEREF _Toc295986405 \h </w:instrText>
        </w:r>
        <w:r w:rsidRPr="00EE3F03">
          <w:rPr>
            <w:noProof/>
            <w:webHidden/>
          </w:rPr>
        </w:r>
        <w:r w:rsidRPr="00EE3F03">
          <w:rPr>
            <w:noProof/>
            <w:webHidden/>
          </w:rPr>
          <w:fldChar w:fldCharType="separate"/>
        </w:r>
        <w:r w:rsidR="00405E66">
          <w:rPr>
            <w:noProof/>
            <w:webHidden/>
          </w:rPr>
          <w:t>8</w:t>
        </w:r>
        <w:r w:rsidRPr="00EE3F03">
          <w:rPr>
            <w:noProof/>
            <w:webHidden/>
          </w:rPr>
          <w:fldChar w:fldCharType="end"/>
        </w:r>
      </w:hyperlink>
    </w:p>
    <w:p w:rsidR="00F249DD" w:rsidRPr="00EE3F03" w:rsidRDefault="00AD52A8" w:rsidP="006957E5">
      <w:pPr>
        <w:pStyle w:val="TDC1"/>
        <w:tabs>
          <w:tab w:val="left" w:pos="720"/>
        </w:tabs>
        <w:ind w:right="1296"/>
        <w:rPr>
          <w:rFonts w:ascii="Calibri" w:hAnsi="Calibri"/>
          <w:b w:val="0"/>
          <w:bCs w:val="0"/>
          <w:caps w:val="0"/>
          <w:sz w:val="22"/>
          <w:szCs w:val="22"/>
          <w:lang w:val="en-US"/>
        </w:rPr>
      </w:pPr>
      <w:hyperlink w:anchor="_Toc295986406" w:history="1">
        <w:r w:rsidR="00F249DD" w:rsidRPr="00EE3F03">
          <w:rPr>
            <w:rStyle w:val="Hipervnculo"/>
            <w:u w:val="none"/>
          </w:rPr>
          <w:t>IV.</w:t>
        </w:r>
        <w:r w:rsidR="00F249DD" w:rsidRPr="00EE3F03">
          <w:rPr>
            <w:rFonts w:ascii="Calibri" w:hAnsi="Calibri"/>
            <w:b w:val="0"/>
            <w:bCs w:val="0"/>
            <w:caps w:val="0"/>
            <w:sz w:val="22"/>
            <w:szCs w:val="22"/>
            <w:lang w:val="en-US"/>
          </w:rPr>
          <w:tab/>
        </w:r>
        <w:r w:rsidR="00F249DD" w:rsidRPr="00EE3F03">
          <w:rPr>
            <w:rStyle w:val="Hipervnculo"/>
            <w:u w:val="none"/>
          </w:rPr>
          <w:t>Competencia</w:t>
        </w:r>
        <w:r w:rsidR="00F249DD" w:rsidRPr="00EE3F03">
          <w:rPr>
            <w:webHidden/>
          </w:rPr>
          <w:tab/>
        </w:r>
        <w:r w:rsidRPr="00EE3F03">
          <w:rPr>
            <w:webHidden/>
          </w:rPr>
          <w:fldChar w:fldCharType="begin"/>
        </w:r>
        <w:r w:rsidR="00F249DD" w:rsidRPr="00EE3F03">
          <w:rPr>
            <w:webHidden/>
          </w:rPr>
          <w:instrText xml:space="preserve"> PAGEREF _Toc295986406 \h </w:instrText>
        </w:r>
        <w:r w:rsidRPr="00EE3F03">
          <w:rPr>
            <w:webHidden/>
          </w:rPr>
        </w:r>
        <w:r w:rsidRPr="00EE3F03">
          <w:rPr>
            <w:webHidden/>
          </w:rPr>
          <w:fldChar w:fldCharType="separate"/>
        </w:r>
        <w:r w:rsidR="00405E66">
          <w:rPr>
            <w:webHidden/>
          </w:rPr>
          <w:t>10</w:t>
        </w:r>
        <w:r w:rsidRPr="00EE3F03">
          <w:rPr>
            <w:webHidden/>
          </w:rPr>
          <w:fldChar w:fldCharType="end"/>
        </w:r>
      </w:hyperlink>
    </w:p>
    <w:p w:rsidR="00F249DD" w:rsidRPr="00EE3F03" w:rsidRDefault="00AD52A8" w:rsidP="006957E5">
      <w:pPr>
        <w:pStyle w:val="TDC1"/>
        <w:tabs>
          <w:tab w:val="left" w:pos="480"/>
        </w:tabs>
        <w:ind w:right="1296"/>
        <w:rPr>
          <w:rFonts w:ascii="Calibri" w:hAnsi="Calibri"/>
          <w:b w:val="0"/>
          <w:bCs w:val="0"/>
          <w:caps w:val="0"/>
          <w:sz w:val="22"/>
          <w:szCs w:val="22"/>
          <w:lang w:val="en-US"/>
        </w:rPr>
      </w:pPr>
      <w:hyperlink w:anchor="_Toc295986407" w:history="1">
        <w:r w:rsidR="00F249DD" w:rsidRPr="00EE3F03">
          <w:rPr>
            <w:rStyle w:val="Hipervnculo"/>
            <w:u w:val="none"/>
          </w:rPr>
          <w:t>V.</w:t>
        </w:r>
        <w:r w:rsidR="00F249DD" w:rsidRPr="00EE3F03">
          <w:rPr>
            <w:rFonts w:ascii="Calibri" w:hAnsi="Calibri"/>
            <w:b w:val="0"/>
            <w:bCs w:val="0"/>
            <w:caps w:val="0"/>
            <w:sz w:val="22"/>
            <w:szCs w:val="22"/>
            <w:lang w:val="en-US"/>
          </w:rPr>
          <w:tab/>
        </w:r>
        <w:r w:rsidR="00F249DD" w:rsidRPr="00EE3F03">
          <w:rPr>
            <w:rStyle w:val="Hipervnculo"/>
            <w:u w:val="none"/>
          </w:rPr>
          <w:t>Prueba</w:t>
        </w:r>
        <w:r w:rsidR="00F249DD" w:rsidRPr="00EE3F03">
          <w:rPr>
            <w:webHidden/>
          </w:rPr>
          <w:tab/>
        </w:r>
        <w:r w:rsidRPr="00EE3F03">
          <w:rPr>
            <w:webHidden/>
          </w:rPr>
          <w:fldChar w:fldCharType="begin"/>
        </w:r>
        <w:r w:rsidR="00F249DD" w:rsidRPr="00EE3F03">
          <w:rPr>
            <w:webHidden/>
          </w:rPr>
          <w:instrText xml:space="preserve"> PAGEREF _Toc295986407 \h </w:instrText>
        </w:r>
        <w:r w:rsidRPr="00EE3F03">
          <w:rPr>
            <w:webHidden/>
          </w:rPr>
        </w:r>
        <w:r w:rsidRPr="00EE3F03">
          <w:rPr>
            <w:webHidden/>
          </w:rPr>
          <w:fldChar w:fldCharType="separate"/>
        </w:r>
        <w:r w:rsidR="00405E66">
          <w:rPr>
            <w:webHidden/>
          </w:rPr>
          <w:t>10</w:t>
        </w:r>
        <w:r w:rsidRPr="00EE3F03">
          <w:rPr>
            <w:webHidden/>
          </w:rPr>
          <w:fldChar w:fldCharType="end"/>
        </w:r>
      </w:hyperlink>
    </w:p>
    <w:p w:rsidR="00F249DD" w:rsidRPr="00EE3F03" w:rsidRDefault="00AD52A8" w:rsidP="006957E5">
      <w:pPr>
        <w:pStyle w:val="TDC2"/>
        <w:tabs>
          <w:tab w:val="left" w:pos="720"/>
          <w:tab w:val="right" w:leader="dot" w:pos="8630"/>
        </w:tabs>
        <w:ind w:right="1296"/>
        <w:rPr>
          <w:rFonts w:ascii="Calibri" w:hAnsi="Calibri"/>
          <w:smallCaps w:val="0"/>
          <w:noProof/>
          <w:sz w:val="22"/>
          <w:szCs w:val="22"/>
        </w:rPr>
      </w:pPr>
      <w:hyperlink w:anchor="_Toc295986408" w:history="1">
        <w:r w:rsidR="00F249DD" w:rsidRPr="00EE3F03">
          <w:rPr>
            <w:rStyle w:val="Hipervnculo"/>
            <w:noProof/>
            <w:u w:val="none"/>
          </w:rPr>
          <w:t>A.</w:t>
        </w:r>
        <w:r w:rsidR="00F249DD" w:rsidRPr="00EE3F03">
          <w:rPr>
            <w:rFonts w:ascii="Calibri" w:hAnsi="Calibri"/>
            <w:smallCaps w:val="0"/>
            <w:noProof/>
            <w:sz w:val="22"/>
            <w:szCs w:val="22"/>
          </w:rPr>
          <w:tab/>
        </w:r>
        <w:r w:rsidR="00F249DD" w:rsidRPr="00EE3F03">
          <w:rPr>
            <w:rStyle w:val="Hipervnculo"/>
            <w:noProof/>
            <w:u w:val="none"/>
            <w:lang w:val="es-MX"/>
          </w:rPr>
          <w:t xml:space="preserve">Declaración de la </w:t>
        </w:r>
        <w:r w:rsidR="00F249DD" w:rsidRPr="00EE3F03">
          <w:rPr>
            <w:rStyle w:val="Hipervnculo"/>
            <w:noProof/>
            <w:u w:val="none"/>
          </w:rPr>
          <w:t>presunta víctima y prueba pericial</w:t>
        </w:r>
        <w:r w:rsidR="00F249DD" w:rsidRPr="00EE3F03">
          <w:rPr>
            <w:noProof/>
            <w:webHidden/>
          </w:rPr>
          <w:tab/>
        </w:r>
        <w:r w:rsidRPr="00EE3F03">
          <w:rPr>
            <w:noProof/>
            <w:webHidden/>
          </w:rPr>
          <w:fldChar w:fldCharType="begin"/>
        </w:r>
        <w:r w:rsidR="00F249DD" w:rsidRPr="00EE3F03">
          <w:rPr>
            <w:noProof/>
            <w:webHidden/>
          </w:rPr>
          <w:instrText xml:space="preserve"> PAGEREF _Toc295986408 \h </w:instrText>
        </w:r>
        <w:r w:rsidRPr="00EE3F03">
          <w:rPr>
            <w:noProof/>
            <w:webHidden/>
          </w:rPr>
        </w:r>
        <w:r w:rsidRPr="00EE3F03">
          <w:rPr>
            <w:noProof/>
            <w:webHidden/>
          </w:rPr>
          <w:fldChar w:fldCharType="separate"/>
        </w:r>
        <w:r w:rsidR="00405E66">
          <w:rPr>
            <w:noProof/>
            <w:webHidden/>
          </w:rPr>
          <w:t>11</w:t>
        </w:r>
        <w:r w:rsidRPr="00EE3F03">
          <w:rPr>
            <w:noProof/>
            <w:webHidden/>
          </w:rPr>
          <w:fldChar w:fldCharType="end"/>
        </w:r>
      </w:hyperlink>
    </w:p>
    <w:p w:rsidR="00F249DD" w:rsidRPr="00EE3F03" w:rsidRDefault="00AD52A8" w:rsidP="006957E5">
      <w:pPr>
        <w:pStyle w:val="TDC2"/>
        <w:tabs>
          <w:tab w:val="left" w:pos="720"/>
          <w:tab w:val="right" w:leader="dot" w:pos="8630"/>
        </w:tabs>
        <w:ind w:right="1296"/>
        <w:rPr>
          <w:rFonts w:ascii="Calibri" w:hAnsi="Calibri"/>
          <w:smallCaps w:val="0"/>
          <w:noProof/>
          <w:sz w:val="22"/>
          <w:szCs w:val="22"/>
        </w:rPr>
      </w:pPr>
      <w:hyperlink w:anchor="_Toc295986409" w:history="1">
        <w:r w:rsidR="00F249DD" w:rsidRPr="00EE3F03">
          <w:rPr>
            <w:rStyle w:val="Hipervnculo"/>
            <w:noProof/>
            <w:u w:val="none"/>
            <w:lang w:val="es-MX"/>
          </w:rPr>
          <w:t>B.</w:t>
        </w:r>
        <w:r w:rsidR="00F249DD" w:rsidRPr="00EE3F03">
          <w:rPr>
            <w:rFonts w:ascii="Calibri" w:hAnsi="Calibri"/>
            <w:smallCaps w:val="0"/>
            <w:noProof/>
            <w:sz w:val="22"/>
            <w:szCs w:val="22"/>
          </w:rPr>
          <w:tab/>
        </w:r>
        <w:r w:rsidR="00F249DD" w:rsidRPr="00EE3F03">
          <w:rPr>
            <w:rStyle w:val="Hipervnculo"/>
            <w:noProof/>
            <w:u w:val="none"/>
            <w:lang w:val="es-MX"/>
          </w:rPr>
          <w:t>Admisión de la prueba documental</w:t>
        </w:r>
        <w:r w:rsidR="00F249DD" w:rsidRPr="00EE3F03">
          <w:rPr>
            <w:noProof/>
            <w:webHidden/>
          </w:rPr>
          <w:tab/>
        </w:r>
        <w:r w:rsidRPr="00EE3F03">
          <w:rPr>
            <w:noProof/>
            <w:webHidden/>
          </w:rPr>
          <w:fldChar w:fldCharType="begin"/>
        </w:r>
        <w:r w:rsidR="00F249DD" w:rsidRPr="00EE3F03">
          <w:rPr>
            <w:noProof/>
            <w:webHidden/>
          </w:rPr>
          <w:instrText xml:space="preserve"> PAGEREF _Toc295986409 \h </w:instrText>
        </w:r>
        <w:r w:rsidRPr="00EE3F03">
          <w:rPr>
            <w:noProof/>
            <w:webHidden/>
          </w:rPr>
        </w:r>
        <w:r w:rsidRPr="00EE3F03">
          <w:rPr>
            <w:noProof/>
            <w:webHidden/>
          </w:rPr>
          <w:fldChar w:fldCharType="separate"/>
        </w:r>
        <w:r w:rsidR="00405E66">
          <w:rPr>
            <w:noProof/>
            <w:webHidden/>
          </w:rPr>
          <w:t>11</w:t>
        </w:r>
        <w:r w:rsidRPr="00EE3F03">
          <w:rPr>
            <w:noProof/>
            <w:webHidden/>
          </w:rPr>
          <w:fldChar w:fldCharType="end"/>
        </w:r>
      </w:hyperlink>
    </w:p>
    <w:p w:rsidR="00F249DD" w:rsidRPr="00EE3F03" w:rsidRDefault="00AD52A8" w:rsidP="006957E5">
      <w:pPr>
        <w:pStyle w:val="TDC2"/>
        <w:tabs>
          <w:tab w:val="left" w:pos="720"/>
          <w:tab w:val="right" w:leader="dot" w:pos="8630"/>
        </w:tabs>
        <w:ind w:right="1296"/>
        <w:rPr>
          <w:rFonts w:ascii="Calibri" w:hAnsi="Calibri"/>
          <w:smallCaps w:val="0"/>
          <w:noProof/>
          <w:sz w:val="22"/>
          <w:szCs w:val="22"/>
        </w:rPr>
      </w:pPr>
      <w:hyperlink w:anchor="_Toc295986410" w:history="1">
        <w:r w:rsidR="00F249DD" w:rsidRPr="00EE3F03">
          <w:rPr>
            <w:rStyle w:val="Hipervnculo"/>
            <w:noProof/>
            <w:u w:val="none"/>
            <w:lang w:val="es-MX"/>
          </w:rPr>
          <w:t>C.</w:t>
        </w:r>
        <w:r w:rsidR="00F249DD" w:rsidRPr="00EE3F03">
          <w:rPr>
            <w:rFonts w:ascii="Calibri" w:hAnsi="Calibri"/>
            <w:smallCaps w:val="0"/>
            <w:noProof/>
            <w:sz w:val="22"/>
            <w:szCs w:val="22"/>
          </w:rPr>
          <w:tab/>
        </w:r>
        <w:r w:rsidR="00F249DD" w:rsidRPr="00EE3F03">
          <w:rPr>
            <w:rStyle w:val="Hipervnculo"/>
            <w:noProof/>
            <w:u w:val="none"/>
            <w:lang w:val="es-MX"/>
          </w:rPr>
          <w:t>Admisión de la declaración de la presunta víctima y la prueba  pericial</w:t>
        </w:r>
        <w:r w:rsidR="00F249DD" w:rsidRPr="00EE3F03">
          <w:rPr>
            <w:noProof/>
            <w:webHidden/>
          </w:rPr>
          <w:tab/>
        </w:r>
        <w:r w:rsidRPr="00EE3F03">
          <w:rPr>
            <w:noProof/>
            <w:webHidden/>
          </w:rPr>
          <w:fldChar w:fldCharType="begin"/>
        </w:r>
        <w:r w:rsidR="00F249DD" w:rsidRPr="00EE3F03">
          <w:rPr>
            <w:noProof/>
            <w:webHidden/>
          </w:rPr>
          <w:instrText xml:space="preserve"> PAGEREF _Toc295986410 \h </w:instrText>
        </w:r>
        <w:r w:rsidRPr="00EE3F03">
          <w:rPr>
            <w:noProof/>
            <w:webHidden/>
          </w:rPr>
        </w:r>
        <w:r w:rsidRPr="00EE3F03">
          <w:rPr>
            <w:noProof/>
            <w:webHidden/>
          </w:rPr>
          <w:fldChar w:fldCharType="separate"/>
        </w:r>
        <w:r w:rsidR="00405E66">
          <w:rPr>
            <w:noProof/>
            <w:webHidden/>
          </w:rPr>
          <w:t>13</w:t>
        </w:r>
        <w:r w:rsidRPr="00EE3F03">
          <w:rPr>
            <w:noProof/>
            <w:webHidden/>
          </w:rPr>
          <w:fldChar w:fldCharType="end"/>
        </w:r>
      </w:hyperlink>
    </w:p>
    <w:p w:rsidR="00F249DD" w:rsidRPr="00EE3F03" w:rsidRDefault="00AD52A8" w:rsidP="006957E5">
      <w:pPr>
        <w:pStyle w:val="TDC1"/>
        <w:ind w:right="1296"/>
        <w:rPr>
          <w:rFonts w:ascii="Calibri" w:hAnsi="Calibri"/>
          <w:b w:val="0"/>
          <w:bCs w:val="0"/>
          <w:caps w:val="0"/>
          <w:sz w:val="22"/>
          <w:szCs w:val="22"/>
          <w:lang w:val="en-US"/>
        </w:rPr>
      </w:pPr>
      <w:hyperlink w:anchor="_Toc295986411" w:history="1">
        <w:r w:rsidR="00F249DD" w:rsidRPr="00EE3F03">
          <w:rPr>
            <w:rStyle w:val="Hipervnculo"/>
            <w:u w:val="none"/>
          </w:rPr>
          <w:t>VI.</w:t>
        </w:r>
      </w:hyperlink>
      <w:r w:rsidR="00F249DD" w:rsidRPr="00EE3F03">
        <w:rPr>
          <w:rStyle w:val="Hipervnculo"/>
          <w:u w:val="none"/>
        </w:rPr>
        <w:t xml:space="preserve">  </w:t>
      </w:r>
      <w:hyperlink w:anchor="_Toc295986412" w:history="1">
        <w:r w:rsidR="00F249DD" w:rsidRPr="00EE3F03">
          <w:rPr>
            <w:rStyle w:val="Hipervnculo"/>
            <w:u w:val="none"/>
          </w:rPr>
          <w:t>Artículos 8 y 25 de la Convención Americana</w:t>
        </w:r>
        <w:r w:rsidR="00F249DD" w:rsidRPr="00EE3F03">
          <w:rPr>
            <w:webHidden/>
          </w:rPr>
          <w:tab/>
        </w:r>
        <w:r w:rsidRPr="00EE3F03">
          <w:rPr>
            <w:webHidden/>
          </w:rPr>
          <w:fldChar w:fldCharType="begin"/>
        </w:r>
        <w:r w:rsidR="00F249DD" w:rsidRPr="00EE3F03">
          <w:rPr>
            <w:webHidden/>
          </w:rPr>
          <w:instrText xml:space="preserve"> PAGEREF _Toc295986412 \h </w:instrText>
        </w:r>
        <w:r w:rsidRPr="00EE3F03">
          <w:rPr>
            <w:webHidden/>
          </w:rPr>
        </w:r>
        <w:r w:rsidRPr="00EE3F03">
          <w:rPr>
            <w:webHidden/>
          </w:rPr>
          <w:fldChar w:fldCharType="separate"/>
        </w:r>
        <w:r w:rsidR="00405E66">
          <w:rPr>
            <w:webHidden/>
          </w:rPr>
          <w:t>13</w:t>
        </w:r>
        <w:r w:rsidRPr="00EE3F03">
          <w:rPr>
            <w:webHidden/>
          </w:rPr>
          <w:fldChar w:fldCharType="end"/>
        </w:r>
      </w:hyperlink>
    </w:p>
    <w:p w:rsidR="00F249DD" w:rsidRPr="00EE3F03" w:rsidRDefault="00AD52A8" w:rsidP="006957E5">
      <w:pPr>
        <w:pStyle w:val="TDC2"/>
        <w:tabs>
          <w:tab w:val="left" w:pos="720"/>
          <w:tab w:val="right" w:leader="dot" w:pos="8630"/>
        </w:tabs>
        <w:ind w:right="1296"/>
        <w:rPr>
          <w:rFonts w:ascii="Calibri" w:hAnsi="Calibri"/>
          <w:smallCaps w:val="0"/>
          <w:noProof/>
          <w:sz w:val="22"/>
          <w:szCs w:val="22"/>
        </w:rPr>
      </w:pPr>
      <w:hyperlink w:anchor="_Toc295986413" w:history="1">
        <w:r w:rsidR="00F249DD" w:rsidRPr="00EE3F03">
          <w:rPr>
            <w:rStyle w:val="Hipervnculo"/>
            <w:noProof/>
            <w:u w:val="none"/>
          </w:rPr>
          <w:t>A.</w:t>
        </w:r>
        <w:r w:rsidR="00F249DD" w:rsidRPr="00EE3F03">
          <w:rPr>
            <w:rFonts w:ascii="Calibri" w:hAnsi="Calibri"/>
            <w:smallCaps w:val="0"/>
            <w:noProof/>
            <w:sz w:val="22"/>
            <w:szCs w:val="22"/>
          </w:rPr>
          <w:tab/>
        </w:r>
        <w:r w:rsidR="00F249DD" w:rsidRPr="00EE3F03">
          <w:rPr>
            <w:rStyle w:val="Hipervnculo"/>
            <w:noProof/>
            <w:u w:val="none"/>
          </w:rPr>
          <w:t>Hechos Relevantes</w:t>
        </w:r>
        <w:r w:rsidR="00F249DD" w:rsidRPr="00EE3F03">
          <w:rPr>
            <w:noProof/>
            <w:webHidden/>
          </w:rPr>
          <w:tab/>
        </w:r>
        <w:r w:rsidRPr="00EE3F03">
          <w:rPr>
            <w:noProof/>
            <w:webHidden/>
          </w:rPr>
          <w:fldChar w:fldCharType="begin"/>
        </w:r>
        <w:r w:rsidR="00F249DD" w:rsidRPr="00EE3F03">
          <w:rPr>
            <w:noProof/>
            <w:webHidden/>
          </w:rPr>
          <w:instrText xml:space="preserve"> PAGEREF _Toc295986413 \h </w:instrText>
        </w:r>
        <w:r w:rsidRPr="00EE3F03">
          <w:rPr>
            <w:noProof/>
            <w:webHidden/>
          </w:rPr>
        </w:r>
        <w:r w:rsidRPr="00EE3F03">
          <w:rPr>
            <w:noProof/>
            <w:webHidden/>
          </w:rPr>
          <w:fldChar w:fldCharType="separate"/>
        </w:r>
        <w:r w:rsidR="00405E66">
          <w:rPr>
            <w:noProof/>
            <w:webHidden/>
          </w:rPr>
          <w:t>13</w:t>
        </w:r>
        <w:r w:rsidRPr="00EE3F03">
          <w:rPr>
            <w:noProof/>
            <w:webHidden/>
          </w:rPr>
          <w:fldChar w:fldCharType="end"/>
        </w:r>
      </w:hyperlink>
    </w:p>
    <w:p w:rsidR="00F249DD" w:rsidRPr="00EE3F03" w:rsidRDefault="00AD52A8" w:rsidP="006957E5">
      <w:pPr>
        <w:pStyle w:val="TDC2"/>
        <w:tabs>
          <w:tab w:val="left" w:pos="720"/>
          <w:tab w:val="right" w:leader="dot" w:pos="8630"/>
        </w:tabs>
        <w:ind w:right="1296"/>
        <w:rPr>
          <w:rFonts w:ascii="Calibri" w:hAnsi="Calibri"/>
          <w:smallCaps w:val="0"/>
          <w:noProof/>
          <w:sz w:val="22"/>
          <w:szCs w:val="22"/>
        </w:rPr>
      </w:pPr>
      <w:hyperlink w:anchor="_Toc295986414" w:history="1">
        <w:r w:rsidR="00F249DD" w:rsidRPr="00EE3F03">
          <w:rPr>
            <w:rStyle w:val="Hipervnculo"/>
            <w:noProof/>
            <w:u w:val="none"/>
          </w:rPr>
          <w:t>B.</w:t>
        </w:r>
        <w:r w:rsidR="00F249DD" w:rsidRPr="00EE3F03">
          <w:rPr>
            <w:rFonts w:ascii="Calibri" w:hAnsi="Calibri"/>
            <w:smallCaps w:val="0"/>
            <w:noProof/>
            <w:sz w:val="22"/>
            <w:szCs w:val="22"/>
          </w:rPr>
          <w:tab/>
        </w:r>
        <w:r w:rsidR="00F249DD" w:rsidRPr="00EE3F03">
          <w:rPr>
            <w:rStyle w:val="Hipervnculo"/>
            <w:noProof/>
            <w:u w:val="none"/>
          </w:rPr>
          <w:t xml:space="preserve">Garantías del proceso en los trámites ante </w:t>
        </w:r>
        <w:r w:rsidR="00F249DD" w:rsidRPr="00EE3F03">
          <w:rPr>
            <w:rStyle w:val="Hipervnculo"/>
            <w:noProof/>
            <w:u w:val="none"/>
            <w:lang w:val="es-CR"/>
          </w:rPr>
          <w:t xml:space="preserve">el Consejo de Oficiales Generales de la Fuerza Terrestre, y ante el Tribunal Constitucional </w:t>
        </w:r>
        <w:r w:rsidR="00F249DD" w:rsidRPr="00EE3F03">
          <w:rPr>
            <w:rStyle w:val="Hipervnculo"/>
            <w:noProof/>
            <w:u w:val="none"/>
          </w:rPr>
          <w:t>(Artículo 8 de la Convención Americana)</w:t>
        </w:r>
        <w:r w:rsidR="00F249DD" w:rsidRPr="00EE3F03">
          <w:rPr>
            <w:noProof/>
            <w:webHidden/>
          </w:rPr>
          <w:tab/>
        </w:r>
        <w:r w:rsidRPr="00EE3F03">
          <w:rPr>
            <w:noProof/>
            <w:webHidden/>
          </w:rPr>
          <w:fldChar w:fldCharType="begin"/>
        </w:r>
        <w:r w:rsidR="00F249DD" w:rsidRPr="00EE3F03">
          <w:rPr>
            <w:noProof/>
            <w:webHidden/>
          </w:rPr>
          <w:instrText xml:space="preserve"> PAGEREF _Toc295986414 \h </w:instrText>
        </w:r>
        <w:r w:rsidRPr="00EE3F03">
          <w:rPr>
            <w:noProof/>
            <w:webHidden/>
          </w:rPr>
        </w:r>
        <w:r w:rsidRPr="00EE3F03">
          <w:rPr>
            <w:noProof/>
            <w:webHidden/>
          </w:rPr>
          <w:fldChar w:fldCharType="separate"/>
        </w:r>
        <w:r w:rsidR="00405E66">
          <w:rPr>
            <w:noProof/>
            <w:webHidden/>
          </w:rPr>
          <w:t>20</w:t>
        </w:r>
        <w:r w:rsidRPr="00EE3F03">
          <w:rPr>
            <w:noProof/>
            <w:webHidden/>
          </w:rPr>
          <w:fldChar w:fldCharType="end"/>
        </w:r>
      </w:hyperlink>
    </w:p>
    <w:p w:rsidR="00F249DD" w:rsidRPr="00EE3F03" w:rsidRDefault="00AD52A8" w:rsidP="006957E5">
      <w:pPr>
        <w:pStyle w:val="TDC3"/>
        <w:tabs>
          <w:tab w:val="left" w:pos="960"/>
          <w:tab w:val="right" w:leader="dot" w:pos="8630"/>
        </w:tabs>
        <w:ind w:right="1296"/>
        <w:rPr>
          <w:rFonts w:ascii="Calibri" w:hAnsi="Calibri"/>
          <w:i w:val="0"/>
          <w:iCs w:val="0"/>
          <w:noProof/>
          <w:sz w:val="22"/>
          <w:szCs w:val="22"/>
        </w:rPr>
      </w:pPr>
      <w:hyperlink w:anchor="_Toc295986415" w:history="1">
        <w:r w:rsidR="00F249DD" w:rsidRPr="00EE3F03">
          <w:rPr>
            <w:rStyle w:val="Hipervnculo"/>
            <w:noProof/>
            <w:u w:val="none"/>
            <w:lang w:val="es-CR"/>
          </w:rPr>
          <w:t>a)</w:t>
        </w:r>
        <w:r w:rsidR="00F249DD" w:rsidRPr="00EE3F03">
          <w:rPr>
            <w:rFonts w:ascii="Calibri" w:hAnsi="Calibri"/>
            <w:i w:val="0"/>
            <w:iCs w:val="0"/>
            <w:noProof/>
            <w:sz w:val="22"/>
            <w:szCs w:val="22"/>
          </w:rPr>
          <w:tab/>
        </w:r>
        <w:r w:rsidR="00F249DD" w:rsidRPr="00EE3F03">
          <w:rPr>
            <w:rStyle w:val="Hipervnculo"/>
            <w:noProof/>
            <w:u w:val="none"/>
            <w:lang w:val="es-CR"/>
          </w:rPr>
          <w:t>Falta de motivación ante el Consejo de Oficiales Generales de la Fuerza Terrestre</w:t>
        </w:r>
        <w:r w:rsidR="00F249DD" w:rsidRPr="00EE3F03">
          <w:rPr>
            <w:noProof/>
            <w:webHidden/>
          </w:rPr>
          <w:tab/>
        </w:r>
        <w:r w:rsidRPr="00EE3F03">
          <w:rPr>
            <w:noProof/>
            <w:webHidden/>
          </w:rPr>
          <w:fldChar w:fldCharType="begin"/>
        </w:r>
        <w:r w:rsidR="00F249DD" w:rsidRPr="00EE3F03">
          <w:rPr>
            <w:noProof/>
            <w:webHidden/>
          </w:rPr>
          <w:instrText xml:space="preserve"> PAGEREF _Toc295986415 \h </w:instrText>
        </w:r>
        <w:r w:rsidRPr="00EE3F03">
          <w:rPr>
            <w:noProof/>
            <w:webHidden/>
          </w:rPr>
        </w:r>
        <w:r w:rsidRPr="00EE3F03">
          <w:rPr>
            <w:noProof/>
            <w:webHidden/>
          </w:rPr>
          <w:fldChar w:fldCharType="separate"/>
        </w:r>
        <w:r w:rsidR="00405E66">
          <w:rPr>
            <w:noProof/>
            <w:webHidden/>
          </w:rPr>
          <w:t>20</w:t>
        </w:r>
        <w:r w:rsidRPr="00EE3F03">
          <w:rPr>
            <w:noProof/>
            <w:webHidden/>
          </w:rPr>
          <w:fldChar w:fldCharType="end"/>
        </w:r>
      </w:hyperlink>
    </w:p>
    <w:p w:rsidR="00F249DD" w:rsidRPr="00EE3F03" w:rsidRDefault="00AD52A8" w:rsidP="006957E5">
      <w:pPr>
        <w:pStyle w:val="TDC3"/>
        <w:tabs>
          <w:tab w:val="left" w:pos="960"/>
          <w:tab w:val="right" w:leader="dot" w:pos="8630"/>
        </w:tabs>
        <w:ind w:right="1296"/>
        <w:rPr>
          <w:rFonts w:ascii="Calibri" w:hAnsi="Calibri"/>
          <w:i w:val="0"/>
          <w:iCs w:val="0"/>
          <w:noProof/>
          <w:sz w:val="22"/>
          <w:szCs w:val="22"/>
        </w:rPr>
      </w:pPr>
      <w:hyperlink w:anchor="_Toc295986416" w:history="1">
        <w:r w:rsidR="00F249DD" w:rsidRPr="00EE3F03">
          <w:rPr>
            <w:rStyle w:val="Hipervnculo"/>
            <w:noProof/>
            <w:u w:val="none"/>
            <w:lang w:val="es-AR"/>
          </w:rPr>
          <w:t>b)</w:t>
        </w:r>
        <w:r w:rsidR="00F249DD" w:rsidRPr="00EE3F03">
          <w:rPr>
            <w:rFonts w:ascii="Calibri" w:hAnsi="Calibri"/>
            <w:i w:val="0"/>
            <w:iCs w:val="0"/>
            <w:noProof/>
            <w:sz w:val="22"/>
            <w:szCs w:val="22"/>
          </w:rPr>
          <w:tab/>
        </w:r>
        <w:r w:rsidR="00F249DD" w:rsidRPr="00EE3F03">
          <w:rPr>
            <w:rStyle w:val="Hipervnculo"/>
            <w:noProof/>
            <w:u w:val="none"/>
            <w:lang w:val="es-AR"/>
          </w:rPr>
          <w:t>Irregularidades en el trámite ante el Tribunal Constitucional</w:t>
        </w:r>
        <w:r w:rsidR="00F249DD" w:rsidRPr="00EE3F03">
          <w:rPr>
            <w:noProof/>
            <w:webHidden/>
          </w:rPr>
          <w:tab/>
        </w:r>
        <w:r w:rsidRPr="00EE3F03">
          <w:rPr>
            <w:noProof/>
            <w:webHidden/>
          </w:rPr>
          <w:fldChar w:fldCharType="begin"/>
        </w:r>
        <w:r w:rsidR="00F249DD" w:rsidRPr="00EE3F03">
          <w:rPr>
            <w:noProof/>
            <w:webHidden/>
          </w:rPr>
          <w:instrText xml:space="preserve"> PAGEREF _Toc295986416 \h </w:instrText>
        </w:r>
        <w:r w:rsidRPr="00EE3F03">
          <w:rPr>
            <w:noProof/>
            <w:webHidden/>
          </w:rPr>
        </w:r>
        <w:r w:rsidRPr="00EE3F03">
          <w:rPr>
            <w:noProof/>
            <w:webHidden/>
          </w:rPr>
          <w:fldChar w:fldCharType="separate"/>
        </w:r>
        <w:r w:rsidR="00405E66">
          <w:rPr>
            <w:noProof/>
            <w:webHidden/>
          </w:rPr>
          <w:t>21</w:t>
        </w:r>
        <w:r w:rsidRPr="00EE3F03">
          <w:rPr>
            <w:noProof/>
            <w:webHidden/>
          </w:rPr>
          <w:fldChar w:fldCharType="end"/>
        </w:r>
      </w:hyperlink>
    </w:p>
    <w:p w:rsidR="00F249DD" w:rsidRPr="00EE3F03" w:rsidRDefault="00AD52A8" w:rsidP="006957E5">
      <w:pPr>
        <w:pStyle w:val="TDC2"/>
        <w:tabs>
          <w:tab w:val="left" w:pos="720"/>
          <w:tab w:val="right" w:leader="dot" w:pos="8630"/>
        </w:tabs>
        <w:ind w:right="1296"/>
        <w:rPr>
          <w:rFonts w:ascii="Calibri" w:hAnsi="Calibri"/>
          <w:smallCaps w:val="0"/>
          <w:noProof/>
          <w:sz w:val="22"/>
          <w:szCs w:val="22"/>
        </w:rPr>
      </w:pPr>
      <w:hyperlink w:anchor="_Toc295986417" w:history="1">
        <w:r w:rsidR="00F249DD" w:rsidRPr="00EE3F03">
          <w:rPr>
            <w:rStyle w:val="Hipervnculo"/>
            <w:rFonts w:cs="Arial"/>
            <w:noProof/>
            <w:u w:val="none"/>
            <w:lang w:val="es-CR"/>
          </w:rPr>
          <w:t>C.</w:t>
        </w:r>
        <w:r w:rsidR="00F249DD" w:rsidRPr="00EE3F03">
          <w:rPr>
            <w:rFonts w:ascii="Calibri" w:hAnsi="Calibri"/>
            <w:smallCaps w:val="0"/>
            <w:noProof/>
            <w:sz w:val="22"/>
            <w:szCs w:val="22"/>
          </w:rPr>
          <w:tab/>
        </w:r>
        <w:r w:rsidR="00F249DD" w:rsidRPr="00EE3F03">
          <w:rPr>
            <w:rStyle w:val="Hipervnculo"/>
            <w:rFonts w:cs="Arial"/>
            <w:noProof/>
            <w:u w:val="none"/>
            <w:lang w:val="es-CR"/>
          </w:rPr>
          <w:t>Protección Judicial y tutela judicial efectiva en la ejecución de fallos (Artículo 25 de la Convención Americana)</w:t>
        </w:r>
        <w:r w:rsidR="00F249DD" w:rsidRPr="00EE3F03">
          <w:rPr>
            <w:noProof/>
            <w:webHidden/>
          </w:rPr>
          <w:tab/>
        </w:r>
        <w:r w:rsidRPr="00EE3F03">
          <w:rPr>
            <w:noProof/>
            <w:webHidden/>
          </w:rPr>
          <w:fldChar w:fldCharType="begin"/>
        </w:r>
        <w:r w:rsidR="00F249DD" w:rsidRPr="00EE3F03">
          <w:rPr>
            <w:noProof/>
            <w:webHidden/>
          </w:rPr>
          <w:instrText xml:space="preserve"> PAGEREF _Toc295986417 \h </w:instrText>
        </w:r>
        <w:r w:rsidRPr="00EE3F03">
          <w:rPr>
            <w:noProof/>
            <w:webHidden/>
          </w:rPr>
        </w:r>
        <w:r w:rsidRPr="00EE3F03">
          <w:rPr>
            <w:noProof/>
            <w:webHidden/>
          </w:rPr>
          <w:fldChar w:fldCharType="separate"/>
        </w:r>
        <w:r w:rsidR="00405E66">
          <w:rPr>
            <w:noProof/>
            <w:webHidden/>
          </w:rPr>
          <w:t>25</w:t>
        </w:r>
        <w:r w:rsidRPr="00EE3F03">
          <w:rPr>
            <w:noProof/>
            <w:webHidden/>
          </w:rPr>
          <w:fldChar w:fldCharType="end"/>
        </w:r>
      </w:hyperlink>
    </w:p>
    <w:p w:rsidR="00F249DD" w:rsidRPr="00EE3F03" w:rsidRDefault="00AD52A8" w:rsidP="006957E5">
      <w:pPr>
        <w:pStyle w:val="TDC3"/>
        <w:tabs>
          <w:tab w:val="right" w:leader="dot" w:pos="8630"/>
        </w:tabs>
        <w:ind w:right="1296"/>
        <w:rPr>
          <w:rFonts w:ascii="Calibri" w:hAnsi="Calibri"/>
          <w:i w:val="0"/>
          <w:iCs w:val="0"/>
          <w:noProof/>
          <w:sz w:val="22"/>
          <w:szCs w:val="22"/>
        </w:rPr>
      </w:pPr>
      <w:hyperlink w:anchor="_Toc295986418" w:history="1">
        <w:r w:rsidR="00F249DD" w:rsidRPr="00EE3F03">
          <w:rPr>
            <w:rStyle w:val="Hipervnculo"/>
            <w:noProof/>
            <w:u w:val="none"/>
            <w:lang w:val="es-CR"/>
          </w:rPr>
          <w:t xml:space="preserve">a) Efectividad del recurso de inconstitucionalidad </w:t>
        </w:r>
        <w:r w:rsidR="00F249DD" w:rsidRPr="00EE3F03">
          <w:rPr>
            <w:rStyle w:val="Hipervnculo"/>
            <w:noProof/>
            <w:u w:val="none"/>
            <w:lang w:val="es-ES"/>
          </w:rPr>
          <w:t>(Artículo 25.1 de la Convención Americana)</w:t>
        </w:r>
        <w:r w:rsidR="00F249DD" w:rsidRPr="00EE3F03">
          <w:rPr>
            <w:noProof/>
            <w:webHidden/>
          </w:rPr>
          <w:tab/>
        </w:r>
        <w:r w:rsidRPr="00EE3F03">
          <w:rPr>
            <w:noProof/>
            <w:webHidden/>
          </w:rPr>
          <w:fldChar w:fldCharType="begin"/>
        </w:r>
        <w:r w:rsidR="00F249DD" w:rsidRPr="00EE3F03">
          <w:rPr>
            <w:noProof/>
            <w:webHidden/>
          </w:rPr>
          <w:instrText xml:space="preserve"> PAGEREF _Toc295986418 \h </w:instrText>
        </w:r>
        <w:r w:rsidRPr="00EE3F03">
          <w:rPr>
            <w:noProof/>
            <w:webHidden/>
          </w:rPr>
        </w:r>
        <w:r w:rsidRPr="00EE3F03">
          <w:rPr>
            <w:noProof/>
            <w:webHidden/>
          </w:rPr>
          <w:fldChar w:fldCharType="separate"/>
        </w:r>
        <w:r w:rsidR="00405E66">
          <w:rPr>
            <w:noProof/>
            <w:webHidden/>
          </w:rPr>
          <w:t>26</w:t>
        </w:r>
        <w:r w:rsidRPr="00EE3F03">
          <w:rPr>
            <w:noProof/>
            <w:webHidden/>
          </w:rPr>
          <w:fldChar w:fldCharType="end"/>
        </w:r>
      </w:hyperlink>
    </w:p>
    <w:p w:rsidR="00F249DD" w:rsidRPr="00EE3F03" w:rsidRDefault="00AD52A8" w:rsidP="006957E5">
      <w:pPr>
        <w:pStyle w:val="TDC3"/>
        <w:tabs>
          <w:tab w:val="left" w:pos="960"/>
          <w:tab w:val="right" w:leader="dot" w:pos="8630"/>
        </w:tabs>
        <w:ind w:right="1296"/>
        <w:rPr>
          <w:rFonts w:ascii="Calibri" w:hAnsi="Calibri"/>
          <w:i w:val="0"/>
          <w:iCs w:val="0"/>
          <w:noProof/>
          <w:sz w:val="22"/>
          <w:szCs w:val="22"/>
        </w:rPr>
      </w:pPr>
      <w:hyperlink w:anchor="_Toc295986419" w:history="1">
        <w:r w:rsidR="00F249DD" w:rsidRPr="00EE3F03">
          <w:rPr>
            <w:rStyle w:val="Hipervnculo"/>
            <w:noProof/>
            <w:u w:val="none"/>
            <w:lang w:val="es-ES"/>
          </w:rPr>
          <w:t>b)</w:t>
        </w:r>
        <w:r w:rsidR="00F249DD">
          <w:rPr>
            <w:rFonts w:ascii="Calibri" w:hAnsi="Calibri"/>
            <w:i w:val="0"/>
            <w:iCs w:val="0"/>
            <w:noProof/>
            <w:sz w:val="22"/>
            <w:szCs w:val="22"/>
          </w:rPr>
          <w:t xml:space="preserve"> </w:t>
        </w:r>
        <w:r w:rsidR="00F249DD">
          <w:rPr>
            <w:rStyle w:val="Hipervnculo"/>
            <w:noProof/>
            <w:u w:val="none"/>
            <w:lang w:val="es-ES"/>
          </w:rPr>
          <w:t>T</w:t>
        </w:r>
        <w:r w:rsidR="00F249DD" w:rsidRPr="00EE3F03">
          <w:rPr>
            <w:rStyle w:val="Hipervnculo"/>
            <w:noProof/>
            <w:u w:val="none"/>
            <w:lang w:val="es-ES"/>
          </w:rPr>
          <w:t>utela judicial efectiva en la ejecución de fallos internos (Artículos 25.2.c) de la Convención Americana)</w:t>
        </w:r>
        <w:r w:rsidR="00F249DD" w:rsidRPr="00EE3F03">
          <w:rPr>
            <w:noProof/>
            <w:webHidden/>
          </w:rPr>
          <w:tab/>
        </w:r>
        <w:r w:rsidRPr="00EE3F03">
          <w:rPr>
            <w:noProof/>
            <w:webHidden/>
          </w:rPr>
          <w:fldChar w:fldCharType="begin"/>
        </w:r>
        <w:r w:rsidR="00F249DD" w:rsidRPr="00EE3F03">
          <w:rPr>
            <w:noProof/>
            <w:webHidden/>
          </w:rPr>
          <w:instrText xml:space="preserve"> PAGEREF _Toc295986419 \h </w:instrText>
        </w:r>
        <w:r w:rsidRPr="00EE3F03">
          <w:rPr>
            <w:noProof/>
            <w:webHidden/>
          </w:rPr>
        </w:r>
        <w:r w:rsidRPr="00EE3F03">
          <w:rPr>
            <w:noProof/>
            <w:webHidden/>
          </w:rPr>
          <w:fldChar w:fldCharType="separate"/>
        </w:r>
        <w:r w:rsidR="00405E66">
          <w:rPr>
            <w:noProof/>
            <w:webHidden/>
          </w:rPr>
          <w:t>29</w:t>
        </w:r>
        <w:r w:rsidRPr="00EE3F03">
          <w:rPr>
            <w:noProof/>
            <w:webHidden/>
          </w:rPr>
          <w:fldChar w:fldCharType="end"/>
        </w:r>
      </w:hyperlink>
    </w:p>
    <w:p w:rsidR="00F249DD" w:rsidRPr="00EE3F03" w:rsidRDefault="00AD52A8" w:rsidP="006957E5">
      <w:pPr>
        <w:pStyle w:val="TDC1"/>
        <w:ind w:right="1296"/>
        <w:rPr>
          <w:rFonts w:ascii="Calibri" w:hAnsi="Calibri"/>
          <w:b w:val="0"/>
          <w:bCs w:val="0"/>
          <w:caps w:val="0"/>
          <w:sz w:val="22"/>
          <w:szCs w:val="22"/>
          <w:lang w:val="en-US"/>
        </w:rPr>
      </w:pPr>
      <w:hyperlink w:anchor="_Toc295986420" w:history="1">
        <w:r w:rsidR="00F249DD" w:rsidRPr="00EE3F03">
          <w:rPr>
            <w:rStyle w:val="Hipervnculo"/>
            <w:u w:val="none"/>
            <w:lang w:val="es-ES"/>
          </w:rPr>
          <w:t>VII.</w:t>
        </w:r>
      </w:hyperlink>
      <w:r w:rsidR="00F249DD" w:rsidRPr="00EE3F03">
        <w:rPr>
          <w:rStyle w:val="Hipervnculo"/>
          <w:u w:val="none"/>
        </w:rPr>
        <w:t xml:space="preserve"> </w:t>
      </w:r>
      <w:r w:rsidR="00F249DD">
        <w:rPr>
          <w:rStyle w:val="Hipervnculo"/>
          <w:u w:val="none"/>
        </w:rPr>
        <w:t xml:space="preserve"> </w:t>
      </w:r>
      <w:hyperlink w:anchor="_Toc295986421" w:history="1">
        <w:r w:rsidR="00F249DD" w:rsidRPr="00EE3F03">
          <w:rPr>
            <w:rStyle w:val="Hipervnculo"/>
            <w:u w:val="none"/>
            <w:lang w:val="es-ES"/>
          </w:rPr>
          <w:t>Deber de Adoptar Disposiciones de Derecho Interno e Igualdad ante la Ley</w:t>
        </w:r>
      </w:hyperlink>
      <w:r w:rsidR="00F249DD" w:rsidRPr="00EE3F03">
        <w:rPr>
          <w:rStyle w:val="Hipervnculo"/>
          <w:u w:val="none"/>
        </w:rPr>
        <w:t xml:space="preserve"> </w:t>
      </w:r>
      <w:hyperlink w:anchor="_Toc295986422" w:history="1">
        <w:r w:rsidR="00F249DD" w:rsidRPr="00EE3F03">
          <w:rPr>
            <w:rStyle w:val="Hipervnculo"/>
            <w:u w:val="none"/>
            <w:lang w:val="es-ES"/>
          </w:rPr>
          <w:t>(Artículos 2 y 24 de la Convención Americana )</w:t>
        </w:r>
        <w:r w:rsidR="00F249DD" w:rsidRPr="00EE3F03">
          <w:rPr>
            <w:webHidden/>
          </w:rPr>
          <w:tab/>
        </w:r>
        <w:r w:rsidRPr="00EE3F03">
          <w:rPr>
            <w:webHidden/>
          </w:rPr>
          <w:fldChar w:fldCharType="begin"/>
        </w:r>
        <w:r w:rsidR="00F249DD" w:rsidRPr="00EE3F03">
          <w:rPr>
            <w:webHidden/>
          </w:rPr>
          <w:instrText xml:space="preserve"> PAGEREF _Toc295986422 \h </w:instrText>
        </w:r>
        <w:r w:rsidRPr="00EE3F03">
          <w:rPr>
            <w:webHidden/>
          </w:rPr>
        </w:r>
        <w:r w:rsidRPr="00EE3F03">
          <w:rPr>
            <w:webHidden/>
          </w:rPr>
          <w:fldChar w:fldCharType="separate"/>
        </w:r>
        <w:r w:rsidR="00405E66">
          <w:rPr>
            <w:webHidden/>
          </w:rPr>
          <w:t>32</w:t>
        </w:r>
        <w:r w:rsidRPr="00EE3F03">
          <w:rPr>
            <w:webHidden/>
          </w:rPr>
          <w:fldChar w:fldCharType="end"/>
        </w:r>
      </w:hyperlink>
    </w:p>
    <w:p w:rsidR="00F249DD" w:rsidRDefault="00AD52A8" w:rsidP="006957E5">
      <w:pPr>
        <w:pStyle w:val="TDC1"/>
        <w:ind w:right="1296"/>
        <w:rPr>
          <w:rFonts w:ascii="Calibri" w:hAnsi="Calibri"/>
          <w:b w:val="0"/>
          <w:bCs w:val="0"/>
          <w:caps w:val="0"/>
          <w:sz w:val="22"/>
          <w:szCs w:val="22"/>
          <w:lang w:val="en-US"/>
        </w:rPr>
      </w:pPr>
      <w:hyperlink w:anchor="_Toc295986423" w:history="1">
        <w:r w:rsidR="00F249DD" w:rsidRPr="00EE3F03">
          <w:rPr>
            <w:rStyle w:val="Hipervnculo"/>
            <w:u w:val="none"/>
            <w:lang w:val="es-ES"/>
          </w:rPr>
          <w:t>VIII.</w:t>
        </w:r>
      </w:hyperlink>
      <w:r w:rsidR="00F249DD" w:rsidRPr="00EE3F03">
        <w:rPr>
          <w:rStyle w:val="Hipervnculo"/>
          <w:u w:val="none"/>
        </w:rPr>
        <w:t xml:space="preserve">  </w:t>
      </w:r>
      <w:hyperlink w:anchor="_Toc295986424" w:history="1">
        <w:r w:rsidR="00F249DD" w:rsidRPr="00EE3F03">
          <w:rPr>
            <w:rStyle w:val="Hipervnculo"/>
            <w:u w:val="none"/>
            <w:lang w:val="es-ES"/>
          </w:rPr>
          <w:t>Reparaciones</w:t>
        </w:r>
      </w:hyperlink>
      <w:r w:rsidR="00F249DD" w:rsidRPr="00EE3F03">
        <w:rPr>
          <w:rStyle w:val="Hipervnculo"/>
          <w:u w:val="none"/>
        </w:rPr>
        <w:t xml:space="preserve"> </w:t>
      </w:r>
      <w:hyperlink w:anchor="_Toc295986425" w:history="1">
        <w:r w:rsidR="00F249DD" w:rsidRPr="00EE3F03">
          <w:rPr>
            <w:rStyle w:val="Hipervnculo"/>
            <w:u w:val="none"/>
            <w:lang w:val="es-ES"/>
          </w:rPr>
          <w:t>(Aplicación del artículo 63.1 de la Convención Americana</w:t>
        </w:r>
        <w:r w:rsidR="00F249DD" w:rsidRPr="00EE3F03">
          <w:rPr>
            <w:rStyle w:val="Hipervnculo"/>
            <w:rFonts w:cs="Verdana"/>
            <w:i/>
            <w:u w:val="none"/>
            <w:lang w:val="es-ES"/>
          </w:rPr>
          <w:t>)</w:t>
        </w:r>
        <w:r w:rsidR="00F249DD" w:rsidRPr="00EE3F03">
          <w:rPr>
            <w:webHidden/>
          </w:rPr>
          <w:tab/>
        </w:r>
        <w:r w:rsidRPr="00EE3F03">
          <w:rPr>
            <w:webHidden/>
          </w:rPr>
          <w:fldChar w:fldCharType="begin"/>
        </w:r>
        <w:r w:rsidR="00F249DD" w:rsidRPr="00EE3F03">
          <w:rPr>
            <w:webHidden/>
          </w:rPr>
          <w:instrText xml:space="preserve"> PAGEREF _Toc295986425 \h </w:instrText>
        </w:r>
        <w:r w:rsidRPr="00EE3F03">
          <w:rPr>
            <w:webHidden/>
          </w:rPr>
        </w:r>
        <w:r w:rsidRPr="00EE3F03">
          <w:rPr>
            <w:webHidden/>
          </w:rPr>
          <w:fldChar w:fldCharType="separate"/>
        </w:r>
        <w:r w:rsidR="00405E66">
          <w:rPr>
            <w:webHidden/>
          </w:rPr>
          <w:t>35</w:t>
        </w:r>
        <w:r w:rsidRPr="00EE3F03">
          <w:rPr>
            <w:webHidden/>
          </w:rPr>
          <w:fldChar w:fldCharType="end"/>
        </w:r>
      </w:hyperlink>
    </w:p>
    <w:p w:rsidR="00F249DD" w:rsidRDefault="00AD52A8" w:rsidP="009944FD">
      <w:pPr>
        <w:pStyle w:val="TDC2"/>
        <w:tabs>
          <w:tab w:val="left" w:pos="720"/>
          <w:tab w:val="right" w:leader="dot" w:pos="8630"/>
        </w:tabs>
        <w:rPr>
          <w:rFonts w:ascii="Calibri" w:hAnsi="Calibri"/>
          <w:smallCaps w:val="0"/>
          <w:noProof/>
          <w:sz w:val="22"/>
          <w:szCs w:val="22"/>
        </w:rPr>
      </w:pPr>
      <w:hyperlink w:anchor="_Toc295986426" w:history="1">
        <w:r w:rsidR="00F249DD" w:rsidRPr="00E63464">
          <w:rPr>
            <w:rStyle w:val="Hipervnculo"/>
            <w:noProof/>
            <w:lang w:val="es-ES"/>
          </w:rPr>
          <w:t>A.</w:t>
        </w:r>
        <w:r w:rsidR="00F249DD">
          <w:rPr>
            <w:rFonts w:ascii="Calibri" w:hAnsi="Calibri"/>
            <w:smallCaps w:val="0"/>
            <w:noProof/>
            <w:sz w:val="22"/>
            <w:szCs w:val="22"/>
          </w:rPr>
          <w:tab/>
        </w:r>
        <w:r w:rsidR="00F249DD" w:rsidRPr="00E63464">
          <w:rPr>
            <w:rStyle w:val="Hipervnculo"/>
            <w:noProof/>
            <w:lang w:val="es-ES"/>
          </w:rPr>
          <w:t>Parte Lesionada</w:t>
        </w:r>
        <w:r w:rsidR="00F249DD">
          <w:rPr>
            <w:noProof/>
            <w:webHidden/>
          </w:rPr>
          <w:tab/>
        </w:r>
        <w:r>
          <w:rPr>
            <w:noProof/>
            <w:webHidden/>
          </w:rPr>
          <w:fldChar w:fldCharType="begin"/>
        </w:r>
        <w:r w:rsidR="00F249DD">
          <w:rPr>
            <w:noProof/>
            <w:webHidden/>
          </w:rPr>
          <w:instrText xml:space="preserve"> PAGEREF _Toc295986426 \h </w:instrText>
        </w:r>
        <w:r>
          <w:rPr>
            <w:noProof/>
            <w:webHidden/>
          </w:rPr>
        </w:r>
        <w:r>
          <w:rPr>
            <w:noProof/>
            <w:webHidden/>
          </w:rPr>
          <w:fldChar w:fldCharType="separate"/>
        </w:r>
        <w:r w:rsidR="00405E66">
          <w:rPr>
            <w:noProof/>
            <w:webHidden/>
          </w:rPr>
          <w:t>36</w:t>
        </w:r>
        <w:r>
          <w:rPr>
            <w:noProof/>
            <w:webHidden/>
          </w:rPr>
          <w:fldChar w:fldCharType="end"/>
        </w:r>
      </w:hyperlink>
    </w:p>
    <w:p w:rsidR="00F249DD" w:rsidRDefault="00AD52A8" w:rsidP="009944FD">
      <w:pPr>
        <w:pStyle w:val="TDC2"/>
        <w:tabs>
          <w:tab w:val="left" w:pos="720"/>
          <w:tab w:val="right" w:leader="dot" w:pos="8630"/>
        </w:tabs>
        <w:rPr>
          <w:rFonts w:ascii="Calibri" w:hAnsi="Calibri"/>
          <w:smallCaps w:val="0"/>
          <w:noProof/>
          <w:sz w:val="22"/>
          <w:szCs w:val="22"/>
        </w:rPr>
      </w:pPr>
      <w:hyperlink w:anchor="_Toc295986427" w:history="1">
        <w:r w:rsidR="00F249DD" w:rsidRPr="00E63464">
          <w:rPr>
            <w:rStyle w:val="Hipervnculo"/>
            <w:noProof/>
            <w:lang w:val="es-ES"/>
          </w:rPr>
          <w:t>B.</w:t>
        </w:r>
        <w:r w:rsidR="00F249DD">
          <w:rPr>
            <w:rFonts w:ascii="Calibri" w:hAnsi="Calibri"/>
            <w:smallCaps w:val="0"/>
            <w:noProof/>
            <w:sz w:val="22"/>
            <w:szCs w:val="22"/>
          </w:rPr>
          <w:tab/>
        </w:r>
        <w:r w:rsidR="00F249DD" w:rsidRPr="00E63464">
          <w:rPr>
            <w:rStyle w:val="Hipervnculo"/>
            <w:noProof/>
            <w:lang w:val="es-ES"/>
          </w:rPr>
          <w:t>Medidas de reparación integral: restitución y satisfacción</w:t>
        </w:r>
        <w:r w:rsidR="00F249DD">
          <w:rPr>
            <w:noProof/>
            <w:webHidden/>
          </w:rPr>
          <w:tab/>
        </w:r>
        <w:r>
          <w:rPr>
            <w:noProof/>
            <w:webHidden/>
          </w:rPr>
          <w:fldChar w:fldCharType="begin"/>
        </w:r>
        <w:r w:rsidR="00F249DD">
          <w:rPr>
            <w:noProof/>
            <w:webHidden/>
          </w:rPr>
          <w:instrText xml:space="preserve"> PAGEREF _Toc295986427 \h </w:instrText>
        </w:r>
        <w:r>
          <w:rPr>
            <w:noProof/>
            <w:webHidden/>
          </w:rPr>
        </w:r>
        <w:r>
          <w:rPr>
            <w:noProof/>
            <w:webHidden/>
          </w:rPr>
          <w:fldChar w:fldCharType="separate"/>
        </w:r>
        <w:r w:rsidR="00405E66">
          <w:rPr>
            <w:noProof/>
            <w:webHidden/>
          </w:rPr>
          <w:t>37</w:t>
        </w:r>
        <w:r>
          <w:rPr>
            <w:noProof/>
            <w:webHidden/>
          </w:rPr>
          <w:fldChar w:fldCharType="end"/>
        </w:r>
      </w:hyperlink>
    </w:p>
    <w:p w:rsidR="00F249DD" w:rsidRDefault="00AD52A8" w:rsidP="009944FD">
      <w:pPr>
        <w:pStyle w:val="TDC2"/>
        <w:tabs>
          <w:tab w:val="left" w:pos="720"/>
          <w:tab w:val="right" w:leader="dot" w:pos="8630"/>
        </w:tabs>
        <w:rPr>
          <w:rFonts w:ascii="Calibri" w:hAnsi="Calibri"/>
          <w:smallCaps w:val="0"/>
          <w:noProof/>
          <w:sz w:val="22"/>
          <w:szCs w:val="22"/>
        </w:rPr>
      </w:pPr>
      <w:hyperlink w:anchor="_Toc295986428" w:history="1">
        <w:r w:rsidR="00F249DD" w:rsidRPr="00E63464">
          <w:rPr>
            <w:rStyle w:val="Hipervnculo"/>
            <w:noProof/>
            <w:lang w:val="es-ES"/>
          </w:rPr>
          <w:t>C.</w:t>
        </w:r>
        <w:r w:rsidR="00F249DD">
          <w:rPr>
            <w:rFonts w:ascii="Calibri" w:hAnsi="Calibri"/>
            <w:smallCaps w:val="0"/>
            <w:noProof/>
            <w:sz w:val="22"/>
            <w:szCs w:val="22"/>
          </w:rPr>
          <w:tab/>
        </w:r>
        <w:r w:rsidR="00F249DD" w:rsidRPr="00E63464">
          <w:rPr>
            <w:rStyle w:val="Hipervnculo"/>
            <w:noProof/>
            <w:lang w:val="es-ES"/>
          </w:rPr>
          <w:t>Otras medidas de reparación solicitadas</w:t>
        </w:r>
        <w:r w:rsidR="00F249DD">
          <w:rPr>
            <w:noProof/>
            <w:webHidden/>
          </w:rPr>
          <w:tab/>
        </w:r>
        <w:r>
          <w:rPr>
            <w:noProof/>
            <w:webHidden/>
          </w:rPr>
          <w:fldChar w:fldCharType="begin"/>
        </w:r>
        <w:r w:rsidR="00F249DD">
          <w:rPr>
            <w:noProof/>
            <w:webHidden/>
          </w:rPr>
          <w:instrText xml:space="preserve"> PAGEREF _Toc295986428 \h </w:instrText>
        </w:r>
        <w:r>
          <w:rPr>
            <w:noProof/>
            <w:webHidden/>
          </w:rPr>
        </w:r>
        <w:r>
          <w:rPr>
            <w:noProof/>
            <w:webHidden/>
          </w:rPr>
          <w:fldChar w:fldCharType="separate"/>
        </w:r>
        <w:r w:rsidR="00405E66">
          <w:rPr>
            <w:noProof/>
            <w:webHidden/>
          </w:rPr>
          <w:t>39</w:t>
        </w:r>
        <w:r>
          <w:rPr>
            <w:noProof/>
            <w:webHidden/>
          </w:rPr>
          <w:fldChar w:fldCharType="end"/>
        </w:r>
      </w:hyperlink>
    </w:p>
    <w:p w:rsidR="00F249DD" w:rsidRDefault="00AD52A8" w:rsidP="009944FD">
      <w:pPr>
        <w:pStyle w:val="TDC2"/>
        <w:tabs>
          <w:tab w:val="left" w:pos="720"/>
          <w:tab w:val="right" w:leader="dot" w:pos="8630"/>
        </w:tabs>
        <w:rPr>
          <w:rFonts w:ascii="Calibri" w:hAnsi="Calibri"/>
          <w:smallCaps w:val="0"/>
          <w:noProof/>
          <w:sz w:val="22"/>
          <w:szCs w:val="22"/>
        </w:rPr>
      </w:pPr>
      <w:hyperlink w:anchor="_Toc295986429" w:history="1">
        <w:r w:rsidR="00F249DD" w:rsidRPr="00E63464">
          <w:rPr>
            <w:rStyle w:val="Hipervnculo"/>
            <w:noProof/>
            <w:lang w:val="es-ES"/>
          </w:rPr>
          <w:t>D.</w:t>
        </w:r>
        <w:r w:rsidR="00F249DD">
          <w:rPr>
            <w:rFonts w:ascii="Calibri" w:hAnsi="Calibri"/>
            <w:smallCaps w:val="0"/>
            <w:noProof/>
            <w:sz w:val="22"/>
            <w:szCs w:val="22"/>
          </w:rPr>
          <w:tab/>
        </w:r>
        <w:r w:rsidR="00F249DD" w:rsidRPr="00E63464">
          <w:rPr>
            <w:rStyle w:val="Hipervnculo"/>
            <w:noProof/>
            <w:lang w:val="es-ES"/>
          </w:rPr>
          <w:t>Indemnización Compensatoria por daños materiales e inmateriales</w:t>
        </w:r>
        <w:r w:rsidR="00F249DD">
          <w:rPr>
            <w:noProof/>
            <w:webHidden/>
          </w:rPr>
          <w:tab/>
        </w:r>
        <w:r>
          <w:rPr>
            <w:noProof/>
            <w:webHidden/>
          </w:rPr>
          <w:fldChar w:fldCharType="begin"/>
        </w:r>
        <w:r w:rsidR="00F249DD">
          <w:rPr>
            <w:noProof/>
            <w:webHidden/>
          </w:rPr>
          <w:instrText xml:space="preserve"> PAGEREF _Toc295986429 \h </w:instrText>
        </w:r>
        <w:r>
          <w:rPr>
            <w:noProof/>
            <w:webHidden/>
          </w:rPr>
        </w:r>
        <w:r>
          <w:rPr>
            <w:noProof/>
            <w:webHidden/>
          </w:rPr>
          <w:fldChar w:fldCharType="separate"/>
        </w:r>
        <w:r w:rsidR="00405E66">
          <w:rPr>
            <w:noProof/>
            <w:webHidden/>
          </w:rPr>
          <w:t>39</w:t>
        </w:r>
        <w:r>
          <w:rPr>
            <w:noProof/>
            <w:webHidden/>
          </w:rPr>
          <w:fldChar w:fldCharType="end"/>
        </w:r>
      </w:hyperlink>
    </w:p>
    <w:p w:rsidR="00F249DD" w:rsidRDefault="00AD52A8" w:rsidP="009944FD">
      <w:pPr>
        <w:pStyle w:val="TDC2"/>
        <w:tabs>
          <w:tab w:val="left" w:pos="720"/>
          <w:tab w:val="right" w:leader="dot" w:pos="8630"/>
        </w:tabs>
        <w:rPr>
          <w:rFonts w:ascii="Calibri" w:hAnsi="Calibri"/>
          <w:smallCaps w:val="0"/>
          <w:noProof/>
          <w:sz w:val="22"/>
          <w:szCs w:val="22"/>
        </w:rPr>
      </w:pPr>
      <w:hyperlink w:anchor="_Toc295986430" w:history="1">
        <w:r w:rsidR="00F249DD" w:rsidRPr="00E63464">
          <w:rPr>
            <w:rStyle w:val="Hipervnculo"/>
            <w:noProof/>
            <w:lang w:val="es-ES"/>
          </w:rPr>
          <w:t>E.</w:t>
        </w:r>
        <w:r w:rsidR="00F249DD">
          <w:rPr>
            <w:rFonts w:ascii="Calibri" w:hAnsi="Calibri"/>
            <w:smallCaps w:val="0"/>
            <w:noProof/>
            <w:sz w:val="22"/>
            <w:szCs w:val="22"/>
          </w:rPr>
          <w:tab/>
        </w:r>
        <w:r w:rsidR="00F249DD" w:rsidRPr="00E63464">
          <w:rPr>
            <w:rStyle w:val="Hipervnculo"/>
            <w:noProof/>
            <w:lang w:val="es-ES"/>
          </w:rPr>
          <w:t>Costas y Gastos</w:t>
        </w:r>
        <w:r w:rsidR="00F249DD">
          <w:rPr>
            <w:noProof/>
            <w:webHidden/>
          </w:rPr>
          <w:tab/>
        </w:r>
        <w:r>
          <w:rPr>
            <w:noProof/>
            <w:webHidden/>
          </w:rPr>
          <w:fldChar w:fldCharType="begin"/>
        </w:r>
        <w:r w:rsidR="00F249DD">
          <w:rPr>
            <w:noProof/>
            <w:webHidden/>
          </w:rPr>
          <w:instrText xml:space="preserve"> PAGEREF _Toc295986430 \h </w:instrText>
        </w:r>
        <w:r>
          <w:rPr>
            <w:noProof/>
            <w:webHidden/>
          </w:rPr>
        </w:r>
        <w:r>
          <w:rPr>
            <w:noProof/>
            <w:webHidden/>
          </w:rPr>
          <w:fldChar w:fldCharType="separate"/>
        </w:r>
        <w:r w:rsidR="00405E66">
          <w:rPr>
            <w:noProof/>
            <w:webHidden/>
          </w:rPr>
          <w:t>42</w:t>
        </w:r>
        <w:r>
          <w:rPr>
            <w:noProof/>
            <w:webHidden/>
          </w:rPr>
          <w:fldChar w:fldCharType="end"/>
        </w:r>
      </w:hyperlink>
    </w:p>
    <w:p w:rsidR="00F249DD" w:rsidRDefault="00AD52A8" w:rsidP="009944FD">
      <w:pPr>
        <w:pStyle w:val="TDC2"/>
        <w:tabs>
          <w:tab w:val="left" w:pos="720"/>
          <w:tab w:val="right" w:leader="dot" w:pos="8630"/>
        </w:tabs>
        <w:rPr>
          <w:rFonts w:ascii="Calibri" w:hAnsi="Calibri"/>
          <w:smallCaps w:val="0"/>
          <w:noProof/>
          <w:sz w:val="22"/>
          <w:szCs w:val="22"/>
        </w:rPr>
      </w:pPr>
      <w:hyperlink w:anchor="_Toc295986431" w:history="1">
        <w:r w:rsidR="00F249DD" w:rsidRPr="00E63464">
          <w:rPr>
            <w:rStyle w:val="Hipervnculo"/>
            <w:noProof/>
            <w:lang w:val="es-ES"/>
          </w:rPr>
          <w:t>F.</w:t>
        </w:r>
        <w:r w:rsidR="00F249DD">
          <w:rPr>
            <w:rFonts w:ascii="Calibri" w:hAnsi="Calibri"/>
            <w:smallCaps w:val="0"/>
            <w:noProof/>
            <w:sz w:val="22"/>
            <w:szCs w:val="22"/>
          </w:rPr>
          <w:tab/>
        </w:r>
        <w:r w:rsidR="00F249DD" w:rsidRPr="00E63464">
          <w:rPr>
            <w:rStyle w:val="Hipervnculo"/>
            <w:noProof/>
            <w:lang w:val="es-ES"/>
          </w:rPr>
          <w:t>Modalidades de cumplimiento de los pagos ordenados</w:t>
        </w:r>
        <w:r w:rsidR="00F249DD">
          <w:rPr>
            <w:noProof/>
            <w:webHidden/>
          </w:rPr>
          <w:tab/>
        </w:r>
        <w:r>
          <w:rPr>
            <w:noProof/>
            <w:webHidden/>
          </w:rPr>
          <w:fldChar w:fldCharType="begin"/>
        </w:r>
        <w:r w:rsidR="00F249DD">
          <w:rPr>
            <w:noProof/>
            <w:webHidden/>
          </w:rPr>
          <w:instrText xml:space="preserve"> PAGEREF _Toc295986431 \h </w:instrText>
        </w:r>
        <w:r>
          <w:rPr>
            <w:noProof/>
            <w:webHidden/>
          </w:rPr>
        </w:r>
        <w:r>
          <w:rPr>
            <w:noProof/>
            <w:webHidden/>
          </w:rPr>
          <w:fldChar w:fldCharType="separate"/>
        </w:r>
        <w:r w:rsidR="00405E66">
          <w:rPr>
            <w:noProof/>
            <w:webHidden/>
          </w:rPr>
          <w:t>44</w:t>
        </w:r>
        <w:r>
          <w:rPr>
            <w:noProof/>
            <w:webHidden/>
          </w:rPr>
          <w:fldChar w:fldCharType="end"/>
        </w:r>
      </w:hyperlink>
    </w:p>
    <w:p w:rsidR="00F249DD" w:rsidRDefault="00AD52A8" w:rsidP="009944FD">
      <w:pPr>
        <w:pStyle w:val="TDC1"/>
        <w:tabs>
          <w:tab w:val="left" w:pos="720"/>
        </w:tabs>
        <w:rPr>
          <w:rFonts w:ascii="Calibri" w:hAnsi="Calibri"/>
          <w:b w:val="0"/>
          <w:bCs w:val="0"/>
          <w:caps w:val="0"/>
          <w:sz w:val="22"/>
          <w:szCs w:val="22"/>
          <w:lang w:val="en-US"/>
        </w:rPr>
      </w:pPr>
      <w:hyperlink w:anchor="_Toc295986432" w:history="1">
        <w:r w:rsidR="00F249DD" w:rsidRPr="00E63464">
          <w:rPr>
            <w:rStyle w:val="Hipervnculo"/>
            <w:lang w:val="es-ES"/>
          </w:rPr>
          <w:t>IX.</w:t>
        </w:r>
        <w:r w:rsidR="00F249DD">
          <w:rPr>
            <w:rFonts w:ascii="Calibri" w:hAnsi="Calibri"/>
            <w:b w:val="0"/>
            <w:bCs w:val="0"/>
            <w:caps w:val="0"/>
            <w:sz w:val="22"/>
            <w:szCs w:val="22"/>
            <w:lang w:val="en-US"/>
          </w:rPr>
          <w:tab/>
        </w:r>
        <w:r w:rsidR="00F249DD" w:rsidRPr="00E63464">
          <w:rPr>
            <w:rStyle w:val="Hipervnculo"/>
            <w:lang w:val="es-ES"/>
          </w:rPr>
          <w:t>Puntos Resolutivos</w:t>
        </w:r>
        <w:r w:rsidR="00F249DD">
          <w:rPr>
            <w:webHidden/>
          </w:rPr>
          <w:tab/>
        </w:r>
        <w:r>
          <w:rPr>
            <w:webHidden/>
          </w:rPr>
          <w:fldChar w:fldCharType="begin"/>
        </w:r>
        <w:r w:rsidR="00F249DD">
          <w:rPr>
            <w:webHidden/>
          </w:rPr>
          <w:instrText xml:space="preserve"> PAGEREF _Toc295986432 \h </w:instrText>
        </w:r>
        <w:r>
          <w:rPr>
            <w:webHidden/>
          </w:rPr>
        </w:r>
        <w:r>
          <w:rPr>
            <w:webHidden/>
          </w:rPr>
          <w:fldChar w:fldCharType="separate"/>
        </w:r>
        <w:r w:rsidR="00405E66">
          <w:rPr>
            <w:webHidden/>
          </w:rPr>
          <w:t>44</w:t>
        </w:r>
        <w:r>
          <w:rPr>
            <w:webHidden/>
          </w:rPr>
          <w:fldChar w:fldCharType="end"/>
        </w:r>
      </w:hyperlink>
    </w:p>
    <w:p w:rsidR="00F249DD" w:rsidRPr="00922392" w:rsidRDefault="00AD52A8" w:rsidP="009944FD">
      <w:pPr>
        <w:jc w:val="both"/>
        <w:rPr>
          <w:rFonts w:ascii="Verdana" w:hAnsi="Verdana"/>
          <w:smallCaps/>
          <w:sz w:val="20"/>
          <w:szCs w:val="20"/>
          <w:lang w:val="es-CR"/>
        </w:rPr>
      </w:pPr>
      <w:r>
        <w:fldChar w:fldCharType="end"/>
      </w:r>
      <w:r w:rsidR="00F249DD">
        <w:br w:type="page"/>
      </w:r>
    </w:p>
    <w:p w:rsidR="00F249DD" w:rsidRPr="00A04CE3" w:rsidRDefault="00F249DD" w:rsidP="00CA12BE">
      <w:pPr>
        <w:pStyle w:val="StyleHeading111ptJustified"/>
        <w:rPr>
          <w:caps/>
          <w:smallCaps w:val="0"/>
          <w:sz w:val="20"/>
          <w:lang w:val="es-MX"/>
        </w:rPr>
      </w:pPr>
      <w:bookmarkStart w:id="1" w:name="_Toc286223885"/>
      <w:bookmarkStart w:id="2" w:name="_Toc294622243"/>
      <w:bookmarkStart w:id="3" w:name="_Toc294622612"/>
      <w:bookmarkStart w:id="4" w:name="_Toc294623385"/>
      <w:bookmarkStart w:id="5" w:name="_Toc294623640"/>
      <w:bookmarkStart w:id="6" w:name="_Toc294626189"/>
      <w:bookmarkStart w:id="7" w:name="_Toc294633765"/>
      <w:bookmarkStart w:id="8" w:name="_Toc294634473"/>
      <w:bookmarkStart w:id="9" w:name="_Toc294635299"/>
      <w:bookmarkStart w:id="10" w:name="_Toc294862691"/>
      <w:bookmarkStart w:id="11" w:name="_Toc294862754"/>
      <w:bookmarkStart w:id="12" w:name="_Toc295380305"/>
      <w:bookmarkStart w:id="13" w:name="_Toc295394457"/>
      <w:bookmarkStart w:id="14" w:name="_Toc295394611"/>
      <w:bookmarkStart w:id="15" w:name="_Toc295986063"/>
      <w:bookmarkStart w:id="16" w:name="_Toc295986281"/>
      <w:bookmarkStart w:id="17" w:name="_Toc295986401"/>
    </w:p>
    <w:p w:rsidR="00F249DD" w:rsidRPr="00A04CE3" w:rsidRDefault="00F249DD" w:rsidP="00D96D26">
      <w:pPr>
        <w:pStyle w:val="StyleHeading111ptJustified"/>
        <w:numPr>
          <w:ilvl w:val="0"/>
          <w:numId w:val="0"/>
        </w:numPr>
        <w:ind w:left="1170"/>
        <w:jc w:val="left"/>
        <w:rPr>
          <w:caps/>
          <w:smallCaps w:val="0"/>
          <w:sz w:val="20"/>
          <w:lang w:val="es-MX"/>
        </w:rPr>
      </w:pPr>
      <w:r w:rsidRPr="00FC3247">
        <w:rPr>
          <w:caps/>
          <w:smallCaps w:val="0"/>
          <w:sz w:val="20"/>
          <w:lang w:val="es-MX"/>
        </w:rPr>
        <w:t>Introducción a la Causa y objeto de la Controversia</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rsidR="00F249DD" w:rsidRPr="004D112B" w:rsidRDefault="00F249DD" w:rsidP="00120F89">
      <w:pPr>
        <w:jc w:val="both"/>
        <w:rPr>
          <w:rFonts w:ascii="Verdana" w:hAnsi="Verdana"/>
          <w:sz w:val="20"/>
          <w:szCs w:val="20"/>
          <w:lang w:val="es-MX"/>
        </w:rPr>
      </w:pPr>
    </w:p>
    <w:p w:rsidR="00F249DD" w:rsidRPr="00DA5593" w:rsidRDefault="00F249DD" w:rsidP="00BD79C8">
      <w:pPr>
        <w:numPr>
          <w:ilvl w:val="0"/>
          <w:numId w:val="3"/>
        </w:numPr>
        <w:spacing w:before="120" w:after="120"/>
        <w:ind w:left="0" w:firstLine="15"/>
        <w:jc w:val="both"/>
        <w:rPr>
          <w:rFonts w:ascii="Verdana" w:hAnsi="Verdana"/>
          <w:sz w:val="20"/>
          <w:szCs w:val="20"/>
          <w:lang w:val="es-ES"/>
        </w:rPr>
      </w:pPr>
      <w:r w:rsidRPr="00DA5593">
        <w:rPr>
          <w:rFonts w:ascii="Verdana" w:hAnsi="Verdana"/>
          <w:sz w:val="20"/>
          <w:szCs w:val="20"/>
          <w:lang w:val="es-ES"/>
        </w:rPr>
        <w:t xml:space="preserve">El 19 de noviembre de 2009 la Comisión Interamericana de Derechos Humanos </w:t>
      </w:r>
      <w:r w:rsidRPr="00DA5593">
        <w:rPr>
          <w:rFonts w:ascii="Verdana" w:hAnsi="Verdana" w:cs="Verdana"/>
          <w:sz w:val="20"/>
          <w:szCs w:val="20"/>
          <w:lang w:val="es-EC"/>
        </w:rPr>
        <w:t xml:space="preserve">(en adelante “la Comisión” o “la Comisión Interamericana”) presentó, de conformidad con los artículos 51 y 61 de la Convención, una demanda contra la República del Ecuador </w:t>
      </w:r>
      <w:r w:rsidRPr="00DA5593">
        <w:rPr>
          <w:rFonts w:ascii="Verdana" w:hAnsi="Verdana"/>
          <w:sz w:val="20"/>
          <w:szCs w:val="20"/>
          <w:lang w:val="es-CR"/>
        </w:rPr>
        <w:t xml:space="preserve">(en adelante “el Estado” o “Ecuador”) en relación con el caso Mejía Idrovo Vs. Ecuador. </w:t>
      </w:r>
      <w:r>
        <w:rPr>
          <w:rFonts w:ascii="Verdana" w:hAnsi="Verdana"/>
          <w:sz w:val="20"/>
          <w:szCs w:val="20"/>
          <w:lang w:val="es-CR"/>
        </w:rPr>
        <w:t xml:space="preserve">La petición inicial fue presentada ante la Comisión el 24 de octubre de 2002 por la Comisión Ecuménica de Derechos Humanos </w:t>
      </w:r>
      <w:r w:rsidRPr="00DA5593">
        <w:rPr>
          <w:rFonts w:ascii="Verdana" w:hAnsi="Verdana"/>
          <w:sz w:val="20"/>
          <w:szCs w:val="20"/>
          <w:lang w:val="es-ES"/>
        </w:rPr>
        <w:t>(en adelante “CEDHU”)</w:t>
      </w:r>
      <w:r>
        <w:rPr>
          <w:rFonts w:ascii="Verdana" w:hAnsi="Verdana"/>
          <w:sz w:val="20"/>
          <w:szCs w:val="20"/>
          <w:lang w:val="es-CR"/>
        </w:rPr>
        <w:t xml:space="preserve">. </w:t>
      </w:r>
      <w:r w:rsidRPr="00DA5593">
        <w:rPr>
          <w:rFonts w:ascii="Verdana" w:hAnsi="Verdana"/>
          <w:sz w:val="20"/>
          <w:szCs w:val="20"/>
          <w:lang w:val="es-CR"/>
        </w:rPr>
        <w:t>El 17 de marzo de 2009 la Comisión adoptó el Informe de Admisibilidad y Fondo No. 07/09</w:t>
      </w:r>
      <w:r w:rsidRPr="00DA5593">
        <w:rPr>
          <w:rStyle w:val="Refdenotaalpie"/>
          <w:szCs w:val="20"/>
          <w:lang w:val="es-CR"/>
        </w:rPr>
        <w:footnoteReference w:id="4"/>
      </w:r>
      <w:r w:rsidRPr="00DA5593">
        <w:rPr>
          <w:rFonts w:ascii="Verdana" w:hAnsi="Verdana"/>
          <w:sz w:val="20"/>
          <w:szCs w:val="20"/>
          <w:lang w:val="es-CR"/>
        </w:rPr>
        <w:t xml:space="preserve">, en el cual declaró la admisibilidad del caso y recomendó al Estado que adoptara las medidas necesarias para dar cumplimiento efectivo a la resolución de inconstitucionalidad emitida el 12 de marzo de 2002 por el </w:t>
      </w:r>
      <w:r w:rsidRPr="0075554D">
        <w:rPr>
          <w:rFonts w:ascii="Verdana" w:hAnsi="Verdana"/>
          <w:sz w:val="20"/>
          <w:szCs w:val="20"/>
          <w:lang w:val="es-CR"/>
        </w:rPr>
        <w:t>Tribunal Constitucional</w:t>
      </w:r>
      <w:r w:rsidRPr="00DA5593">
        <w:rPr>
          <w:rFonts w:ascii="Verdana" w:hAnsi="Verdana"/>
          <w:sz w:val="20"/>
          <w:szCs w:val="20"/>
          <w:lang w:val="es-CR"/>
        </w:rPr>
        <w:t xml:space="preserve"> del Ecuador</w:t>
      </w:r>
      <w:r>
        <w:rPr>
          <w:rStyle w:val="Refdenotaalpie"/>
          <w:rFonts w:ascii="Verdana" w:hAnsi="Verdana"/>
          <w:sz w:val="20"/>
          <w:szCs w:val="20"/>
          <w:lang w:val="es-CR"/>
        </w:rPr>
        <w:footnoteReference w:id="5"/>
      </w:r>
      <w:r w:rsidRPr="00DA5593">
        <w:rPr>
          <w:rFonts w:ascii="Verdana" w:hAnsi="Verdana"/>
          <w:sz w:val="20"/>
          <w:szCs w:val="20"/>
          <w:lang w:val="es-CR"/>
        </w:rPr>
        <w:t xml:space="preserve"> y reparar el daño causado a José Alfredo Mejía Idrovo (en adelante</w:t>
      </w:r>
      <w:r>
        <w:rPr>
          <w:rFonts w:ascii="Verdana" w:hAnsi="Verdana"/>
          <w:sz w:val="20"/>
          <w:szCs w:val="20"/>
          <w:lang w:val="es-CR"/>
        </w:rPr>
        <w:t xml:space="preserve"> “coronel Mejía Idrovo”, </w:t>
      </w:r>
      <w:r w:rsidRPr="00DA5593">
        <w:rPr>
          <w:rFonts w:ascii="Verdana" w:hAnsi="Verdana"/>
          <w:sz w:val="20"/>
          <w:szCs w:val="20"/>
          <w:lang w:val="es-CR"/>
        </w:rPr>
        <w:t>“señor Mejía Idrovo” o “presunta víctima”)</w:t>
      </w:r>
      <w:r w:rsidRPr="00DA5593">
        <w:rPr>
          <w:rFonts w:ascii="Verdana" w:hAnsi="Verdana"/>
          <w:sz w:val="20"/>
          <w:lang w:val="es-CR"/>
        </w:rPr>
        <w:t>. Debid</w:t>
      </w:r>
      <w:r>
        <w:rPr>
          <w:rFonts w:ascii="Verdana" w:hAnsi="Verdana"/>
          <w:sz w:val="20"/>
          <w:lang w:val="es-CR"/>
        </w:rPr>
        <w:t>o</w:t>
      </w:r>
      <w:r w:rsidRPr="00DA5593">
        <w:rPr>
          <w:rFonts w:ascii="Verdana" w:hAnsi="Verdana"/>
          <w:sz w:val="20"/>
          <w:lang w:val="es-CR"/>
        </w:rPr>
        <w:t xml:space="preserve"> que en concepto de la Comisión las recomendaciones no fueron adoptadas de manera satisfactoria por parte del Estado, decidió someter el presente caso a la jurisdicción de la Corte.</w:t>
      </w:r>
      <w:r w:rsidRPr="00DA5593">
        <w:rPr>
          <w:rFonts w:ascii="Verdana" w:hAnsi="Verdana"/>
          <w:sz w:val="20"/>
          <w:szCs w:val="20"/>
          <w:lang w:val="es-CR"/>
        </w:rPr>
        <w:t xml:space="preserve"> La Comisión designó como Delegados a la señora Luz Patricia Mejía, Comisionada, y al señor Santiago A. Canton, Secretario Ejecutivo, y como asesor</w:t>
      </w:r>
      <w:r>
        <w:rPr>
          <w:rFonts w:ascii="Verdana" w:hAnsi="Verdana"/>
          <w:sz w:val="20"/>
          <w:szCs w:val="20"/>
          <w:lang w:val="es-CR"/>
        </w:rPr>
        <w:t>a</w:t>
      </w:r>
      <w:r w:rsidRPr="00DA5593">
        <w:rPr>
          <w:rFonts w:ascii="Verdana" w:hAnsi="Verdana"/>
          <w:sz w:val="20"/>
          <w:szCs w:val="20"/>
          <w:lang w:val="es-CR"/>
        </w:rPr>
        <w:t xml:space="preserve">s legales a las señoras Elizabeth Abi-Mershed, Secretaria Ejecutiva Adjunta, </w:t>
      </w:r>
      <w:r>
        <w:rPr>
          <w:rFonts w:ascii="Verdana" w:hAnsi="Verdana"/>
          <w:sz w:val="20"/>
          <w:szCs w:val="20"/>
          <w:lang w:val="es-CR"/>
        </w:rPr>
        <w:t xml:space="preserve">y </w:t>
      </w:r>
      <w:r w:rsidRPr="00DA5593">
        <w:rPr>
          <w:rFonts w:ascii="Verdana" w:hAnsi="Verdana"/>
          <w:sz w:val="20"/>
          <w:szCs w:val="20"/>
          <w:lang w:val="es-CR"/>
        </w:rPr>
        <w:t>Karla I. Quintana Osuna</w:t>
      </w:r>
      <w:r>
        <w:rPr>
          <w:rFonts w:ascii="Verdana" w:hAnsi="Verdana"/>
          <w:sz w:val="20"/>
          <w:szCs w:val="20"/>
          <w:lang w:val="es-CR"/>
        </w:rPr>
        <w:t>, especialista de la Secretar</w:t>
      </w:r>
      <w:r>
        <w:rPr>
          <w:rFonts w:ascii="Verdana" w:hAnsi="Verdana"/>
          <w:sz w:val="20"/>
          <w:szCs w:val="20"/>
          <w:lang w:val="es-ES"/>
        </w:rPr>
        <w:t>ía Ejecutiva</w:t>
      </w:r>
      <w:r w:rsidRPr="00DA5593">
        <w:rPr>
          <w:rFonts w:ascii="Verdana" w:hAnsi="Verdana"/>
          <w:sz w:val="20"/>
          <w:szCs w:val="20"/>
          <w:lang w:val="es-CR"/>
        </w:rPr>
        <w:t xml:space="preserve">. </w:t>
      </w:r>
    </w:p>
    <w:p w:rsidR="00F249DD" w:rsidRPr="00DA5593" w:rsidRDefault="00F249DD" w:rsidP="00BD79C8">
      <w:pPr>
        <w:numPr>
          <w:ilvl w:val="0"/>
          <w:numId w:val="3"/>
        </w:numPr>
        <w:spacing w:before="120" w:after="120"/>
        <w:ind w:left="0" w:firstLine="15"/>
        <w:jc w:val="both"/>
        <w:rPr>
          <w:rFonts w:ascii="Verdana" w:hAnsi="Verdana"/>
          <w:sz w:val="20"/>
          <w:szCs w:val="20"/>
          <w:lang w:val="es-ES"/>
        </w:rPr>
      </w:pPr>
      <w:r w:rsidRPr="00DA5593">
        <w:rPr>
          <w:rFonts w:ascii="Verdana" w:hAnsi="Verdana"/>
          <w:sz w:val="20"/>
          <w:szCs w:val="20"/>
          <w:lang w:val="es-ES"/>
        </w:rPr>
        <w:t xml:space="preserve">Los hechos alegados por la Comisión </w:t>
      </w:r>
      <w:r>
        <w:rPr>
          <w:rFonts w:ascii="Verdana" w:hAnsi="Verdana"/>
          <w:sz w:val="20"/>
          <w:szCs w:val="20"/>
          <w:lang w:val="es-ES"/>
        </w:rPr>
        <w:t xml:space="preserve">se </w:t>
      </w:r>
      <w:r w:rsidRPr="00DA5593">
        <w:rPr>
          <w:rFonts w:ascii="Verdana" w:hAnsi="Verdana"/>
          <w:sz w:val="20"/>
          <w:szCs w:val="20"/>
          <w:lang w:val="es-ES"/>
        </w:rPr>
        <w:t xml:space="preserve">refieren </w:t>
      </w:r>
      <w:r>
        <w:rPr>
          <w:rFonts w:ascii="Verdana" w:hAnsi="Verdana"/>
          <w:sz w:val="20"/>
          <w:szCs w:val="20"/>
          <w:lang w:val="es-ES"/>
        </w:rPr>
        <w:t xml:space="preserve">a </w:t>
      </w:r>
      <w:r w:rsidRPr="00DA5593">
        <w:rPr>
          <w:rFonts w:ascii="Verdana" w:hAnsi="Verdana"/>
          <w:sz w:val="20"/>
          <w:szCs w:val="20"/>
          <w:lang w:val="es-ES"/>
        </w:rPr>
        <w:t xml:space="preserve">que el Estado incumplió un fallo dictado por el Tribunal Constitucional </w:t>
      </w:r>
      <w:r>
        <w:rPr>
          <w:rFonts w:ascii="Verdana" w:hAnsi="Verdana"/>
          <w:sz w:val="20"/>
          <w:szCs w:val="20"/>
          <w:lang w:val="es-ES"/>
        </w:rPr>
        <w:t xml:space="preserve">que </w:t>
      </w:r>
      <w:r w:rsidRPr="00DA5593">
        <w:rPr>
          <w:rFonts w:ascii="Verdana" w:hAnsi="Verdana"/>
          <w:sz w:val="20"/>
          <w:szCs w:val="20"/>
          <w:lang w:val="es-ES"/>
        </w:rPr>
        <w:t xml:space="preserve">declaró </w:t>
      </w:r>
      <w:r>
        <w:rPr>
          <w:rFonts w:ascii="Verdana" w:hAnsi="Verdana"/>
          <w:sz w:val="20"/>
          <w:szCs w:val="20"/>
          <w:lang w:val="es-ES"/>
        </w:rPr>
        <w:t>la inconstitucionalidad de los Decretos E</w:t>
      </w:r>
      <w:r w:rsidRPr="00DA5593">
        <w:rPr>
          <w:rFonts w:ascii="Verdana" w:hAnsi="Verdana"/>
          <w:sz w:val="20"/>
          <w:szCs w:val="20"/>
          <w:lang w:val="es-ES"/>
        </w:rPr>
        <w:t>jecutivos</w:t>
      </w:r>
      <w:r>
        <w:rPr>
          <w:rFonts w:ascii="Verdana" w:hAnsi="Verdana"/>
          <w:sz w:val="20"/>
          <w:szCs w:val="20"/>
          <w:lang w:val="es-ES"/>
        </w:rPr>
        <w:t xml:space="preserve"> </w:t>
      </w:r>
      <w:r w:rsidRPr="00DA5593">
        <w:rPr>
          <w:rFonts w:ascii="Verdana" w:hAnsi="Verdana"/>
          <w:sz w:val="20"/>
          <w:szCs w:val="20"/>
          <w:lang w:val="es-ES"/>
        </w:rPr>
        <w:t xml:space="preserve">mediante los cuales se decretó la disponibilidad y baja </w:t>
      </w:r>
      <w:r w:rsidRPr="00C1613A">
        <w:rPr>
          <w:rFonts w:ascii="Verdana" w:hAnsi="Verdana"/>
          <w:sz w:val="20"/>
          <w:szCs w:val="20"/>
          <w:lang w:val="es-ES"/>
        </w:rPr>
        <w:t xml:space="preserve">del ejército del </w:t>
      </w:r>
      <w:r w:rsidRPr="00E23CB0">
        <w:rPr>
          <w:rFonts w:ascii="Verdana" w:hAnsi="Verdana"/>
          <w:sz w:val="20"/>
          <w:szCs w:val="20"/>
          <w:lang w:val="es-ES"/>
        </w:rPr>
        <w:t>señor</w:t>
      </w:r>
      <w:r w:rsidRPr="00DA5593">
        <w:rPr>
          <w:rFonts w:ascii="Verdana" w:hAnsi="Verdana"/>
          <w:sz w:val="20"/>
          <w:szCs w:val="20"/>
          <w:lang w:val="es-ES"/>
        </w:rPr>
        <w:t xml:space="preserve"> Mejía Idrovo y dispuso la reparación de los daños. </w:t>
      </w:r>
    </w:p>
    <w:p w:rsidR="00F249DD" w:rsidRPr="00EA549D" w:rsidRDefault="00F249DD">
      <w:pPr>
        <w:numPr>
          <w:ilvl w:val="0"/>
          <w:numId w:val="3"/>
        </w:numPr>
        <w:spacing w:before="120" w:after="120"/>
        <w:ind w:left="0" w:firstLine="14"/>
        <w:jc w:val="both"/>
        <w:rPr>
          <w:sz w:val="20"/>
          <w:szCs w:val="20"/>
          <w:highlight w:val="yellow"/>
          <w:lang w:val="es-ES"/>
        </w:rPr>
      </w:pPr>
      <w:r w:rsidRPr="00EA549D">
        <w:rPr>
          <w:rFonts w:ascii="Verdana" w:hAnsi="Verdana"/>
          <w:sz w:val="20"/>
          <w:szCs w:val="20"/>
          <w:highlight w:val="yellow"/>
          <w:lang w:val="es-ES"/>
        </w:rPr>
        <w:t xml:space="preserve">La Comisión solicitó a la Corte que establezca la responsabilidad internacional del Estado porque ha incumplido con sus obligaciones internacionales al incurrir en la violación de los artículos 8.1 y 25 de la Convención, en relación con el artículo 1.1 de dicho instrumento, en perjuicio del señor Mejía Idrovo, ya que habían transcurrido más de siete años desde la sentencia del Tribunal Constitucional de 12 de marzo de 2002 que ordenó al Estado reparar los daños causados a la presunta víctima, sin que el Estado haya cumplido con esa orden. </w:t>
      </w:r>
    </w:p>
    <w:p w:rsidR="00F249DD" w:rsidRDefault="00F249DD">
      <w:pPr>
        <w:numPr>
          <w:ilvl w:val="0"/>
          <w:numId w:val="3"/>
        </w:numPr>
        <w:spacing w:before="120" w:after="120"/>
        <w:ind w:left="0" w:firstLine="14"/>
        <w:jc w:val="both"/>
        <w:rPr>
          <w:rFonts w:ascii="Verdana" w:hAnsi="Verdana"/>
          <w:sz w:val="20"/>
          <w:szCs w:val="20"/>
          <w:lang w:val="es-ES"/>
        </w:rPr>
      </w:pPr>
      <w:r w:rsidRPr="00DA5593">
        <w:rPr>
          <w:rFonts w:ascii="Verdana" w:hAnsi="Verdana"/>
          <w:sz w:val="20"/>
          <w:szCs w:val="20"/>
          <w:lang w:val="es-CR"/>
        </w:rPr>
        <w:t xml:space="preserve">El 13 de marzo de 2010 la </w:t>
      </w:r>
      <w:r>
        <w:rPr>
          <w:rFonts w:ascii="Verdana" w:hAnsi="Verdana"/>
          <w:sz w:val="20"/>
          <w:szCs w:val="20"/>
          <w:lang w:val="es-CR"/>
        </w:rPr>
        <w:t>señora</w:t>
      </w:r>
      <w:r w:rsidRPr="00DA5593">
        <w:rPr>
          <w:rFonts w:ascii="Verdana" w:hAnsi="Verdana"/>
          <w:sz w:val="20"/>
          <w:szCs w:val="20"/>
          <w:lang w:val="es-CR"/>
        </w:rPr>
        <w:t xml:space="preserve"> Elsie Monge y el señor César Duque</w:t>
      </w:r>
      <w:r w:rsidRPr="00DA5593">
        <w:rPr>
          <w:rFonts w:ascii="Verdana" w:hAnsi="Verdana"/>
          <w:sz w:val="20"/>
          <w:szCs w:val="20"/>
          <w:lang w:val="es-ES"/>
        </w:rPr>
        <w:t>, integrantes de la C</w:t>
      </w:r>
      <w:r>
        <w:rPr>
          <w:rFonts w:ascii="Verdana" w:hAnsi="Verdana"/>
          <w:sz w:val="20"/>
          <w:szCs w:val="20"/>
          <w:lang w:val="es-ES"/>
        </w:rPr>
        <w:t>EDHU</w:t>
      </w:r>
      <w:r w:rsidRPr="00DA5593">
        <w:rPr>
          <w:rFonts w:ascii="Verdana" w:hAnsi="Verdana"/>
          <w:sz w:val="20"/>
          <w:szCs w:val="20"/>
          <w:lang w:val="es-ES"/>
        </w:rPr>
        <w:t>, en representación de la presunta víctima (en adelante “los representantes”)</w:t>
      </w:r>
      <w:r>
        <w:rPr>
          <w:rFonts w:ascii="Verdana" w:hAnsi="Verdana"/>
          <w:sz w:val="20"/>
          <w:szCs w:val="20"/>
          <w:lang w:val="es-ES"/>
        </w:rPr>
        <w:t>,</w:t>
      </w:r>
      <w:r w:rsidRPr="00DA5593">
        <w:rPr>
          <w:rFonts w:ascii="Verdana" w:hAnsi="Verdana"/>
          <w:sz w:val="20"/>
          <w:szCs w:val="20"/>
          <w:lang w:val="es-CR"/>
        </w:rPr>
        <w:t xml:space="preserve"> presentaron </w:t>
      </w:r>
      <w:r>
        <w:rPr>
          <w:rFonts w:ascii="Verdana" w:hAnsi="Verdana"/>
          <w:sz w:val="20"/>
          <w:szCs w:val="20"/>
          <w:lang w:val="es-ES"/>
        </w:rPr>
        <w:t>ante la Corte su</w:t>
      </w:r>
      <w:r w:rsidRPr="00DA5593">
        <w:rPr>
          <w:rFonts w:ascii="Verdana" w:hAnsi="Verdana"/>
          <w:sz w:val="20"/>
          <w:szCs w:val="20"/>
          <w:lang w:val="es-ES"/>
        </w:rPr>
        <w:t xml:space="preserve"> escrito de solicitudes, argumentos y pruebas (en adelante “escrito de solicitudes y argumentos”). En este escrito hicieron alusión a los hechos señalados en la demanda de la Comisión ampliando la información sobre los mismos. En general</w:t>
      </w:r>
      <w:r w:rsidRPr="00DA5593">
        <w:rPr>
          <w:rFonts w:ascii="Verdana" w:hAnsi="Verdana"/>
          <w:sz w:val="20"/>
          <w:szCs w:val="20"/>
          <w:lang w:val="es-CR"/>
        </w:rPr>
        <w:t xml:space="preserve"> coincidieron con lo alegado jurídicamente por la Comisión. No obstante, solicitaron además que se declare la violación de los artículos 24 (Derecho a la Igualdad) y 2 (Deber de Adoptar Disposiciones de Derecho Interno) de la Convención Americana, en relación con el artículo 1.1 de ese instrumento, en perjuicio del señor Mejía Idrovo. </w:t>
      </w:r>
      <w:r w:rsidRPr="00DA5593">
        <w:rPr>
          <w:rFonts w:ascii="Verdana" w:hAnsi="Verdana"/>
          <w:sz w:val="20"/>
          <w:szCs w:val="20"/>
        </w:rPr>
        <w:t>Por último</w:t>
      </w:r>
      <w:r>
        <w:rPr>
          <w:rFonts w:ascii="Verdana" w:hAnsi="Verdana"/>
          <w:sz w:val="20"/>
          <w:szCs w:val="20"/>
        </w:rPr>
        <w:t>,</w:t>
      </w:r>
      <w:r w:rsidRPr="00DA5593">
        <w:rPr>
          <w:rFonts w:ascii="Verdana" w:hAnsi="Verdana"/>
          <w:sz w:val="20"/>
          <w:szCs w:val="20"/>
        </w:rPr>
        <w:t xml:space="preserve"> solicitaron diversas medidas de reparación. </w:t>
      </w:r>
    </w:p>
    <w:p w:rsidR="00F249DD" w:rsidRPr="00DA5593" w:rsidRDefault="00F249DD" w:rsidP="00BD79C8">
      <w:pPr>
        <w:numPr>
          <w:ilvl w:val="0"/>
          <w:numId w:val="3"/>
        </w:numPr>
        <w:spacing w:before="120" w:after="120"/>
        <w:ind w:left="0" w:firstLine="15"/>
        <w:jc w:val="both"/>
        <w:rPr>
          <w:rFonts w:ascii="Verdana" w:hAnsi="Verdana"/>
          <w:sz w:val="20"/>
          <w:szCs w:val="20"/>
          <w:lang w:val="es-ES"/>
        </w:rPr>
      </w:pPr>
      <w:r w:rsidRPr="00DA5593">
        <w:rPr>
          <w:rFonts w:ascii="Verdana" w:hAnsi="Verdana"/>
          <w:sz w:val="20"/>
          <w:szCs w:val="20"/>
          <w:lang w:val="es-CR"/>
        </w:rPr>
        <w:lastRenderedPageBreak/>
        <w:t xml:space="preserve">El 24 de junio de 2010 el Estado presentó su escrito de interposición de excepciones preliminares, contestación de la demanda y observaciones al escrito de solicitudes y argumentos (en adelante “contestación de la demanda”). El Estado en su contestación se refirió a los alegatos de hecho y de derecho presentados por la Comisión y los representantes, y solicitó a la Corte que acepte las excepciones preliminares planteadas y declare que el Estado no ha violado los artículos 8.1, 25, 24, 2 y 1.1 de la Convención Americana, “por cuanto garantizó y garantiza la protección de los derechos humanos, y sus garantías correlativas”, y se refirió a las medidas de reparación. Asimismo, el Estado interpuso dos excepciones preliminares, una sobre “argumento de </w:t>
      </w:r>
      <w:r>
        <w:rPr>
          <w:rFonts w:ascii="Verdana" w:hAnsi="Verdana"/>
          <w:sz w:val="20"/>
          <w:szCs w:val="20"/>
          <w:lang w:val="es-CR"/>
        </w:rPr>
        <w:t>T</w:t>
      </w:r>
      <w:r w:rsidRPr="00DA5593">
        <w:rPr>
          <w:rFonts w:ascii="Verdana" w:hAnsi="Verdana"/>
          <w:sz w:val="20"/>
          <w:szCs w:val="20"/>
          <w:lang w:val="es-CR"/>
        </w:rPr>
        <w:t>ribunal de Alzada o de Cuarta Instancia</w:t>
      </w:r>
      <w:r>
        <w:rPr>
          <w:rFonts w:ascii="Verdana" w:hAnsi="Verdana"/>
          <w:sz w:val="20"/>
          <w:szCs w:val="20"/>
          <w:lang w:val="es-CR"/>
        </w:rPr>
        <w:t>”</w:t>
      </w:r>
      <w:r w:rsidRPr="00DA5593">
        <w:rPr>
          <w:rFonts w:ascii="Verdana" w:hAnsi="Verdana"/>
          <w:sz w:val="20"/>
          <w:szCs w:val="20"/>
          <w:lang w:val="es-CR"/>
        </w:rPr>
        <w:t>, y otra sobre “No agotamiento de los recursos de la jurisdicción interna”.</w:t>
      </w:r>
      <w:r w:rsidRPr="00DA5593">
        <w:rPr>
          <w:rFonts w:ascii="Verdana" w:hAnsi="Verdana"/>
          <w:sz w:val="18"/>
          <w:szCs w:val="18"/>
          <w:lang w:val="es-CR"/>
        </w:rPr>
        <w:t xml:space="preserve"> </w:t>
      </w:r>
      <w:r w:rsidRPr="00DA5593">
        <w:rPr>
          <w:rFonts w:ascii="Verdana" w:hAnsi="Verdana"/>
          <w:sz w:val="20"/>
          <w:szCs w:val="20"/>
          <w:lang w:val="es-CL"/>
        </w:rPr>
        <w:t xml:space="preserve"> El Estado designó a Erick Roberts, Director Nacional de Derechos Humanos de la Procuraduría General del Estado, Agente y a los señores Ro</w:t>
      </w:r>
      <w:r w:rsidR="00FF7A52">
        <w:rPr>
          <w:rFonts w:ascii="Verdana" w:hAnsi="Verdana"/>
          <w:sz w:val="20"/>
          <w:szCs w:val="20"/>
          <w:lang w:val="es-CL"/>
        </w:rPr>
        <w:t>drigo Durango y Al</w:t>
      </w:r>
      <w:r w:rsidRPr="00DA5593">
        <w:rPr>
          <w:rFonts w:ascii="Verdana" w:hAnsi="Verdana"/>
          <w:sz w:val="20"/>
          <w:szCs w:val="20"/>
          <w:lang w:val="es-CL"/>
        </w:rPr>
        <w:t xml:space="preserve">onso Fonseca Garcés, como Agentes Alternos. </w:t>
      </w:r>
    </w:p>
    <w:p w:rsidR="00F249DD" w:rsidRPr="007040F4" w:rsidRDefault="00F249DD" w:rsidP="003A4EDF">
      <w:pPr>
        <w:numPr>
          <w:ilvl w:val="0"/>
          <w:numId w:val="3"/>
        </w:numPr>
        <w:spacing w:before="120" w:after="120"/>
        <w:ind w:left="0" w:firstLine="15"/>
        <w:jc w:val="both"/>
        <w:rPr>
          <w:rFonts w:ascii="Verdana" w:hAnsi="Verdana"/>
          <w:sz w:val="20"/>
          <w:szCs w:val="20"/>
          <w:lang w:val="es-ES"/>
        </w:rPr>
      </w:pPr>
      <w:r w:rsidRPr="00DA5593">
        <w:rPr>
          <w:rFonts w:ascii="Verdana" w:hAnsi="Verdana"/>
          <w:sz w:val="20"/>
          <w:lang w:val="es-CR"/>
        </w:rPr>
        <w:t>Los días</w:t>
      </w:r>
      <w:r>
        <w:rPr>
          <w:rFonts w:ascii="Verdana" w:hAnsi="Verdana"/>
          <w:sz w:val="20"/>
          <w:lang w:val="es-CR"/>
        </w:rPr>
        <w:t xml:space="preserve"> </w:t>
      </w:r>
      <w:r w:rsidRPr="00DA5593">
        <w:rPr>
          <w:rFonts w:ascii="Verdana" w:hAnsi="Verdana"/>
          <w:sz w:val="20"/>
          <w:lang w:val="es-CR"/>
        </w:rPr>
        <w:t xml:space="preserve">19 y 21 de agosto de 2010 la Comisión y los representantes presentaron, respectivamente, sus alegatos escritos a las excepciones preliminares interpuestas por el Estado, y solicitaron a la Corte que </w:t>
      </w:r>
      <w:r>
        <w:rPr>
          <w:rFonts w:ascii="Verdana" w:hAnsi="Verdana"/>
          <w:sz w:val="20"/>
          <w:lang w:val="es-CR"/>
        </w:rPr>
        <w:t>las desestime</w:t>
      </w:r>
      <w:r w:rsidRPr="00DA5593">
        <w:rPr>
          <w:rFonts w:ascii="Verdana" w:hAnsi="Verdana"/>
          <w:sz w:val="20"/>
          <w:lang w:val="es-CR"/>
        </w:rPr>
        <w:t xml:space="preserve"> y prosiga con el fondo del caso. </w:t>
      </w:r>
    </w:p>
    <w:p w:rsidR="00F249DD" w:rsidRPr="00DA5593" w:rsidRDefault="00F249DD" w:rsidP="00120F89">
      <w:pPr>
        <w:jc w:val="both"/>
        <w:rPr>
          <w:rFonts w:ascii="Verdana" w:hAnsi="Verdana"/>
          <w:sz w:val="20"/>
          <w:szCs w:val="20"/>
          <w:lang w:val="es-MX"/>
        </w:rPr>
      </w:pPr>
    </w:p>
    <w:p w:rsidR="00F249DD" w:rsidRDefault="00F249DD" w:rsidP="00CA12BE">
      <w:pPr>
        <w:pStyle w:val="StyleHeading111ptJustified"/>
        <w:rPr>
          <w:sz w:val="20"/>
          <w:lang w:val="es-MX"/>
        </w:rPr>
      </w:pPr>
      <w:bookmarkStart w:id="18" w:name="_Toc286223886"/>
      <w:bookmarkStart w:id="19" w:name="_Toc294622244"/>
      <w:bookmarkStart w:id="20" w:name="_Toc294622613"/>
      <w:bookmarkStart w:id="21" w:name="_Toc294623386"/>
      <w:bookmarkStart w:id="22" w:name="_Toc294623641"/>
      <w:bookmarkStart w:id="23" w:name="_Toc294626190"/>
      <w:bookmarkStart w:id="24" w:name="_Toc294633766"/>
      <w:bookmarkStart w:id="25" w:name="_Toc294634474"/>
      <w:bookmarkStart w:id="26" w:name="_Toc294635300"/>
      <w:bookmarkStart w:id="27" w:name="_Toc294862692"/>
      <w:bookmarkStart w:id="28" w:name="_Toc294862755"/>
      <w:bookmarkStart w:id="29" w:name="_Toc295380306"/>
      <w:bookmarkStart w:id="30" w:name="_Toc295394458"/>
      <w:bookmarkStart w:id="31" w:name="_Toc295394612"/>
      <w:bookmarkStart w:id="32" w:name="_Toc295986064"/>
      <w:bookmarkStart w:id="33" w:name="_Toc295986282"/>
      <w:bookmarkStart w:id="34" w:name="_Toc295986402"/>
    </w:p>
    <w:p w:rsidR="00F249DD" w:rsidRPr="00A04CE3" w:rsidRDefault="00F249DD" w:rsidP="00D96D26">
      <w:pPr>
        <w:pStyle w:val="StyleHeading111ptJustified"/>
        <w:numPr>
          <w:ilvl w:val="0"/>
          <w:numId w:val="0"/>
        </w:numPr>
        <w:ind w:left="1170" w:hanging="720"/>
        <w:rPr>
          <w:caps/>
          <w:smallCaps w:val="0"/>
          <w:sz w:val="20"/>
          <w:lang w:val="es-MX"/>
        </w:rPr>
      </w:pPr>
      <w:r w:rsidRPr="00FC3247">
        <w:rPr>
          <w:caps/>
          <w:smallCaps w:val="0"/>
          <w:sz w:val="20"/>
          <w:lang w:val="es-MX"/>
        </w:rPr>
        <w:t>Procedimiento ante la Corte</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F249DD" w:rsidRPr="00DA5593" w:rsidRDefault="00F249DD" w:rsidP="00120F89">
      <w:pPr>
        <w:jc w:val="both"/>
        <w:rPr>
          <w:rFonts w:ascii="Verdana" w:hAnsi="Verdana"/>
          <w:sz w:val="20"/>
        </w:rPr>
      </w:pPr>
    </w:p>
    <w:p w:rsidR="00F249DD" w:rsidRPr="00DA5593" w:rsidRDefault="00F249DD" w:rsidP="00BD79C8">
      <w:pPr>
        <w:numPr>
          <w:ilvl w:val="0"/>
          <w:numId w:val="3"/>
        </w:numPr>
        <w:ind w:left="0" w:firstLine="0"/>
        <w:jc w:val="both"/>
        <w:rPr>
          <w:rFonts w:ascii="Verdana" w:hAnsi="Verdana"/>
          <w:sz w:val="20"/>
          <w:lang w:val="es-CR"/>
        </w:rPr>
      </w:pPr>
      <w:r w:rsidRPr="00DA5593">
        <w:rPr>
          <w:rFonts w:ascii="Verdana" w:hAnsi="Verdana"/>
          <w:sz w:val="20"/>
          <w:szCs w:val="20"/>
          <w:lang w:val="es-CR"/>
        </w:rPr>
        <w:t>La demanda fue notificada al Estado</w:t>
      </w:r>
      <w:r w:rsidRPr="00DA5593">
        <w:rPr>
          <w:rStyle w:val="Refdenotaalpie"/>
          <w:szCs w:val="20"/>
        </w:rPr>
        <w:footnoteReference w:id="6"/>
      </w:r>
      <w:r w:rsidRPr="00DA5593">
        <w:rPr>
          <w:rFonts w:ascii="Verdana" w:hAnsi="Verdana"/>
          <w:sz w:val="20"/>
          <w:szCs w:val="20"/>
          <w:lang w:val="es-CR"/>
        </w:rPr>
        <w:t xml:space="preserve"> y a los representantes el 18 de enero de 2010</w:t>
      </w:r>
      <w:r>
        <w:rPr>
          <w:rFonts w:ascii="Verdana" w:hAnsi="Verdana"/>
          <w:sz w:val="20"/>
          <w:szCs w:val="20"/>
          <w:lang w:val="es-CR"/>
        </w:rPr>
        <w:t>.</w:t>
      </w:r>
      <w:r w:rsidRPr="00DA5593">
        <w:rPr>
          <w:rFonts w:ascii="Verdana" w:hAnsi="Verdana"/>
          <w:sz w:val="20"/>
          <w:szCs w:val="20"/>
          <w:lang w:val="es-CR"/>
        </w:rPr>
        <w:t xml:space="preserve"> </w:t>
      </w:r>
    </w:p>
    <w:p w:rsidR="00F249DD" w:rsidRPr="00DA5593" w:rsidRDefault="00F249DD" w:rsidP="00120F89">
      <w:pPr>
        <w:jc w:val="both"/>
        <w:rPr>
          <w:rFonts w:ascii="Verdana" w:hAnsi="Verdana"/>
          <w:sz w:val="20"/>
          <w:lang w:val="es-CR"/>
        </w:rPr>
      </w:pPr>
    </w:p>
    <w:p w:rsidR="00F249DD" w:rsidRPr="000F5157" w:rsidRDefault="00F249DD" w:rsidP="00BD79C8">
      <w:pPr>
        <w:numPr>
          <w:ilvl w:val="0"/>
          <w:numId w:val="3"/>
        </w:numPr>
        <w:ind w:left="0" w:firstLine="0"/>
        <w:jc w:val="both"/>
        <w:rPr>
          <w:rFonts w:ascii="Verdana" w:hAnsi="Verdana"/>
          <w:sz w:val="20"/>
          <w:lang w:val="es-CR"/>
        </w:rPr>
      </w:pPr>
      <w:r w:rsidRPr="00DA5593">
        <w:rPr>
          <w:rFonts w:ascii="Verdana" w:hAnsi="Verdana" w:cs="Verdana"/>
          <w:sz w:val="20"/>
          <w:szCs w:val="20"/>
          <w:lang w:val="es-CR"/>
        </w:rPr>
        <w:t xml:space="preserve">Mediante Resolución de 2 de diciembre de 2010, </w:t>
      </w:r>
      <w:r w:rsidRPr="00C1613A">
        <w:rPr>
          <w:rFonts w:ascii="Verdana" w:hAnsi="Verdana" w:cs="Verdana"/>
          <w:sz w:val="20"/>
          <w:szCs w:val="20"/>
          <w:lang w:val="es-CR"/>
        </w:rPr>
        <w:t xml:space="preserve">el Presidente de la Corte </w:t>
      </w:r>
      <w:r>
        <w:rPr>
          <w:rFonts w:ascii="Verdana" w:hAnsi="Verdana" w:cs="Verdana"/>
          <w:sz w:val="20"/>
          <w:szCs w:val="20"/>
          <w:lang w:val="es-CR"/>
        </w:rPr>
        <w:t xml:space="preserve">(en adelante “el Presidente”) </w:t>
      </w:r>
      <w:r w:rsidRPr="00C1613A">
        <w:rPr>
          <w:rFonts w:ascii="Verdana" w:hAnsi="Verdana" w:cs="Verdana"/>
          <w:sz w:val="20"/>
          <w:szCs w:val="20"/>
          <w:lang w:val="es-CR"/>
        </w:rPr>
        <w:t>ordenó recibir una declaración de un perito rendida ante fedatario público (</w:t>
      </w:r>
      <w:r w:rsidRPr="00B072AB">
        <w:rPr>
          <w:rFonts w:ascii="Verdana" w:hAnsi="Verdana" w:cs="Verdana"/>
          <w:i/>
          <w:sz w:val="20"/>
          <w:szCs w:val="20"/>
          <w:lang w:val="es-CR"/>
        </w:rPr>
        <w:t>affidávit</w:t>
      </w:r>
      <w:r w:rsidRPr="00C1613A">
        <w:rPr>
          <w:rFonts w:ascii="Verdana" w:hAnsi="Verdana" w:cs="Verdana"/>
          <w:sz w:val="20"/>
          <w:szCs w:val="20"/>
          <w:lang w:val="es-CR"/>
        </w:rPr>
        <w:t xml:space="preserve">), </w:t>
      </w:r>
      <w:r w:rsidRPr="00DA5593">
        <w:rPr>
          <w:rFonts w:ascii="Verdana" w:hAnsi="Verdana" w:cs="Verdana"/>
          <w:sz w:val="20"/>
          <w:szCs w:val="20"/>
          <w:lang w:val="es-CR"/>
        </w:rPr>
        <w:t>y convocó a las partes a una audiencia pública para escuchar las decla</w:t>
      </w:r>
      <w:r>
        <w:rPr>
          <w:rFonts w:ascii="Verdana" w:hAnsi="Verdana" w:cs="Verdana"/>
          <w:sz w:val="20"/>
          <w:szCs w:val="20"/>
          <w:lang w:val="es-CR"/>
        </w:rPr>
        <w:t>raciones de la presunta víctima</w:t>
      </w:r>
      <w:r w:rsidRPr="00DA5593">
        <w:rPr>
          <w:rFonts w:ascii="Verdana" w:hAnsi="Verdana" w:cs="Verdana"/>
          <w:sz w:val="20"/>
          <w:szCs w:val="20"/>
          <w:lang w:val="es-CR"/>
        </w:rPr>
        <w:t xml:space="preserve"> y </w:t>
      </w:r>
      <w:r>
        <w:rPr>
          <w:rFonts w:ascii="Verdana" w:hAnsi="Verdana" w:cs="Verdana"/>
          <w:sz w:val="20"/>
          <w:szCs w:val="20"/>
          <w:lang w:val="es-CR"/>
        </w:rPr>
        <w:t xml:space="preserve">los </w:t>
      </w:r>
      <w:r w:rsidRPr="00DA5593">
        <w:rPr>
          <w:rFonts w:ascii="Verdana" w:hAnsi="Verdana" w:cs="Verdana"/>
          <w:sz w:val="20"/>
          <w:szCs w:val="20"/>
          <w:lang w:val="es-CR"/>
        </w:rPr>
        <w:t>peritos propuestos por la Comisión y el Estado, así como los alegatos orales de las partes sobre las excepciones preliminares y eventuales fondo</w:t>
      </w:r>
      <w:r>
        <w:rPr>
          <w:rFonts w:ascii="Verdana" w:hAnsi="Verdana" w:cs="Verdana"/>
          <w:sz w:val="20"/>
          <w:szCs w:val="20"/>
          <w:lang w:val="es-CR"/>
        </w:rPr>
        <w:t xml:space="preserve">, </w:t>
      </w:r>
      <w:r w:rsidRPr="00DA5593">
        <w:rPr>
          <w:rFonts w:ascii="Verdana" w:hAnsi="Verdana" w:cs="Verdana"/>
          <w:sz w:val="20"/>
          <w:szCs w:val="20"/>
          <w:lang w:val="es-CR"/>
        </w:rPr>
        <w:t xml:space="preserve">reparaciones y costas, y además fijó plazo hasta el 28 de marzo de 2011 para que las partes presentaran sus alegatos finales escritos. </w:t>
      </w:r>
    </w:p>
    <w:p w:rsidR="00F249DD" w:rsidRPr="00DA5593" w:rsidRDefault="00F249DD" w:rsidP="00143CFE">
      <w:pPr>
        <w:pStyle w:val="Prrafodelista"/>
        <w:rPr>
          <w:rFonts w:ascii="Verdana" w:hAnsi="Verdana"/>
          <w:sz w:val="20"/>
          <w:szCs w:val="20"/>
          <w:lang w:val="es-CR"/>
        </w:rPr>
      </w:pPr>
    </w:p>
    <w:p w:rsidR="00F249DD" w:rsidRPr="00E771D0" w:rsidRDefault="00F249DD" w:rsidP="00120F89">
      <w:pPr>
        <w:numPr>
          <w:ilvl w:val="0"/>
          <w:numId w:val="3"/>
        </w:numPr>
        <w:ind w:left="0" w:firstLine="0"/>
        <w:jc w:val="both"/>
        <w:rPr>
          <w:rFonts w:ascii="Verdana" w:hAnsi="Verdana"/>
          <w:sz w:val="20"/>
          <w:lang w:val="es-CR"/>
        </w:rPr>
      </w:pPr>
      <w:r w:rsidRPr="00DA5593">
        <w:rPr>
          <w:rFonts w:ascii="Verdana" w:hAnsi="Verdana"/>
          <w:sz w:val="20"/>
          <w:szCs w:val="20"/>
          <w:lang w:val="es-CR"/>
        </w:rPr>
        <w:t xml:space="preserve">El 19 de enero de 2011 los representantes remitieron una “declaración juramentada” del peritaje del señor Víctor Hugo López Vallejo, siete días después de vencido el plazo para su remisión, ya que de acuerdo con el punto resolutivo segundo de la Resolución del Presidente de 2 de diciembre de </w:t>
      </w:r>
      <w:r w:rsidRPr="00E23CB0">
        <w:rPr>
          <w:rFonts w:ascii="Verdana" w:hAnsi="Verdana"/>
          <w:sz w:val="20"/>
          <w:szCs w:val="20"/>
          <w:lang w:val="es-CR"/>
        </w:rPr>
        <w:t xml:space="preserve">2010, </w:t>
      </w:r>
      <w:r w:rsidRPr="00E505BE">
        <w:rPr>
          <w:rFonts w:ascii="Verdana" w:hAnsi="Verdana"/>
          <w:sz w:val="20"/>
          <w:szCs w:val="20"/>
          <w:lang w:val="es-CR"/>
        </w:rPr>
        <w:t>se había ordenado su presentación a más tardar el 12 de enero de 2011. Siguiendo</w:t>
      </w:r>
      <w:r w:rsidRPr="00DA5593">
        <w:rPr>
          <w:rFonts w:ascii="Verdana" w:hAnsi="Verdana"/>
          <w:sz w:val="20"/>
          <w:szCs w:val="20"/>
          <w:lang w:val="es-CR"/>
        </w:rPr>
        <w:t xml:space="preserve"> instrucciones del Presidente se informó a los representantes que se ha</w:t>
      </w:r>
      <w:r>
        <w:rPr>
          <w:rFonts w:ascii="Verdana" w:hAnsi="Verdana"/>
          <w:sz w:val="20"/>
          <w:szCs w:val="20"/>
          <w:lang w:val="es-CR"/>
        </w:rPr>
        <w:t>bía</w:t>
      </w:r>
      <w:r w:rsidRPr="00DA5593">
        <w:rPr>
          <w:rFonts w:ascii="Verdana" w:hAnsi="Verdana"/>
          <w:sz w:val="20"/>
          <w:szCs w:val="20"/>
          <w:lang w:val="es-CR"/>
        </w:rPr>
        <w:t xml:space="preserve"> desestimado la referida declaración pericial por su presentación extemporánea</w:t>
      </w:r>
      <w:r w:rsidRPr="00E23CB0">
        <w:rPr>
          <w:rFonts w:ascii="Verdana" w:hAnsi="Verdana"/>
          <w:sz w:val="20"/>
          <w:szCs w:val="20"/>
          <w:lang w:val="es-CR"/>
        </w:rPr>
        <w:t>.</w:t>
      </w:r>
      <w:r w:rsidRPr="00DA5593">
        <w:rPr>
          <w:rFonts w:ascii="Verdana" w:hAnsi="Verdana" w:cs="Verdana"/>
          <w:sz w:val="20"/>
          <w:szCs w:val="20"/>
          <w:lang w:val="es-CR"/>
        </w:rPr>
        <w:t xml:space="preserve"> </w:t>
      </w:r>
    </w:p>
    <w:p w:rsidR="00F249DD" w:rsidRPr="00DA5593" w:rsidRDefault="00F249DD" w:rsidP="00143CFE">
      <w:pPr>
        <w:pStyle w:val="Prrafodelista"/>
        <w:rPr>
          <w:rFonts w:ascii="Verdana" w:hAnsi="Verdana" w:cs="Verdana"/>
          <w:sz w:val="20"/>
          <w:szCs w:val="20"/>
          <w:lang w:val="es-CR"/>
        </w:rPr>
      </w:pPr>
    </w:p>
    <w:p w:rsidR="00F249DD" w:rsidRPr="001750AA" w:rsidRDefault="00F249DD" w:rsidP="00120F89">
      <w:pPr>
        <w:numPr>
          <w:ilvl w:val="0"/>
          <w:numId w:val="3"/>
        </w:numPr>
        <w:ind w:left="0" w:firstLine="0"/>
        <w:jc w:val="both"/>
        <w:rPr>
          <w:rFonts w:ascii="Verdana" w:hAnsi="Verdana"/>
          <w:sz w:val="20"/>
          <w:lang w:val="es-CR"/>
        </w:rPr>
      </w:pPr>
      <w:r w:rsidRPr="00DA5593">
        <w:rPr>
          <w:rFonts w:ascii="Verdana" w:hAnsi="Verdana" w:cs="Verdana"/>
          <w:sz w:val="20"/>
          <w:szCs w:val="20"/>
          <w:lang w:val="es-CR"/>
        </w:rPr>
        <w:t>La audiencia pública fue celebrada el 28 de febrero de 2011 durante el 96 Período Ordinario de Sesiones de la Corte, llevado a cabo en su sede</w:t>
      </w:r>
      <w:r w:rsidRPr="00DA5593">
        <w:rPr>
          <w:rStyle w:val="Refdenotaalpie"/>
          <w:rFonts w:ascii="Verdana" w:hAnsi="Verdana"/>
          <w:sz w:val="20"/>
          <w:szCs w:val="20"/>
        </w:rPr>
        <w:footnoteReference w:id="7"/>
      </w:r>
      <w:r w:rsidRPr="00DA5593">
        <w:rPr>
          <w:rFonts w:ascii="Verdana" w:hAnsi="Verdana" w:cs="Verdana"/>
          <w:sz w:val="20"/>
          <w:szCs w:val="20"/>
          <w:lang w:val="es-CR"/>
        </w:rPr>
        <w:t>.</w:t>
      </w:r>
    </w:p>
    <w:p w:rsidR="00F249DD" w:rsidRDefault="00F249DD" w:rsidP="00120F89">
      <w:pPr>
        <w:jc w:val="both"/>
        <w:rPr>
          <w:rFonts w:ascii="Verdana" w:hAnsi="Verdana"/>
          <w:sz w:val="20"/>
          <w:lang w:val="es-CR"/>
        </w:rPr>
      </w:pPr>
    </w:p>
    <w:p w:rsidR="00F249DD" w:rsidRDefault="00F249DD">
      <w:pPr>
        <w:numPr>
          <w:ilvl w:val="0"/>
          <w:numId w:val="3"/>
        </w:numPr>
        <w:ind w:left="0" w:firstLine="0"/>
        <w:jc w:val="both"/>
        <w:rPr>
          <w:rFonts w:ascii="Verdana" w:hAnsi="Verdana"/>
          <w:sz w:val="20"/>
          <w:szCs w:val="20"/>
          <w:lang w:val="es-CR"/>
        </w:rPr>
      </w:pPr>
      <w:r w:rsidRPr="00370910">
        <w:rPr>
          <w:rFonts w:ascii="Verdana" w:hAnsi="Verdana"/>
          <w:sz w:val="20"/>
          <w:szCs w:val="20"/>
          <w:lang w:val="es-CR"/>
        </w:rPr>
        <w:t xml:space="preserve">El 28 de marzo de 2011 la Comisión, los representantes y el Estado presentaron sus alegatos finales escritos. Los días 5 y 15 de abril de 2011 los representantes y el Estado remitieron, respectivamente, los anexos anunciados en sus escritos de alegatos finales escritos.  </w:t>
      </w:r>
    </w:p>
    <w:p w:rsidR="00F249DD" w:rsidRDefault="00F249DD" w:rsidP="001750AA">
      <w:pPr>
        <w:jc w:val="both"/>
        <w:rPr>
          <w:rFonts w:ascii="Verdana" w:hAnsi="Verdana" w:cs="Verdana"/>
          <w:b/>
          <w:bCs/>
          <w:sz w:val="20"/>
          <w:szCs w:val="20"/>
          <w:lang w:val="es-CR"/>
        </w:rPr>
      </w:pPr>
    </w:p>
    <w:p w:rsidR="00F249DD" w:rsidRPr="00EA0554" w:rsidRDefault="00F249DD" w:rsidP="00120F89">
      <w:pPr>
        <w:numPr>
          <w:ilvl w:val="0"/>
          <w:numId w:val="3"/>
        </w:numPr>
        <w:ind w:left="0" w:firstLine="0"/>
        <w:jc w:val="both"/>
        <w:rPr>
          <w:rFonts w:ascii="Verdana" w:hAnsi="Verdana"/>
          <w:sz w:val="20"/>
          <w:szCs w:val="20"/>
          <w:lang w:val="es-CR"/>
        </w:rPr>
      </w:pPr>
      <w:r w:rsidRPr="00EA0554">
        <w:rPr>
          <w:rFonts w:ascii="Verdana" w:hAnsi="Verdana"/>
          <w:sz w:val="20"/>
          <w:szCs w:val="20"/>
          <w:lang w:val="es-CR"/>
        </w:rPr>
        <w:t>El 5 de abril de 2011 l</w:t>
      </w:r>
      <w:r w:rsidRPr="00EA0554">
        <w:rPr>
          <w:rFonts w:ascii="Verdana" w:hAnsi="Verdana"/>
          <w:sz w:val="20"/>
          <w:szCs w:val="20"/>
          <w:lang w:val="es-EC"/>
        </w:rPr>
        <w:t>a Comisión Interamericana</w:t>
      </w:r>
      <w:r w:rsidRPr="00EA0554">
        <w:rPr>
          <w:rFonts w:ascii="Verdana" w:hAnsi="Verdana"/>
          <w:sz w:val="20"/>
          <w:szCs w:val="20"/>
          <w:lang w:val="es-CR"/>
        </w:rPr>
        <w:t xml:space="preserve"> remitió el documento titulado “La Justicia Constitucional Ecuatoriana en la Constitución de 2008” de autoría del perito Jaime Vintimilla.</w:t>
      </w:r>
    </w:p>
    <w:p w:rsidR="00F249DD" w:rsidRPr="001750AA" w:rsidRDefault="00F249DD" w:rsidP="00120F89">
      <w:pPr>
        <w:jc w:val="both"/>
        <w:rPr>
          <w:rFonts w:ascii="Verdana" w:hAnsi="Verdana"/>
          <w:sz w:val="20"/>
          <w:szCs w:val="20"/>
          <w:lang w:val="es-CR"/>
        </w:rPr>
      </w:pPr>
    </w:p>
    <w:p w:rsidR="00F249DD" w:rsidRPr="000C7602" w:rsidRDefault="00F249DD" w:rsidP="00BD79C8">
      <w:pPr>
        <w:numPr>
          <w:ilvl w:val="0"/>
          <w:numId w:val="3"/>
        </w:numPr>
        <w:ind w:left="0" w:firstLine="0"/>
        <w:jc w:val="both"/>
        <w:rPr>
          <w:rFonts w:ascii="Verdana" w:hAnsi="Verdana"/>
          <w:sz w:val="20"/>
          <w:szCs w:val="20"/>
          <w:lang w:val="es-CR"/>
        </w:rPr>
      </w:pPr>
      <w:r w:rsidRPr="00370910">
        <w:rPr>
          <w:rFonts w:ascii="Verdana" w:hAnsi="Verdana"/>
          <w:sz w:val="20"/>
          <w:szCs w:val="20"/>
          <w:lang w:val="es-CR"/>
        </w:rPr>
        <w:t>El 26 de abril de 2011</w:t>
      </w:r>
      <w:r w:rsidRPr="00370910">
        <w:rPr>
          <w:rFonts w:ascii="Verdana" w:hAnsi="Verdana" w:cs="Verdana"/>
          <w:sz w:val="20"/>
          <w:szCs w:val="20"/>
          <w:lang w:val="es-ES" w:eastAsia="es-ES"/>
        </w:rPr>
        <w:t xml:space="preserve"> se concedió a las partes un plazo </w:t>
      </w:r>
      <w:r w:rsidRPr="00370910">
        <w:rPr>
          <w:rFonts w:ascii="Verdana" w:hAnsi="Verdana" w:cs="Courier New"/>
          <w:sz w:val="20"/>
          <w:szCs w:val="20"/>
          <w:lang w:val="es-CR"/>
        </w:rPr>
        <w:t>hasta el 4 de mayo de 2011 para</w:t>
      </w:r>
      <w:r>
        <w:rPr>
          <w:rFonts w:ascii="Verdana" w:hAnsi="Verdana" w:cs="Courier New"/>
          <w:sz w:val="20"/>
          <w:szCs w:val="20"/>
          <w:lang w:val="es-CR"/>
        </w:rPr>
        <w:t xml:space="preserve"> que</w:t>
      </w:r>
      <w:r w:rsidRPr="00370910">
        <w:rPr>
          <w:rFonts w:ascii="Verdana" w:hAnsi="Verdana" w:cs="Courier New"/>
          <w:sz w:val="20"/>
          <w:szCs w:val="20"/>
          <w:lang w:val="es-CR"/>
        </w:rPr>
        <w:t xml:space="preserve"> presentaran las observaciones que estimara</w:t>
      </w:r>
      <w:r>
        <w:rPr>
          <w:rFonts w:ascii="Verdana" w:hAnsi="Verdana" w:cs="Courier New"/>
          <w:sz w:val="20"/>
          <w:szCs w:val="20"/>
          <w:lang w:val="es-CR"/>
        </w:rPr>
        <w:t>n</w:t>
      </w:r>
      <w:r w:rsidRPr="00370910">
        <w:rPr>
          <w:rFonts w:ascii="Verdana" w:hAnsi="Verdana" w:cs="Courier New"/>
          <w:sz w:val="20"/>
          <w:szCs w:val="20"/>
          <w:lang w:val="es-CR"/>
        </w:rPr>
        <w:t xml:space="preserve"> pertinentes, según sea el caso, a los anexos remitidos por el Estado y los representantes</w:t>
      </w:r>
      <w:r>
        <w:rPr>
          <w:rFonts w:ascii="Verdana" w:hAnsi="Verdana" w:cs="Courier New"/>
          <w:sz w:val="20"/>
          <w:szCs w:val="20"/>
          <w:lang w:val="es-CR"/>
        </w:rPr>
        <w:t xml:space="preserve"> junto con los alegatos finales (</w:t>
      </w:r>
      <w:r w:rsidRPr="003807CB">
        <w:rPr>
          <w:rFonts w:ascii="Verdana" w:hAnsi="Verdana" w:cs="Courier New"/>
          <w:i/>
          <w:sz w:val="20"/>
          <w:szCs w:val="20"/>
          <w:lang w:val="es-CR"/>
        </w:rPr>
        <w:t xml:space="preserve">supra </w:t>
      </w:r>
      <w:r>
        <w:rPr>
          <w:rFonts w:ascii="Verdana" w:hAnsi="Verdana" w:cs="Courier New"/>
          <w:sz w:val="20"/>
          <w:szCs w:val="20"/>
          <w:lang w:val="es-CR"/>
        </w:rPr>
        <w:t>párr. 11)</w:t>
      </w:r>
      <w:r w:rsidRPr="00370910">
        <w:rPr>
          <w:rFonts w:ascii="Verdana" w:hAnsi="Verdana" w:cs="Courier New"/>
          <w:sz w:val="20"/>
          <w:szCs w:val="20"/>
          <w:lang w:val="es-CR"/>
        </w:rPr>
        <w:t xml:space="preserve">. </w:t>
      </w:r>
      <w:r w:rsidRPr="009D028F">
        <w:rPr>
          <w:rFonts w:ascii="Verdana" w:hAnsi="Verdana" w:cs="Courier New"/>
          <w:sz w:val="20"/>
          <w:szCs w:val="20"/>
          <w:lang w:val="es-CR"/>
        </w:rPr>
        <w:t xml:space="preserve">El 4 de mayo de 2011 </w:t>
      </w:r>
      <w:r>
        <w:rPr>
          <w:rFonts w:ascii="Verdana" w:hAnsi="Verdana" w:cs="Courier New"/>
          <w:sz w:val="20"/>
          <w:szCs w:val="20"/>
          <w:lang w:val="es-CR"/>
        </w:rPr>
        <w:t xml:space="preserve">la </w:t>
      </w:r>
      <w:r w:rsidRPr="009D028F">
        <w:rPr>
          <w:rFonts w:ascii="Verdana" w:hAnsi="Verdana"/>
          <w:sz w:val="20"/>
          <w:szCs w:val="20"/>
          <w:lang w:val="es-CR"/>
        </w:rPr>
        <w:t xml:space="preserve">Comisión y los representantes presentaron sus </w:t>
      </w:r>
      <w:r w:rsidRPr="00074D80">
        <w:rPr>
          <w:rFonts w:ascii="Verdana" w:hAnsi="Verdana"/>
          <w:sz w:val="20"/>
          <w:szCs w:val="20"/>
          <w:lang w:val="es-CR"/>
        </w:rPr>
        <w:t>observaciones. El Estado no remitió observaciones al respecto. El 16 de mayo de 2011</w:t>
      </w:r>
      <w:r>
        <w:rPr>
          <w:rFonts w:ascii="Verdana" w:hAnsi="Verdana"/>
          <w:sz w:val="20"/>
          <w:szCs w:val="20"/>
          <w:lang w:val="es-CR"/>
        </w:rPr>
        <w:t xml:space="preserve"> el Estado</w:t>
      </w:r>
      <w:r w:rsidRPr="00074D80">
        <w:rPr>
          <w:rFonts w:ascii="Verdana" w:hAnsi="Verdana"/>
          <w:sz w:val="20"/>
          <w:szCs w:val="20"/>
          <w:lang w:val="es-CR"/>
        </w:rPr>
        <w:t xml:space="preserve"> manifestó </w:t>
      </w:r>
      <w:r>
        <w:rPr>
          <w:rFonts w:ascii="Verdana" w:hAnsi="Verdana"/>
          <w:sz w:val="20"/>
          <w:szCs w:val="20"/>
          <w:lang w:val="es-CR"/>
        </w:rPr>
        <w:t xml:space="preserve">que </w:t>
      </w:r>
      <w:r w:rsidRPr="00074D80">
        <w:rPr>
          <w:rFonts w:ascii="Verdana" w:hAnsi="Verdana"/>
          <w:sz w:val="20"/>
          <w:szCs w:val="20"/>
          <w:lang w:val="es-CR"/>
        </w:rPr>
        <w:t>los representantes transgredieron la disposición de la Corte</w:t>
      </w:r>
      <w:r>
        <w:rPr>
          <w:rFonts w:ascii="Verdana" w:hAnsi="Verdana"/>
          <w:sz w:val="20"/>
          <w:szCs w:val="20"/>
          <w:lang w:val="es-CR"/>
        </w:rPr>
        <w:t>, ya que no se pronunciaron sobre los anexos presentados junto con los alegatos finales del Estado, sino que en su lugar se pronunciaron sobre los alegatos escritos del Estado</w:t>
      </w:r>
      <w:r w:rsidRPr="00074D80">
        <w:rPr>
          <w:rFonts w:ascii="Verdana" w:hAnsi="Verdana"/>
          <w:sz w:val="20"/>
          <w:szCs w:val="20"/>
          <w:lang w:val="es-CR"/>
        </w:rPr>
        <w:t>,</w:t>
      </w:r>
      <w:r>
        <w:rPr>
          <w:rFonts w:ascii="Verdana" w:hAnsi="Verdana"/>
          <w:sz w:val="20"/>
          <w:szCs w:val="20"/>
          <w:lang w:val="es-CR"/>
        </w:rPr>
        <w:t xml:space="preserve"> violando el principio de lealtad procesal y</w:t>
      </w:r>
      <w:r w:rsidRPr="00074D80">
        <w:rPr>
          <w:rFonts w:ascii="Verdana" w:hAnsi="Verdana"/>
          <w:sz w:val="20"/>
          <w:szCs w:val="20"/>
          <w:lang w:val="es-CR"/>
        </w:rPr>
        <w:t xml:space="preserve"> solicitó se deje sin efecto la intervención de los representantes.</w:t>
      </w:r>
      <w:r w:rsidRPr="00C1613A">
        <w:rPr>
          <w:rFonts w:ascii="Verdana" w:hAnsi="Verdana"/>
          <w:b/>
          <w:sz w:val="20"/>
          <w:szCs w:val="20"/>
          <w:lang w:val="es-CR"/>
        </w:rPr>
        <w:t xml:space="preserve"> </w:t>
      </w:r>
      <w:r w:rsidRPr="0059593D">
        <w:rPr>
          <w:rFonts w:ascii="Verdana" w:hAnsi="Verdana"/>
          <w:sz w:val="20"/>
          <w:szCs w:val="20"/>
          <w:lang w:val="es-CR"/>
        </w:rPr>
        <w:t xml:space="preserve">Posteriormente, el 20 de junio </w:t>
      </w:r>
      <w:r w:rsidRPr="00001420">
        <w:rPr>
          <w:rFonts w:ascii="Verdana" w:hAnsi="Verdana"/>
          <w:sz w:val="20"/>
          <w:szCs w:val="20"/>
          <w:lang w:val="es-CR"/>
        </w:rPr>
        <w:t xml:space="preserve">de 2011 el Estado suministró información reciente sobre el nuevo procedimiento de </w:t>
      </w:r>
      <w:r w:rsidRPr="00FC3247">
        <w:rPr>
          <w:rFonts w:ascii="Verdana" w:hAnsi="Verdana"/>
          <w:sz w:val="20"/>
          <w:szCs w:val="20"/>
          <w:lang w:val="es-CR"/>
        </w:rPr>
        <w:t>calificación</w:t>
      </w:r>
      <w:r w:rsidRPr="0059593D">
        <w:rPr>
          <w:rFonts w:ascii="Verdana" w:hAnsi="Verdana"/>
          <w:sz w:val="20"/>
          <w:szCs w:val="20"/>
          <w:lang w:val="es-CR"/>
        </w:rPr>
        <w:t xml:space="preserve"> de la presunta víctima. Al respecto, el 24 de junio de 2011 la Secretaría, siguiendo instrucciones del Presidente, solicitó a la Comisión y representantes </w:t>
      </w:r>
      <w:r w:rsidRPr="001A07F4">
        <w:rPr>
          <w:rFonts w:ascii="Verdana" w:hAnsi="Verdana"/>
          <w:sz w:val="20"/>
          <w:szCs w:val="20"/>
          <w:lang w:val="es-CR"/>
        </w:rPr>
        <w:t>“si lo estimaran conveniente”</w:t>
      </w:r>
      <w:r w:rsidRPr="0059593D">
        <w:rPr>
          <w:rFonts w:ascii="Verdana" w:hAnsi="Verdana"/>
          <w:sz w:val="20"/>
          <w:szCs w:val="20"/>
          <w:lang w:val="es-CR"/>
        </w:rPr>
        <w:t xml:space="preserve"> </w:t>
      </w:r>
      <w:r>
        <w:rPr>
          <w:rFonts w:ascii="Verdana" w:hAnsi="Verdana"/>
          <w:sz w:val="20"/>
          <w:szCs w:val="20"/>
          <w:lang w:val="es-CR"/>
        </w:rPr>
        <w:t xml:space="preserve">remitieran </w:t>
      </w:r>
      <w:r w:rsidRPr="0059593D">
        <w:rPr>
          <w:rFonts w:ascii="Verdana" w:hAnsi="Verdana"/>
          <w:sz w:val="20"/>
          <w:szCs w:val="20"/>
          <w:lang w:val="es-CR"/>
        </w:rPr>
        <w:t>observaciones al referido escrito estatal. El 28 de junio de 2011 tanto los representantes como la Comisión remitieron sus respectivos escritos al respecto.</w:t>
      </w:r>
    </w:p>
    <w:p w:rsidR="00F249DD" w:rsidRPr="00DA5593" w:rsidRDefault="00F249DD" w:rsidP="00120F89">
      <w:pPr>
        <w:jc w:val="both"/>
        <w:rPr>
          <w:rFonts w:ascii="Verdana" w:hAnsi="Verdana"/>
          <w:sz w:val="20"/>
          <w:szCs w:val="20"/>
          <w:lang w:val="es-MX"/>
        </w:rPr>
      </w:pPr>
    </w:p>
    <w:p w:rsidR="00F249DD" w:rsidRPr="00D96D26" w:rsidRDefault="00F249DD" w:rsidP="000C7602">
      <w:pPr>
        <w:pStyle w:val="StyleHeading111ptJustified"/>
        <w:rPr>
          <w:i/>
          <w:noProof/>
          <w:sz w:val="20"/>
          <w:u w:val="single"/>
          <w:lang w:val="es-MX"/>
        </w:rPr>
      </w:pPr>
      <w:bookmarkStart w:id="35" w:name="_Toc286223887"/>
      <w:bookmarkStart w:id="36" w:name="_Toc294622245"/>
      <w:bookmarkStart w:id="37" w:name="_Toc294622614"/>
      <w:bookmarkStart w:id="38" w:name="_Toc294623387"/>
      <w:bookmarkStart w:id="39" w:name="_Toc294623642"/>
      <w:bookmarkStart w:id="40" w:name="_Toc294626191"/>
      <w:bookmarkStart w:id="41" w:name="_Toc294633767"/>
      <w:bookmarkStart w:id="42" w:name="_Toc294634475"/>
      <w:bookmarkStart w:id="43" w:name="_Toc294635301"/>
      <w:bookmarkStart w:id="44" w:name="_Toc294862693"/>
      <w:bookmarkStart w:id="45" w:name="_Toc294862756"/>
      <w:bookmarkStart w:id="46" w:name="_Toc295380307"/>
      <w:bookmarkStart w:id="47" w:name="_Toc295394459"/>
      <w:bookmarkStart w:id="48" w:name="_Toc295394613"/>
      <w:bookmarkStart w:id="49" w:name="_Toc295986065"/>
      <w:bookmarkStart w:id="50" w:name="_Toc295986283"/>
      <w:bookmarkStart w:id="51" w:name="_Toc295986403"/>
    </w:p>
    <w:p w:rsidR="00F249DD" w:rsidRPr="00A04CE3" w:rsidRDefault="00F249DD" w:rsidP="00D96D26">
      <w:pPr>
        <w:pStyle w:val="StyleHeading111ptJustified"/>
        <w:numPr>
          <w:ilvl w:val="0"/>
          <w:numId w:val="0"/>
        </w:numPr>
        <w:ind w:left="1170" w:hanging="720"/>
        <w:rPr>
          <w:i/>
          <w:caps/>
          <w:smallCaps w:val="0"/>
          <w:noProof/>
          <w:sz w:val="20"/>
          <w:u w:val="single"/>
          <w:lang w:val="es-MX"/>
        </w:rPr>
      </w:pPr>
      <w:r w:rsidRPr="00FC3247">
        <w:rPr>
          <w:caps/>
          <w:smallCaps w:val="0"/>
          <w:sz w:val="20"/>
          <w:lang w:val="es-MX"/>
        </w:rPr>
        <w:t>Excepciones Preliminares</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rsidR="00F249DD" w:rsidRDefault="00F249DD" w:rsidP="00120F89">
      <w:pPr>
        <w:jc w:val="both"/>
        <w:rPr>
          <w:rFonts w:ascii="Verdana" w:hAnsi="Verdana"/>
          <w:sz w:val="20"/>
          <w:szCs w:val="20"/>
          <w:lang w:val="es-CR"/>
        </w:rPr>
      </w:pPr>
    </w:p>
    <w:p w:rsidR="00F249DD" w:rsidRDefault="00F249DD" w:rsidP="00120F89">
      <w:pPr>
        <w:numPr>
          <w:ilvl w:val="0"/>
          <w:numId w:val="3"/>
        </w:numPr>
        <w:ind w:left="0" w:firstLine="0"/>
        <w:jc w:val="both"/>
        <w:rPr>
          <w:rFonts w:ascii="Verdana" w:hAnsi="Verdana"/>
          <w:sz w:val="20"/>
          <w:szCs w:val="20"/>
          <w:lang w:val="es-CR"/>
        </w:rPr>
      </w:pPr>
      <w:r w:rsidRPr="000C7602">
        <w:rPr>
          <w:rFonts w:ascii="Verdana" w:hAnsi="Verdana"/>
          <w:sz w:val="20"/>
          <w:szCs w:val="20"/>
          <w:lang w:val="es-CR"/>
        </w:rPr>
        <w:t xml:space="preserve">En su escrito de contestación de la demanda el Estado interpuso dos excepciones preliminares: </w:t>
      </w:r>
      <w:r w:rsidRPr="005F3704">
        <w:rPr>
          <w:rFonts w:ascii="Verdana" w:hAnsi="Verdana"/>
          <w:sz w:val="20"/>
          <w:szCs w:val="20"/>
          <w:lang w:val="es-CR"/>
        </w:rPr>
        <w:t>una basada en el argumento</w:t>
      </w:r>
      <w:r w:rsidRPr="00E23CB0">
        <w:rPr>
          <w:rFonts w:ascii="Verdana" w:hAnsi="Verdana"/>
          <w:sz w:val="20"/>
          <w:szCs w:val="20"/>
          <w:lang w:val="es-CR"/>
        </w:rPr>
        <w:t xml:space="preserve"> de tribunal de alzada o de cuarta instancia, y la otra sobre la </w:t>
      </w:r>
      <w:r w:rsidRPr="00C1613A">
        <w:rPr>
          <w:rFonts w:ascii="Verdana" w:hAnsi="Verdana"/>
          <w:sz w:val="20"/>
          <w:szCs w:val="20"/>
          <w:lang w:val="es-CR"/>
        </w:rPr>
        <w:t>supuesta</w:t>
      </w:r>
      <w:r w:rsidRPr="000C7602">
        <w:rPr>
          <w:rFonts w:ascii="Verdana" w:hAnsi="Verdana"/>
          <w:sz w:val="20"/>
          <w:szCs w:val="20"/>
          <w:lang w:val="es-CR"/>
        </w:rPr>
        <w:t xml:space="preserve"> falta de agotamiento de recursos internos. La Corte seguidamente analiza la procedencia de las excepciones preliminares interpuestas en el orden en que fueron planteadas.</w:t>
      </w:r>
    </w:p>
    <w:p w:rsidR="00F249DD" w:rsidRDefault="00F249DD" w:rsidP="00120F89">
      <w:pPr>
        <w:jc w:val="both"/>
        <w:rPr>
          <w:rFonts w:ascii="Verdana" w:hAnsi="Verdana"/>
          <w:sz w:val="20"/>
          <w:szCs w:val="20"/>
          <w:lang w:val="es-CR"/>
        </w:rPr>
      </w:pPr>
    </w:p>
    <w:p w:rsidR="00F249DD" w:rsidRDefault="00F249DD" w:rsidP="00120F89">
      <w:pPr>
        <w:jc w:val="both"/>
        <w:rPr>
          <w:rFonts w:ascii="Verdana" w:hAnsi="Verdana"/>
          <w:sz w:val="20"/>
          <w:szCs w:val="20"/>
          <w:lang w:val="es-CR"/>
        </w:rPr>
      </w:pPr>
    </w:p>
    <w:p w:rsidR="00F249DD" w:rsidRDefault="00F249DD" w:rsidP="00120F89">
      <w:pPr>
        <w:jc w:val="both"/>
        <w:rPr>
          <w:rFonts w:ascii="Verdana" w:hAnsi="Verdana"/>
          <w:sz w:val="20"/>
          <w:szCs w:val="20"/>
          <w:lang w:val="es-CR"/>
        </w:rPr>
      </w:pPr>
    </w:p>
    <w:p w:rsidR="00F249DD" w:rsidRDefault="00F249DD" w:rsidP="00120F89">
      <w:pPr>
        <w:jc w:val="both"/>
        <w:rPr>
          <w:rFonts w:ascii="Verdana" w:hAnsi="Verdana"/>
          <w:sz w:val="20"/>
          <w:szCs w:val="20"/>
          <w:lang w:val="es-CR"/>
        </w:rPr>
      </w:pPr>
    </w:p>
    <w:p w:rsidR="00F249DD" w:rsidRPr="007040F4" w:rsidRDefault="00F249DD" w:rsidP="007040F4">
      <w:pPr>
        <w:pStyle w:val="Ttulo2"/>
        <w:rPr>
          <w:lang w:val="es-MX"/>
        </w:rPr>
      </w:pPr>
      <w:r w:rsidRPr="007040F4">
        <w:rPr>
          <w:lang w:val="es-MX"/>
        </w:rPr>
        <w:tab/>
      </w:r>
      <w:bookmarkStart w:id="52" w:name="_Toc294635302"/>
      <w:bookmarkStart w:id="53" w:name="_Toc294862694"/>
      <w:bookmarkStart w:id="54" w:name="_Toc294862757"/>
      <w:bookmarkStart w:id="55" w:name="_Toc295380308"/>
      <w:bookmarkStart w:id="56" w:name="_Toc295394460"/>
      <w:bookmarkStart w:id="57" w:name="_Toc295394614"/>
      <w:bookmarkStart w:id="58" w:name="_Toc295986066"/>
      <w:bookmarkStart w:id="59" w:name="_Toc295986284"/>
      <w:bookmarkStart w:id="60" w:name="_Toc295986404"/>
      <w:r w:rsidRPr="007040F4">
        <w:rPr>
          <w:lang w:val="es-MX"/>
        </w:rPr>
        <w:t>Tribunal de Alzada o de Cuarta Instancia</w:t>
      </w:r>
      <w:bookmarkEnd w:id="52"/>
      <w:bookmarkEnd w:id="53"/>
      <w:bookmarkEnd w:id="54"/>
      <w:bookmarkEnd w:id="55"/>
      <w:bookmarkEnd w:id="56"/>
      <w:bookmarkEnd w:id="57"/>
      <w:bookmarkEnd w:id="58"/>
      <w:bookmarkEnd w:id="59"/>
      <w:bookmarkEnd w:id="60"/>
      <w:r w:rsidRPr="007040F4">
        <w:rPr>
          <w:lang w:val="es-MX"/>
        </w:rPr>
        <w:t xml:space="preserve"> </w:t>
      </w:r>
    </w:p>
    <w:p w:rsidR="00F249DD" w:rsidRPr="000C7602" w:rsidRDefault="00F249DD" w:rsidP="000C7602">
      <w:pPr>
        <w:pStyle w:val="Textoindependiente"/>
        <w:ind w:right="99"/>
        <w:rPr>
          <w:b/>
          <w:lang w:val="es-CR"/>
        </w:rPr>
      </w:pPr>
    </w:p>
    <w:p w:rsidR="00F249DD" w:rsidRPr="000C7602" w:rsidRDefault="00F249DD" w:rsidP="007040F4">
      <w:pPr>
        <w:spacing w:before="120" w:after="120"/>
        <w:jc w:val="both"/>
        <w:rPr>
          <w:rFonts w:ascii="Verdana" w:hAnsi="Verdana" w:cs="Verdana"/>
          <w:i/>
          <w:sz w:val="20"/>
          <w:szCs w:val="20"/>
          <w:lang w:val="es-ES"/>
        </w:rPr>
      </w:pPr>
      <w:r w:rsidRPr="000C7602">
        <w:rPr>
          <w:rFonts w:ascii="Verdana" w:hAnsi="Verdana" w:cs="Verdana"/>
          <w:i/>
          <w:sz w:val="20"/>
          <w:szCs w:val="20"/>
          <w:lang w:val="es-ES"/>
        </w:rPr>
        <w:t>Alegatos de las partes</w:t>
      </w:r>
    </w:p>
    <w:p w:rsidR="00F249DD" w:rsidRDefault="00F249DD" w:rsidP="00120F89">
      <w:pPr>
        <w:jc w:val="both"/>
        <w:rPr>
          <w:rFonts w:ascii="Verdana" w:hAnsi="Verdana"/>
          <w:sz w:val="20"/>
          <w:szCs w:val="20"/>
          <w:lang w:val="es-CR"/>
        </w:rPr>
      </w:pPr>
      <w:r w:rsidRPr="000C7602">
        <w:rPr>
          <w:rFonts w:ascii="Verdana" w:hAnsi="Verdana"/>
          <w:sz w:val="20"/>
          <w:szCs w:val="20"/>
          <w:lang w:val="es-CR"/>
        </w:rPr>
        <w:t xml:space="preserve"> </w:t>
      </w:r>
    </w:p>
    <w:p w:rsidR="00F249DD" w:rsidRPr="000C7602" w:rsidRDefault="00F249DD" w:rsidP="00BD79C8">
      <w:pPr>
        <w:numPr>
          <w:ilvl w:val="0"/>
          <w:numId w:val="3"/>
        </w:numPr>
        <w:ind w:left="0" w:firstLine="0"/>
        <w:jc w:val="both"/>
        <w:rPr>
          <w:rFonts w:ascii="Verdana" w:hAnsi="Verdana"/>
          <w:sz w:val="20"/>
          <w:szCs w:val="20"/>
          <w:lang w:val="es-CR"/>
        </w:rPr>
      </w:pPr>
      <w:r>
        <w:rPr>
          <w:rFonts w:ascii="Verdana" w:hAnsi="Verdana"/>
          <w:sz w:val="20"/>
          <w:szCs w:val="20"/>
          <w:lang w:val="es-CR"/>
        </w:rPr>
        <w:t>E</w:t>
      </w:r>
      <w:r w:rsidRPr="000C7602">
        <w:rPr>
          <w:rFonts w:ascii="Verdana" w:hAnsi="Verdana"/>
          <w:sz w:val="20"/>
          <w:szCs w:val="20"/>
          <w:lang w:val="es-CR"/>
        </w:rPr>
        <w:t>l Estado manifestó que “la protección internacional que otorgan los órganos de supervisión de la Convención es de carácter subsidiario” y</w:t>
      </w:r>
      <w:r>
        <w:rPr>
          <w:rFonts w:ascii="Verdana" w:hAnsi="Verdana"/>
          <w:sz w:val="20"/>
          <w:szCs w:val="20"/>
          <w:lang w:val="es-CR"/>
        </w:rPr>
        <w:t>,</w:t>
      </w:r>
      <w:r w:rsidRPr="000C7602">
        <w:rPr>
          <w:rFonts w:ascii="Verdana" w:hAnsi="Verdana"/>
          <w:sz w:val="20"/>
          <w:szCs w:val="20"/>
          <w:lang w:val="es-CR"/>
        </w:rPr>
        <w:t xml:space="preserve"> por lo tanto</w:t>
      </w:r>
      <w:r>
        <w:rPr>
          <w:rFonts w:ascii="Verdana" w:hAnsi="Verdana"/>
          <w:sz w:val="20"/>
          <w:szCs w:val="20"/>
          <w:lang w:val="es-CR"/>
        </w:rPr>
        <w:t>,</w:t>
      </w:r>
      <w:r w:rsidRPr="000C7602">
        <w:rPr>
          <w:rFonts w:ascii="Verdana" w:hAnsi="Verdana"/>
          <w:sz w:val="20"/>
          <w:szCs w:val="20"/>
          <w:lang w:val="es-CR"/>
        </w:rPr>
        <w:t xml:space="preserve"> la “Corte Interamericana de Derechos Humanos no examina las resoluciones, sino, siempre y solo si, se tratan de probadas violaciones a los derechos humanos”</w:t>
      </w:r>
      <w:r>
        <w:rPr>
          <w:rFonts w:ascii="Verdana" w:hAnsi="Verdana"/>
          <w:sz w:val="20"/>
          <w:szCs w:val="20"/>
          <w:lang w:val="es-CR"/>
        </w:rPr>
        <w:t xml:space="preserve">. </w:t>
      </w:r>
      <w:r w:rsidRPr="000C7602">
        <w:rPr>
          <w:rFonts w:ascii="Verdana" w:hAnsi="Verdana"/>
          <w:sz w:val="20"/>
          <w:szCs w:val="20"/>
          <w:lang w:val="es-CR"/>
        </w:rPr>
        <w:t>El Estado afirmó que “la pretensión de la presunta víctima llevaría</w:t>
      </w:r>
      <w:r>
        <w:rPr>
          <w:rFonts w:ascii="Verdana" w:hAnsi="Verdana"/>
          <w:sz w:val="20"/>
          <w:szCs w:val="20"/>
          <w:lang w:val="es-CR"/>
        </w:rPr>
        <w:t xml:space="preserve"> a</w:t>
      </w:r>
      <w:r w:rsidRPr="000C7602">
        <w:rPr>
          <w:rFonts w:ascii="Verdana" w:hAnsi="Verdana"/>
          <w:sz w:val="20"/>
          <w:szCs w:val="20"/>
          <w:lang w:val="es-CR"/>
        </w:rPr>
        <w:t xml:space="preserve"> la Corte a analizar y pronunciarse sobre situaciones de hecho y derecho, dentro del caso </w:t>
      </w:r>
      <w:r w:rsidRPr="000C7602">
        <w:rPr>
          <w:rFonts w:ascii="Verdana" w:hAnsi="Verdana"/>
          <w:i/>
          <w:sz w:val="20"/>
          <w:szCs w:val="20"/>
          <w:lang w:val="es-CR"/>
        </w:rPr>
        <w:t xml:space="preserve">sub judice </w:t>
      </w:r>
      <w:r w:rsidRPr="000C7602">
        <w:rPr>
          <w:rFonts w:ascii="Verdana" w:hAnsi="Verdana"/>
          <w:sz w:val="20"/>
          <w:szCs w:val="20"/>
          <w:lang w:val="es-CR"/>
        </w:rPr>
        <w:t>y del ordenamiento jurídico ecuatoriano, lo cual desborda su ámbito de competencia”</w:t>
      </w:r>
      <w:r>
        <w:rPr>
          <w:rFonts w:ascii="Verdana" w:hAnsi="Verdana"/>
          <w:sz w:val="20"/>
          <w:szCs w:val="20"/>
          <w:lang w:val="es-CR"/>
        </w:rPr>
        <w:t>. En efecto, Ecuador sostuvo</w:t>
      </w:r>
      <w:r w:rsidRPr="000C7602">
        <w:rPr>
          <w:rFonts w:ascii="Verdana" w:hAnsi="Verdana"/>
          <w:sz w:val="20"/>
          <w:szCs w:val="20"/>
          <w:lang w:val="es-CR"/>
        </w:rPr>
        <w:t xml:space="preserve"> que “los tribunales ecuatorianos en sus resoluciones siempre preservaron todas la garantías judiciales para el peticionario y las dictaron con sujeción a los lineamentos del debido proceso legal y sin violar ningún derecho protegido por la Convención”.</w:t>
      </w:r>
      <w:r w:rsidRPr="000C7602">
        <w:rPr>
          <w:rFonts w:ascii="Verdana" w:hAnsi="Verdana"/>
          <w:b/>
          <w:i/>
          <w:sz w:val="20"/>
          <w:szCs w:val="20"/>
          <w:lang w:val="es-CR"/>
        </w:rPr>
        <w:t xml:space="preserve"> </w:t>
      </w:r>
    </w:p>
    <w:p w:rsidR="00F249DD" w:rsidRPr="000C7602" w:rsidRDefault="00F249DD" w:rsidP="00120F89">
      <w:pPr>
        <w:jc w:val="both"/>
        <w:rPr>
          <w:rFonts w:ascii="Verdana" w:hAnsi="Verdana"/>
          <w:sz w:val="20"/>
          <w:szCs w:val="20"/>
          <w:lang w:val="es-CR"/>
        </w:rPr>
      </w:pPr>
    </w:p>
    <w:p w:rsidR="00F249DD" w:rsidRPr="00EA549D" w:rsidRDefault="00F249DD" w:rsidP="00120F89">
      <w:pPr>
        <w:numPr>
          <w:ilvl w:val="0"/>
          <w:numId w:val="3"/>
        </w:numPr>
        <w:ind w:left="0" w:firstLine="0"/>
        <w:jc w:val="both"/>
        <w:rPr>
          <w:rFonts w:ascii="Verdana" w:hAnsi="Verdana"/>
          <w:sz w:val="20"/>
          <w:szCs w:val="20"/>
          <w:highlight w:val="yellow"/>
          <w:lang w:val="es-CR"/>
        </w:rPr>
      </w:pPr>
      <w:r w:rsidRPr="00EA549D">
        <w:rPr>
          <w:rFonts w:ascii="Verdana" w:hAnsi="Verdana"/>
          <w:sz w:val="20"/>
          <w:szCs w:val="20"/>
          <w:highlight w:val="yellow"/>
          <w:lang w:val="es-CR"/>
        </w:rPr>
        <w:t xml:space="preserve">Por su parte, los representantes señalaron que en ningún momento solicitaron a la Corte “que determine errores de hecho o de derecho cometidos por parte del Pleno del Tribunal Constitucional”, sino que “declare la responsabilidad del Estado por la violación del artículo 25 de la Convención Americana por cuanto no se ha cumplido la sentencia emitida por el máximo </w:t>
      </w:r>
      <w:r w:rsidRPr="00EA549D">
        <w:rPr>
          <w:rFonts w:ascii="Verdana" w:hAnsi="Verdana"/>
          <w:sz w:val="20"/>
          <w:szCs w:val="20"/>
          <w:highlight w:val="yellow"/>
          <w:lang w:val="es-CR"/>
        </w:rPr>
        <w:lastRenderedPageBreak/>
        <w:t>organismo de control constitucional”. Agregaron que lo afirmado por el Estado “resultaría un contrasentido con la petición de que se declare la violación por incumplimiento” de la sentencia emitida por la Sala Plena del Tribunal Constitucional del 12 de marzo del 2002. Los representantes subrayaron que “el exigirse el cumplimiento de una sentencia judicial no constituye utilizar al Tribunal Interamericano como tribunal de cuarta instancia” y por lo tanto solicitaron a la Corte que declare como improcedente la presente excepción preliminar.</w:t>
      </w:r>
    </w:p>
    <w:p w:rsidR="00F249DD" w:rsidRDefault="00F249DD" w:rsidP="00120F89">
      <w:pPr>
        <w:jc w:val="both"/>
        <w:rPr>
          <w:rFonts w:ascii="Verdana" w:hAnsi="Verdana"/>
          <w:sz w:val="20"/>
          <w:szCs w:val="20"/>
          <w:lang w:val="es-CR"/>
        </w:rPr>
      </w:pPr>
    </w:p>
    <w:p w:rsidR="00F249DD" w:rsidRPr="00EA549D" w:rsidRDefault="00F249DD">
      <w:pPr>
        <w:numPr>
          <w:ilvl w:val="0"/>
          <w:numId w:val="3"/>
        </w:numPr>
        <w:ind w:left="0" w:firstLine="0"/>
        <w:jc w:val="both"/>
        <w:rPr>
          <w:rFonts w:ascii="Verdana" w:hAnsi="Verdana"/>
          <w:sz w:val="20"/>
          <w:szCs w:val="20"/>
          <w:highlight w:val="yellow"/>
          <w:lang w:val="es-CR"/>
        </w:rPr>
      </w:pPr>
      <w:r w:rsidRPr="00EA549D">
        <w:rPr>
          <w:rFonts w:ascii="Verdana" w:hAnsi="Verdana"/>
          <w:sz w:val="20"/>
          <w:szCs w:val="20"/>
          <w:highlight w:val="yellow"/>
          <w:lang w:val="es-CR"/>
        </w:rPr>
        <w:t xml:space="preserve">La Comisión alegó que “no pretende presentar cuestiones vinculadas con la interpretación o aplicación del derecho interno del Estado a los hechos” de este juicio, “sino que solicita que la Corte declare que el Estado ecuatoriano es responsable de la violación” de algunos derechos estipulados en instrumentos interamericanos. Además, la Comisión resaltó que ella habría analizado “oportuna y debidamente las cuestiones de admisibilidad en el presente caso”, y que en el informe de fondo y en la demanda, consideró que “el Estado era responsable de la violación a la protección judicial y a las garantías judiciales en perjuicio del señor Mejía Idrovo”. Por último, señaló que “la excepción interpuesta por el Estado es infundada, puesto que los argumentos estatales presuponen una evaluación de la materia de fondo de la demanda, la cual no constituye una excepción preliminar”. </w:t>
      </w:r>
    </w:p>
    <w:p w:rsidR="00F249DD" w:rsidRPr="002D1337" w:rsidRDefault="00F249DD" w:rsidP="00120F89">
      <w:pPr>
        <w:jc w:val="both"/>
        <w:rPr>
          <w:rFonts w:ascii="Verdana" w:hAnsi="Verdana"/>
          <w:sz w:val="20"/>
          <w:szCs w:val="20"/>
          <w:lang w:val="es-CR"/>
        </w:rPr>
      </w:pPr>
    </w:p>
    <w:p w:rsidR="00F249DD" w:rsidRPr="000C7602" w:rsidRDefault="00F249DD" w:rsidP="007040F4">
      <w:pPr>
        <w:spacing w:before="120" w:after="120"/>
        <w:jc w:val="both"/>
        <w:rPr>
          <w:rFonts w:ascii="Verdana" w:hAnsi="Verdana" w:cs="Verdana"/>
          <w:i/>
          <w:sz w:val="20"/>
          <w:szCs w:val="20"/>
          <w:lang w:val="es-ES"/>
        </w:rPr>
      </w:pPr>
      <w:r w:rsidRPr="000C7602">
        <w:rPr>
          <w:rFonts w:ascii="Verdana" w:hAnsi="Verdana" w:cs="Verdana"/>
          <w:i/>
          <w:sz w:val="20"/>
          <w:szCs w:val="20"/>
          <w:lang w:val="es-ES"/>
        </w:rPr>
        <w:t>Consideraciones de la Corte</w:t>
      </w:r>
    </w:p>
    <w:p w:rsidR="00F249DD" w:rsidRDefault="00F249DD" w:rsidP="00120F89">
      <w:pPr>
        <w:jc w:val="both"/>
        <w:rPr>
          <w:rFonts w:ascii="Verdana" w:hAnsi="Verdana"/>
          <w:sz w:val="20"/>
          <w:szCs w:val="20"/>
          <w:lang w:val="es-CR"/>
        </w:rPr>
      </w:pPr>
    </w:p>
    <w:p w:rsidR="00F249DD" w:rsidRPr="00C60ED0" w:rsidRDefault="00F249DD" w:rsidP="00120F89">
      <w:pPr>
        <w:numPr>
          <w:ilvl w:val="0"/>
          <w:numId w:val="3"/>
        </w:numPr>
        <w:ind w:left="0" w:firstLine="0"/>
        <w:jc w:val="both"/>
        <w:rPr>
          <w:rFonts w:ascii="Verdana" w:hAnsi="Verdana"/>
          <w:sz w:val="20"/>
          <w:szCs w:val="20"/>
          <w:lang w:val="es-CR"/>
        </w:rPr>
      </w:pPr>
      <w:r w:rsidRPr="000C7602">
        <w:rPr>
          <w:rFonts w:ascii="Verdana" w:hAnsi="Verdana"/>
          <w:sz w:val="20"/>
          <w:szCs w:val="20"/>
          <w:lang w:val="es-CR"/>
        </w:rPr>
        <w:t xml:space="preserve">Este Tribunal ha establecido que </w:t>
      </w:r>
      <w:r w:rsidRPr="000C7602">
        <w:rPr>
          <w:rFonts w:ascii="Verdana" w:hAnsi="Verdana"/>
          <w:sz w:val="20"/>
          <w:szCs w:val="20"/>
          <w:lang w:val="es-ES_tradnl"/>
        </w:rPr>
        <w:t>la jurisdicción internacional tiene carácter subsidiario</w:t>
      </w:r>
      <w:r w:rsidRPr="000C7602">
        <w:rPr>
          <w:rStyle w:val="Refdenotaalpie"/>
          <w:rFonts w:ascii="Verdana" w:hAnsi="Verdana"/>
          <w:sz w:val="20"/>
          <w:szCs w:val="20"/>
          <w:lang w:val="es-ES_tradnl"/>
        </w:rPr>
        <w:footnoteReference w:id="8"/>
      </w:r>
      <w:r w:rsidRPr="000C7602">
        <w:rPr>
          <w:rFonts w:ascii="Verdana" w:hAnsi="Verdana"/>
          <w:sz w:val="20"/>
          <w:szCs w:val="20"/>
          <w:lang w:val="es-ES_tradnl"/>
        </w:rPr>
        <w:t>, coadyuvante y complementario</w:t>
      </w:r>
      <w:r w:rsidRPr="000C7602">
        <w:rPr>
          <w:rStyle w:val="Refdenotaalpie"/>
          <w:rFonts w:ascii="Verdana" w:hAnsi="Verdana"/>
          <w:sz w:val="20"/>
          <w:szCs w:val="20"/>
          <w:lang w:val="es-ES_tradnl"/>
        </w:rPr>
        <w:footnoteReference w:id="9"/>
      </w:r>
      <w:r w:rsidRPr="000C7602">
        <w:rPr>
          <w:rFonts w:ascii="Verdana" w:hAnsi="Verdana"/>
          <w:sz w:val="20"/>
          <w:szCs w:val="20"/>
          <w:lang w:val="es-ES_tradnl"/>
        </w:rPr>
        <w:t xml:space="preserve">, </w:t>
      </w:r>
      <w:r w:rsidRPr="00C1613A">
        <w:rPr>
          <w:rFonts w:ascii="Verdana" w:hAnsi="Verdana"/>
          <w:sz w:val="20"/>
          <w:szCs w:val="20"/>
          <w:lang w:val="es-ES_tradnl"/>
        </w:rPr>
        <w:t>por lo que</w:t>
      </w:r>
      <w:r w:rsidRPr="00E23CB0">
        <w:rPr>
          <w:rFonts w:ascii="Verdana" w:hAnsi="Verdana"/>
          <w:sz w:val="20"/>
          <w:szCs w:val="20"/>
          <w:lang w:val="es-ES_tradnl"/>
        </w:rPr>
        <w:t xml:space="preserve"> </w:t>
      </w:r>
      <w:r w:rsidRPr="00E23CB0">
        <w:rPr>
          <w:rFonts w:ascii="Verdana" w:hAnsi="Verdana"/>
          <w:sz w:val="20"/>
          <w:szCs w:val="20"/>
          <w:lang w:val="es-CR"/>
        </w:rPr>
        <w:t>no desempeña funciones de tribunal de “cuarta instancia”.</w:t>
      </w:r>
      <w:r w:rsidRPr="00CD1462">
        <w:rPr>
          <w:rFonts w:ascii="Verdana" w:hAnsi="Verdana"/>
          <w:sz w:val="20"/>
          <w:szCs w:val="20"/>
          <w:lang w:val="es-CR"/>
        </w:rPr>
        <w:t xml:space="preserve"> </w:t>
      </w:r>
      <w:r w:rsidRPr="00EA549D">
        <w:rPr>
          <w:rFonts w:ascii="Verdana" w:hAnsi="Verdana"/>
          <w:sz w:val="20"/>
          <w:szCs w:val="20"/>
          <w:highlight w:val="yellow"/>
          <w:lang w:val="es-CR"/>
        </w:rPr>
        <w:t>A la Corte le corresponde decidir si, en el caso de que se trate, el Estado violó un derecho protegido en la Convención, incurriendo, consecuentemente, en responsabilidad internacional.</w:t>
      </w:r>
      <w:r w:rsidRPr="00CD1462">
        <w:rPr>
          <w:rFonts w:ascii="Verdana" w:hAnsi="Verdana"/>
          <w:sz w:val="20"/>
          <w:szCs w:val="20"/>
          <w:lang w:val="es-CR"/>
        </w:rPr>
        <w:t xml:space="preserve"> La Corte no es, por tanto, </w:t>
      </w:r>
      <w:r w:rsidRPr="00E54456">
        <w:rPr>
          <w:rFonts w:ascii="Verdana" w:hAnsi="Verdana"/>
          <w:sz w:val="20"/>
          <w:szCs w:val="20"/>
          <w:lang w:val="es-CR"/>
        </w:rPr>
        <w:t xml:space="preserve">un tribunal de alzada o de apelación para dirimir los desacuerdos que tengan las partes sobre determinados alcances de la aplicación del derecho interno en aspectos que no estén directamente relacionados con el cumplimiento de obligaciones internacionales en derechos humanos. Es por ello que esta Corte ha sostenido que, en principio, “corresponde a los tribunales del Estado el examen de los hechos y las pruebas </w:t>
      </w:r>
      <w:r w:rsidRPr="00C60ED0">
        <w:rPr>
          <w:rFonts w:ascii="Verdana" w:hAnsi="Verdana"/>
          <w:sz w:val="20"/>
          <w:szCs w:val="20"/>
          <w:lang w:val="es-CR"/>
        </w:rPr>
        <w:t>presentadas en las causas particulares”</w:t>
      </w:r>
      <w:r w:rsidRPr="00C60ED0">
        <w:rPr>
          <w:rStyle w:val="Refdenotaalpie"/>
          <w:rFonts w:ascii="Verdana" w:hAnsi="Verdana"/>
          <w:sz w:val="20"/>
          <w:szCs w:val="20"/>
        </w:rPr>
        <w:footnoteReference w:id="10"/>
      </w:r>
      <w:r>
        <w:rPr>
          <w:rFonts w:ascii="Verdana" w:hAnsi="Verdana"/>
          <w:sz w:val="20"/>
          <w:szCs w:val="20"/>
          <w:lang w:val="es-CR"/>
        </w:rPr>
        <w:t>. Además</w:t>
      </w:r>
      <w:r w:rsidRPr="00C60ED0">
        <w:rPr>
          <w:rFonts w:ascii="Verdana" w:hAnsi="Verdana"/>
          <w:sz w:val="20"/>
          <w:szCs w:val="20"/>
          <w:lang w:val="es-CR"/>
        </w:rPr>
        <w:t xml:space="preserve"> al valorarse el cumplimiento de ciertas obligaciones internacionales, como la de garantizar que una sentencia judicial interna haya sido debidamente cumplida, existe una intrínseca interrelación entre el análisis de derecho internacional y de derecho interno</w:t>
      </w:r>
      <w:r>
        <w:rPr>
          <w:rStyle w:val="Refdenotaalpie"/>
          <w:rFonts w:ascii="Verdana" w:hAnsi="Verdana"/>
          <w:sz w:val="20"/>
          <w:szCs w:val="20"/>
        </w:rPr>
        <w:footnoteReference w:id="11"/>
      </w:r>
      <w:r w:rsidRPr="00FC3247">
        <w:rPr>
          <w:rFonts w:ascii="Verdana" w:hAnsi="Verdana"/>
          <w:sz w:val="20"/>
          <w:szCs w:val="20"/>
          <w:lang w:val="es-CR"/>
        </w:rPr>
        <w:t>.</w:t>
      </w:r>
    </w:p>
    <w:p w:rsidR="00F249DD" w:rsidRPr="00C60ED0" w:rsidRDefault="00F249DD" w:rsidP="00120F89">
      <w:pPr>
        <w:jc w:val="both"/>
        <w:rPr>
          <w:rFonts w:ascii="Verdana" w:hAnsi="Verdana"/>
          <w:sz w:val="20"/>
          <w:szCs w:val="20"/>
          <w:lang w:val="es-CR"/>
        </w:rPr>
      </w:pPr>
    </w:p>
    <w:p w:rsidR="00F249DD" w:rsidRDefault="00F249DD">
      <w:pPr>
        <w:numPr>
          <w:ilvl w:val="0"/>
          <w:numId w:val="3"/>
        </w:numPr>
        <w:ind w:left="0" w:firstLine="0"/>
        <w:jc w:val="both"/>
        <w:rPr>
          <w:rFonts w:ascii="Verdana" w:hAnsi="Verdana"/>
          <w:sz w:val="20"/>
          <w:szCs w:val="20"/>
          <w:lang w:val="es-CR"/>
        </w:rPr>
      </w:pPr>
      <w:r w:rsidRPr="00C60ED0">
        <w:rPr>
          <w:rFonts w:ascii="Verdana" w:hAnsi="Verdana"/>
          <w:sz w:val="20"/>
          <w:szCs w:val="20"/>
          <w:lang w:val="es-CR"/>
        </w:rPr>
        <w:lastRenderedPageBreak/>
        <w:t>La Corte ha afirmado que las excepciones preliminares son actos que buscan impedir el análisis del fondo de un asunto cuestionado, mediante la objeción de la admisibilidad de una demanda o la competencia del Tribunal para conocer de un determinado caso o de alguno de sus aspectos, ya sea en razón de la persona, materia, tiempo o lugar, siempre y cuando dichos planteamientos tengan el carácter de preliminares</w:t>
      </w:r>
      <w:r w:rsidRPr="00C60ED0">
        <w:rPr>
          <w:rStyle w:val="Refdenotaalpie"/>
          <w:rFonts w:ascii="Verdana" w:hAnsi="Verdana"/>
          <w:sz w:val="20"/>
          <w:szCs w:val="20"/>
        </w:rPr>
        <w:footnoteReference w:id="12"/>
      </w:r>
      <w:r w:rsidRPr="00C60ED0">
        <w:rPr>
          <w:rFonts w:ascii="Verdana" w:hAnsi="Verdana"/>
          <w:sz w:val="20"/>
          <w:szCs w:val="20"/>
          <w:lang w:val="es-CR"/>
        </w:rPr>
        <w:t xml:space="preserve">. </w:t>
      </w:r>
      <w:r>
        <w:rPr>
          <w:rFonts w:ascii="Verdana" w:hAnsi="Verdana"/>
          <w:sz w:val="20"/>
          <w:szCs w:val="20"/>
          <w:lang w:val="es-CR"/>
        </w:rPr>
        <w:t>Si estos planteamientos</w:t>
      </w:r>
      <w:r w:rsidRPr="00FC3247">
        <w:rPr>
          <w:rFonts w:ascii="Verdana" w:hAnsi="Verdana"/>
          <w:sz w:val="20"/>
          <w:szCs w:val="20"/>
          <w:lang w:val="es-CR"/>
        </w:rPr>
        <w:t xml:space="preserve"> no pudieran ser revisados sin entrar a analizar previamente el fondo de un caso, no pueden ser analizados mediante una excepción preliminar</w:t>
      </w:r>
      <w:r>
        <w:rPr>
          <w:rStyle w:val="Refdenotaalpie"/>
          <w:rFonts w:ascii="Verdana" w:hAnsi="Verdana"/>
          <w:sz w:val="20"/>
          <w:szCs w:val="20"/>
        </w:rPr>
        <w:footnoteReference w:id="13"/>
      </w:r>
      <w:r w:rsidRPr="00FC3247">
        <w:rPr>
          <w:rFonts w:ascii="Verdana" w:hAnsi="Verdana"/>
          <w:sz w:val="20"/>
          <w:szCs w:val="20"/>
          <w:lang w:val="es-CR"/>
        </w:rPr>
        <w:t>.</w:t>
      </w:r>
    </w:p>
    <w:p w:rsidR="00F249DD" w:rsidRDefault="00F249DD" w:rsidP="00120F89">
      <w:pPr>
        <w:jc w:val="both"/>
        <w:rPr>
          <w:rFonts w:ascii="Verdana" w:hAnsi="Verdana"/>
          <w:sz w:val="20"/>
          <w:szCs w:val="20"/>
          <w:lang w:val="es-CR"/>
        </w:rPr>
      </w:pPr>
    </w:p>
    <w:p w:rsidR="00F249DD" w:rsidRDefault="00F249DD">
      <w:pPr>
        <w:numPr>
          <w:ilvl w:val="0"/>
          <w:numId w:val="3"/>
        </w:numPr>
        <w:ind w:left="0" w:firstLine="0"/>
        <w:jc w:val="both"/>
        <w:rPr>
          <w:rFonts w:ascii="Verdana" w:hAnsi="Verdana"/>
          <w:sz w:val="20"/>
          <w:szCs w:val="20"/>
          <w:lang w:val="es-CR"/>
        </w:rPr>
      </w:pPr>
      <w:r w:rsidRPr="000C7602">
        <w:rPr>
          <w:rFonts w:ascii="Verdana" w:hAnsi="Verdana"/>
          <w:sz w:val="20"/>
          <w:szCs w:val="20"/>
          <w:lang w:val="es-CR"/>
        </w:rPr>
        <w:t xml:space="preserve">En atención a lo anterior, y en consideración de la alegada excepción interpuesta de “cuarta instancia”, a la Corte le compete verificar si en los pasos dados a nivel interno se violaron o no obligaciones internacionales del Estado derivadas de los instrumentos interamericanos que le otorgan competencia al Tribunal. </w:t>
      </w:r>
      <w:r w:rsidRPr="000C7602">
        <w:rPr>
          <w:rFonts w:ascii="Verdana" w:hAnsi="Verdana"/>
          <w:sz w:val="20"/>
          <w:szCs w:val="20"/>
          <w:lang w:val="es-ES"/>
        </w:rPr>
        <w:t>L</w:t>
      </w:r>
      <w:r w:rsidRPr="000C7602">
        <w:rPr>
          <w:rFonts w:ascii="Verdana" w:hAnsi="Verdana"/>
          <w:sz w:val="20"/>
          <w:szCs w:val="20"/>
          <w:lang w:val="es-CR"/>
        </w:rPr>
        <w:t>a Corte estima oportuno recordar, como lo ha señalado en su jurisprudencia reiterada</w:t>
      </w:r>
      <w:r w:rsidRPr="000C7602">
        <w:rPr>
          <w:rStyle w:val="Refdenotaalpie"/>
          <w:rFonts w:ascii="Verdana" w:hAnsi="Verdana"/>
          <w:sz w:val="20"/>
          <w:szCs w:val="20"/>
        </w:rPr>
        <w:footnoteReference w:id="14"/>
      </w:r>
      <w:r w:rsidRPr="000C7602">
        <w:rPr>
          <w:rFonts w:ascii="Verdana" w:hAnsi="Verdana"/>
          <w:sz w:val="20"/>
          <w:szCs w:val="20"/>
          <w:lang w:val="es-CR"/>
        </w:rPr>
        <w:t>, que el esclarecimiento de si las actuaciones de órganos judiciales constituyen o no una violación de las obligaciones internacionales del Estado, puede conducir a que la Corte deba ocuparse de examinar los respectivos procesos internos para establecer su compatibilidad con la Convención Americana, para lo cual en ese caso, se deben considerar los procedimientos internos como un todo</w:t>
      </w:r>
      <w:r w:rsidRPr="0075554D">
        <w:rPr>
          <w:rFonts w:ascii="Verdana" w:hAnsi="Verdana"/>
          <w:sz w:val="20"/>
          <w:szCs w:val="20"/>
          <w:lang w:val="es-CR"/>
        </w:rPr>
        <w:t>.</w:t>
      </w:r>
      <w:r>
        <w:rPr>
          <w:rFonts w:ascii="Verdana" w:hAnsi="Verdana"/>
          <w:sz w:val="20"/>
          <w:szCs w:val="20"/>
          <w:lang w:val="es-CR"/>
        </w:rPr>
        <w:t xml:space="preserve">  </w:t>
      </w:r>
      <w:r w:rsidRPr="00CD1462">
        <w:rPr>
          <w:rFonts w:ascii="Verdana" w:hAnsi="Verdana"/>
          <w:sz w:val="20"/>
          <w:szCs w:val="20"/>
          <w:lang w:val="es-CR"/>
        </w:rPr>
        <w:t xml:space="preserve">Esto, en su caso, corresponde analizarlo en el fondo del caso. </w:t>
      </w:r>
    </w:p>
    <w:p w:rsidR="00F249DD" w:rsidRPr="00CD1462" w:rsidRDefault="00F249DD" w:rsidP="00120F89">
      <w:pPr>
        <w:jc w:val="both"/>
        <w:rPr>
          <w:rFonts w:ascii="Verdana" w:hAnsi="Verdana"/>
          <w:sz w:val="20"/>
          <w:szCs w:val="20"/>
          <w:lang w:val="es-CR"/>
        </w:rPr>
      </w:pPr>
    </w:p>
    <w:p w:rsidR="00F249DD" w:rsidRDefault="00F249DD" w:rsidP="00BD79C8">
      <w:pPr>
        <w:numPr>
          <w:ilvl w:val="0"/>
          <w:numId w:val="3"/>
        </w:numPr>
        <w:ind w:left="0" w:firstLine="0"/>
        <w:jc w:val="both"/>
        <w:rPr>
          <w:rFonts w:ascii="Verdana" w:hAnsi="Verdana"/>
          <w:sz w:val="20"/>
          <w:szCs w:val="20"/>
          <w:lang w:val="es-CR"/>
        </w:rPr>
      </w:pPr>
      <w:r w:rsidRPr="00CD1462">
        <w:rPr>
          <w:rFonts w:ascii="Verdana" w:hAnsi="Verdana"/>
          <w:sz w:val="20"/>
          <w:szCs w:val="20"/>
          <w:lang w:val="es-CR"/>
        </w:rPr>
        <w:t>La Corte constata que, en sus observaciones de 10 de julio 2006 en el procedimiento ante la Comisión, el Estado afirmó</w:t>
      </w:r>
      <w:r>
        <w:rPr>
          <w:rFonts w:ascii="Verdana" w:hAnsi="Verdana"/>
          <w:sz w:val="20"/>
          <w:szCs w:val="20"/>
          <w:lang w:val="es-CR"/>
        </w:rPr>
        <w:t xml:space="preserve"> que “la inconformidad del peticionario con las decisiones judiciales internas […] no da soporte a la Comisión para revisar dichas decisiones” y alegó los mismos argumentos indicados en su escrito de contestación de la demanda (</w:t>
      </w:r>
      <w:r>
        <w:rPr>
          <w:rFonts w:ascii="Verdana" w:hAnsi="Verdana"/>
          <w:i/>
          <w:iCs/>
          <w:sz w:val="20"/>
          <w:szCs w:val="20"/>
          <w:lang w:val="es-CR"/>
        </w:rPr>
        <w:t xml:space="preserve">supra </w:t>
      </w:r>
      <w:r>
        <w:rPr>
          <w:rFonts w:ascii="Verdana" w:hAnsi="Verdana"/>
          <w:sz w:val="20"/>
          <w:szCs w:val="20"/>
          <w:lang w:val="es-CR"/>
        </w:rPr>
        <w:t xml:space="preserve">párr. 5). </w:t>
      </w:r>
      <w:r w:rsidRPr="00E9288F">
        <w:rPr>
          <w:rFonts w:ascii="Verdana" w:hAnsi="Verdana"/>
          <w:sz w:val="20"/>
          <w:szCs w:val="20"/>
          <w:lang w:val="es-CR"/>
        </w:rPr>
        <w:t>La Comisión</w:t>
      </w:r>
      <w:r>
        <w:rPr>
          <w:rFonts w:ascii="Verdana" w:hAnsi="Verdana"/>
          <w:sz w:val="20"/>
          <w:szCs w:val="20"/>
          <w:lang w:val="es-CR"/>
        </w:rPr>
        <w:t xml:space="preserve"> en su Informe de Admisibilidad y F</w:t>
      </w:r>
      <w:r w:rsidRPr="00E9288F">
        <w:rPr>
          <w:rFonts w:ascii="Verdana" w:hAnsi="Verdana"/>
          <w:sz w:val="20"/>
          <w:szCs w:val="20"/>
          <w:lang w:val="es-CR"/>
        </w:rPr>
        <w:t xml:space="preserve">ondo de 17 de marzo de 2009 dispuso que “existe controversia entre las partes sobre la retroactividad de las declaratorias de inconstitucionalidad […] y el consecuente alcance del resolutivo de la decisión de Tribunal Constitucional que establece la inconstitucionalidad de los Decretos Ejecutivos </w:t>
      </w:r>
      <w:r>
        <w:rPr>
          <w:rFonts w:ascii="Verdana" w:hAnsi="Verdana"/>
          <w:sz w:val="20"/>
          <w:szCs w:val="20"/>
          <w:lang w:val="es-CR"/>
        </w:rPr>
        <w:t xml:space="preserve">que ponen en situación de disponibilidad y baja de las Fuerzas Armadas a José Alfredo Mejía ldrovo. La Comisión entiende que dicha controversia depende de la lectura de la decisión de referencia y que su clarificación corresponde, en principio, a la competencia del mismo Tribunal. Consecuentemente, el reclamo de los peticionarios sobre el presunto derecho a la restitución del señor Mejía ldrovo al servicio activo con ascenso al grado de General, excede el marco de su competencia”. La Comisión </w:t>
      </w:r>
      <w:r w:rsidRPr="00E23CB0">
        <w:rPr>
          <w:rFonts w:ascii="Verdana" w:hAnsi="Verdana"/>
          <w:sz w:val="20"/>
          <w:szCs w:val="20"/>
          <w:lang w:val="es-CR"/>
        </w:rPr>
        <w:t xml:space="preserve">indicó, </w:t>
      </w:r>
      <w:r w:rsidRPr="00CD1462">
        <w:rPr>
          <w:rFonts w:ascii="Verdana" w:hAnsi="Verdana"/>
          <w:sz w:val="20"/>
          <w:szCs w:val="20"/>
          <w:lang w:val="es-CR"/>
        </w:rPr>
        <w:t>sin embargo, que</w:t>
      </w:r>
      <w:r w:rsidRPr="00E23CB0">
        <w:rPr>
          <w:rFonts w:ascii="Verdana" w:hAnsi="Verdana"/>
          <w:sz w:val="20"/>
          <w:szCs w:val="20"/>
          <w:lang w:val="es-CR"/>
        </w:rPr>
        <w:t xml:space="preserve"> “</w:t>
      </w:r>
      <w:r>
        <w:rPr>
          <w:rFonts w:ascii="Verdana" w:hAnsi="Verdana"/>
          <w:sz w:val="20"/>
          <w:szCs w:val="20"/>
          <w:lang w:val="es-CR"/>
        </w:rPr>
        <w:t xml:space="preserve">de conformidad con el principio general de la legislación internacional </w:t>
      </w:r>
      <w:r>
        <w:rPr>
          <w:rFonts w:ascii="Verdana" w:hAnsi="Verdana"/>
          <w:i/>
          <w:iCs/>
          <w:sz w:val="20"/>
          <w:szCs w:val="20"/>
          <w:lang w:val="es-CR"/>
        </w:rPr>
        <w:t xml:space="preserve">iura novit curia, </w:t>
      </w:r>
      <w:r>
        <w:rPr>
          <w:rFonts w:ascii="Verdana" w:hAnsi="Verdana"/>
          <w:sz w:val="20"/>
          <w:szCs w:val="20"/>
          <w:lang w:val="es-CR"/>
        </w:rPr>
        <w:t>los organismos internacionales tienen el poder, e incluso el deber, de aplicar todas las</w:t>
      </w:r>
      <w:r>
        <w:rPr>
          <w:rFonts w:ascii="Verdana" w:hAnsi="Verdana"/>
          <w:i/>
          <w:iCs/>
          <w:sz w:val="20"/>
          <w:szCs w:val="20"/>
          <w:lang w:val="es-CR"/>
        </w:rPr>
        <w:t xml:space="preserve"> </w:t>
      </w:r>
      <w:r>
        <w:rPr>
          <w:rFonts w:ascii="Verdana" w:hAnsi="Verdana"/>
          <w:sz w:val="20"/>
          <w:szCs w:val="20"/>
          <w:lang w:val="es-CR"/>
        </w:rPr>
        <w:t>disposiciones jurídicas pertinentes, incluso aunque no hayan sido invocadas por las partes. A la luz de</w:t>
      </w:r>
      <w:r>
        <w:rPr>
          <w:rFonts w:ascii="Verdana" w:hAnsi="Verdana"/>
          <w:i/>
          <w:iCs/>
          <w:sz w:val="20"/>
          <w:szCs w:val="20"/>
          <w:lang w:val="es-CR"/>
        </w:rPr>
        <w:t xml:space="preserve"> e</w:t>
      </w:r>
      <w:r>
        <w:rPr>
          <w:rFonts w:ascii="Verdana" w:hAnsi="Verdana"/>
          <w:sz w:val="20"/>
          <w:szCs w:val="20"/>
          <w:lang w:val="es-CR"/>
        </w:rPr>
        <w:t>ste principio, la Comisión considera que de los hechos alegados por los peticionarios relacionados con la</w:t>
      </w:r>
      <w:r>
        <w:rPr>
          <w:rFonts w:ascii="Verdana" w:hAnsi="Verdana"/>
          <w:i/>
          <w:iCs/>
          <w:sz w:val="20"/>
          <w:szCs w:val="20"/>
          <w:lang w:val="es-CR"/>
        </w:rPr>
        <w:t xml:space="preserve"> </w:t>
      </w:r>
      <w:r>
        <w:rPr>
          <w:rFonts w:ascii="Verdana" w:hAnsi="Verdana"/>
          <w:sz w:val="20"/>
          <w:szCs w:val="20"/>
          <w:lang w:val="es-CR"/>
        </w:rPr>
        <w:t xml:space="preserve">falta de notificación adecuada de la decisión sobre el pedido de aclaratoria interpuesto por las Fuerzas Armadas ante el Presidente del Tribunal Constitucional podrían caracterizar violaciones al artículo 8.1 (Garantías Judiciales) de la Convención Americana”. Esto fue reiterado por la Comisión en </w:t>
      </w:r>
      <w:r w:rsidRPr="00E9288F">
        <w:rPr>
          <w:rFonts w:ascii="Verdana" w:hAnsi="Verdana"/>
          <w:sz w:val="20"/>
          <w:szCs w:val="20"/>
          <w:lang w:val="es-CR"/>
        </w:rPr>
        <w:t xml:space="preserve">sus observaciones sobre las excepciones preliminares de 19 de agosto de 2010 en el trámite ante la </w:t>
      </w:r>
      <w:r w:rsidRPr="00E9288F">
        <w:rPr>
          <w:rFonts w:ascii="Verdana" w:hAnsi="Verdana"/>
          <w:sz w:val="20"/>
          <w:szCs w:val="20"/>
          <w:lang w:val="es-CR"/>
        </w:rPr>
        <w:lastRenderedPageBreak/>
        <w:t>Corte. En dicha comunicación señaló que “considera que la excepción interpuesta por el Estado es infundada, puesto que los</w:t>
      </w:r>
      <w:r>
        <w:rPr>
          <w:rFonts w:ascii="Verdana" w:hAnsi="Verdana"/>
          <w:sz w:val="20"/>
          <w:szCs w:val="20"/>
          <w:lang w:val="es-CR"/>
        </w:rPr>
        <w:t xml:space="preserve"> argumentos estatales presuponen</w:t>
      </w:r>
      <w:r w:rsidRPr="00E9288F">
        <w:rPr>
          <w:rFonts w:ascii="Verdana" w:hAnsi="Verdana"/>
          <w:sz w:val="20"/>
          <w:szCs w:val="20"/>
          <w:lang w:val="es-CR"/>
        </w:rPr>
        <w:t xml:space="preserve"> una evaluación de la materia de fondo de la demanda, lo cual no constituye una excepción preliminar</w:t>
      </w:r>
      <w:r>
        <w:rPr>
          <w:rFonts w:ascii="Verdana" w:hAnsi="Verdana"/>
          <w:sz w:val="20"/>
          <w:szCs w:val="20"/>
          <w:lang w:val="es-CR"/>
        </w:rPr>
        <w:t>”</w:t>
      </w:r>
      <w:r w:rsidRPr="00E9288F">
        <w:rPr>
          <w:rFonts w:ascii="Verdana" w:hAnsi="Verdana"/>
          <w:sz w:val="20"/>
          <w:szCs w:val="20"/>
          <w:lang w:val="es-CR"/>
        </w:rPr>
        <w:t>, razón por la cual la C</w:t>
      </w:r>
      <w:r>
        <w:rPr>
          <w:rFonts w:ascii="Verdana" w:hAnsi="Verdana"/>
          <w:sz w:val="20"/>
          <w:szCs w:val="20"/>
          <w:lang w:val="es-CR"/>
        </w:rPr>
        <w:t>omisión</w:t>
      </w:r>
      <w:r w:rsidRPr="00E9288F">
        <w:rPr>
          <w:rFonts w:ascii="Verdana" w:hAnsi="Verdana"/>
          <w:sz w:val="20"/>
          <w:szCs w:val="20"/>
          <w:lang w:val="es-CR"/>
        </w:rPr>
        <w:t xml:space="preserve"> solicit</w:t>
      </w:r>
      <w:r>
        <w:rPr>
          <w:rFonts w:ascii="Verdana" w:hAnsi="Verdana"/>
          <w:sz w:val="20"/>
          <w:szCs w:val="20"/>
          <w:lang w:val="es-CR"/>
        </w:rPr>
        <w:t>ó</w:t>
      </w:r>
      <w:r w:rsidRPr="00E9288F">
        <w:rPr>
          <w:rFonts w:ascii="Verdana" w:hAnsi="Verdana"/>
          <w:sz w:val="20"/>
          <w:szCs w:val="20"/>
          <w:lang w:val="es-CR"/>
        </w:rPr>
        <w:t xml:space="preserve"> a la Corte que la deseche por improcedente.</w:t>
      </w:r>
    </w:p>
    <w:p w:rsidR="00F249DD" w:rsidRDefault="00F249DD" w:rsidP="00120F89">
      <w:pPr>
        <w:jc w:val="both"/>
        <w:rPr>
          <w:rFonts w:ascii="Verdana" w:hAnsi="Verdana"/>
          <w:sz w:val="20"/>
          <w:szCs w:val="20"/>
          <w:lang w:val="es-CR"/>
        </w:rPr>
      </w:pPr>
    </w:p>
    <w:p w:rsidR="00F249DD" w:rsidRDefault="00F249DD" w:rsidP="00BD79C8">
      <w:pPr>
        <w:numPr>
          <w:ilvl w:val="0"/>
          <w:numId w:val="3"/>
        </w:numPr>
        <w:ind w:left="0" w:firstLine="0"/>
        <w:jc w:val="both"/>
        <w:rPr>
          <w:rFonts w:ascii="Verdana" w:hAnsi="Verdana"/>
          <w:sz w:val="20"/>
          <w:szCs w:val="20"/>
          <w:lang w:val="es-CR"/>
        </w:rPr>
      </w:pPr>
      <w:r w:rsidRPr="000C7602">
        <w:rPr>
          <w:rFonts w:ascii="Verdana" w:hAnsi="Verdana"/>
          <w:sz w:val="20"/>
          <w:szCs w:val="20"/>
          <w:lang w:val="es-ES"/>
        </w:rPr>
        <w:t>Teniendo en cuenta lo anterior, en el presente caso la Corte Interamericana debe determinar si las actuaciones de</w:t>
      </w:r>
      <w:r>
        <w:rPr>
          <w:rFonts w:ascii="Verdana" w:hAnsi="Verdana"/>
          <w:sz w:val="20"/>
          <w:szCs w:val="20"/>
          <w:lang w:val="es-ES"/>
        </w:rPr>
        <w:t>l Consejo de Oficiales Generales y del Tribunal Constitucional</w:t>
      </w:r>
      <w:r w:rsidRPr="000C7602">
        <w:rPr>
          <w:rFonts w:ascii="Verdana" w:hAnsi="Verdana"/>
          <w:sz w:val="20"/>
          <w:szCs w:val="20"/>
          <w:lang w:val="es-ES"/>
        </w:rPr>
        <w:t xml:space="preserve"> </w:t>
      </w:r>
      <w:r w:rsidRPr="000C7602">
        <w:rPr>
          <w:rFonts w:ascii="Verdana" w:hAnsi="Verdana"/>
          <w:sz w:val="20"/>
          <w:szCs w:val="20"/>
          <w:lang w:val="es-CR"/>
        </w:rPr>
        <w:t>constituy</w:t>
      </w:r>
      <w:r>
        <w:rPr>
          <w:rFonts w:ascii="Verdana" w:hAnsi="Verdana"/>
          <w:sz w:val="20"/>
          <w:szCs w:val="20"/>
          <w:lang w:val="es-CR"/>
        </w:rPr>
        <w:t>eron</w:t>
      </w:r>
      <w:r w:rsidRPr="000C7602">
        <w:rPr>
          <w:rFonts w:ascii="Verdana" w:hAnsi="Verdana"/>
          <w:sz w:val="20"/>
          <w:szCs w:val="20"/>
          <w:lang w:val="es-CR"/>
        </w:rPr>
        <w:t xml:space="preserve"> o no una violación de las obligaciones internacionales del Estado</w:t>
      </w:r>
      <w:r w:rsidRPr="000C7602">
        <w:rPr>
          <w:rFonts w:ascii="Verdana" w:hAnsi="Verdana"/>
          <w:sz w:val="20"/>
          <w:szCs w:val="20"/>
          <w:lang w:val="es-ES"/>
        </w:rPr>
        <w:t xml:space="preserve">. </w:t>
      </w:r>
      <w:r w:rsidRPr="00CD1462">
        <w:rPr>
          <w:rFonts w:ascii="Verdana" w:hAnsi="Verdana"/>
          <w:sz w:val="20"/>
          <w:szCs w:val="20"/>
          <w:lang w:val="es-ES"/>
        </w:rPr>
        <w:t>Por ello,</w:t>
      </w:r>
      <w:r w:rsidRPr="000C7602">
        <w:rPr>
          <w:rFonts w:ascii="Verdana" w:hAnsi="Verdana"/>
          <w:sz w:val="20"/>
          <w:szCs w:val="20"/>
          <w:lang w:val="es-ES"/>
        </w:rPr>
        <w:t xml:space="preserve"> los alegatos referentes a esta excepción son cuestiones relacionadas directamente con el fondo de la controversia</w:t>
      </w:r>
      <w:r>
        <w:rPr>
          <w:rFonts w:ascii="Verdana" w:hAnsi="Verdana"/>
          <w:sz w:val="20"/>
          <w:szCs w:val="20"/>
          <w:lang w:val="es-ES"/>
        </w:rPr>
        <w:t xml:space="preserve"> </w:t>
      </w:r>
      <w:r w:rsidRPr="00CD1462">
        <w:rPr>
          <w:rFonts w:ascii="Verdana" w:hAnsi="Verdana"/>
          <w:sz w:val="20"/>
          <w:szCs w:val="20"/>
          <w:lang w:val="es-ES"/>
        </w:rPr>
        <w:t>por lo que,</w:t>
      </w:r>
      <w:r w:rsidRPr="005F3704">
        <w:rPr>
          <w:rFonts w:ascii="Verdana" w:hAnsi="Verdana"/>
          <w:b/>
          <w:sz w:val="20"/>
          <w:szCs w:val="20"/>
          <w:lang w:val="es-ES"/>
        </w:rPr>
        <w:t xml:space="preserve">  </w:t>
      </w:r>
      <w:r w:rsidRPr="000C7602">
        <w:rPr>
          <w:rFonts w:ascii="Verdana" w:hAnsi="Verdana"/>
          <w:sz w:val="20"/>
          <w:szCs w:val="20"/>
          <w:lang w:val="es-ES"/>
        </w:rPr>
        <w:t xml:space="preserve">este aspecto </w:t>
      </w:r>
      <w:r w:rsidRPr="000C7602">
        <w:rPr>
          <w:rFonts w:ascii="Verdana" w:hAnsi="Verdana"/>
          <w:sz w:val="20"/>
          <w:szCs w:val="20"/>
          <w:lang w:val="es-CR"/>
        </w:rPr>
        <w:t>será analizado en el capítulo respectivo de la presente Sentencia.</w:t>
      </w:r>
    </w:p>
    <w:p w:rsidR="00F249DD" w:rsidRDefault="00F249DD" w:rsidP="00120F89">
      <w:pPr>
        <w:jc w:val="both"/>
        <w:rPr>
          <w:rFonts w:ascii="Verdana" w:hAnsi="Verdana"/>
          <w:sz w:val="20"/>
          <w:szCs w:val="20"/>
          <w:lang w:val="es-CR"/>
        </w:rPr>
      </w:pPr>
    </w:p>
    <w:p w:rsidR="00F249DD" w:rsidRPr="000C7602" w:rsidRDefault="00F249DD" w:rsidP="00120F89">
      <w:pPr>
        <w:numPr>
          <w:ilvl w:val="0"/>
          <w:numId w:val="3"/>
        </w:numPr>
        <w:ind w:left="0" w:firstLine="0"/>
        <w:jc w:val="both"/>
        <w:rPr>
          <w:rFonts w:ascii="Verdana" w:hAnsi="Verdana"/>
          <w:sz w:val="20"/>
          <w:szCs w:val="20"/>
          <w:lang w:val="es-CR"/>
        </w:rPr>
      </w:pPr>
      <w:r w:rsidRPr="000C7602">
        <w:rPr>
          <w:rFonts w:ascii="Verdana" w:hAnsi="Verdana" w:cs="Verdana"/>
          <w:sz w:val="20"/>
          <w:szCs w:val="20"/>
          <w:lang w:val="es-ES"/>
        </w:rPr>
        <w:t xml:space="preserve">En </w:t>
      </w:r>
      <w:r w:rsidRPr="000C7602">
        <w:rPr>
          <w:rFonts w:ascii="Verdana" w:hAnsi="Verdana"/>
          <w:sz w:val="20"/>
          <w:szCs w:val="20"/>
          <w:lang w:val="es-CR"/>
        </w:rPr>
        <w:t>razón de lo expuesto,</w:t>
      </w:r>
      <w:r w:rsidRPr="000C7602">
        <w:rPr>
          <w:rFonts w:ascii="Verdana" w:hAnsi="Verdana" w:cs="Verdana"/>
          <w:sz w:val="20"/>
          <w:szCs w:val="20"/>
          <w:lang w:val="es-ES"/>
        </w:rPr>
        <w:t xml:space="preserve"> la Corte considera que debe desestimarse dicha excepción preliminar por improcedente.</w:t>
      </w:r>
    </w:p>
    <w:p w:rsidR="00F249DD" w:rsidRPr="0039218C" w:rsidRDefault="00F249DD" w:rsidP="00120F89">
      <w:pPr>
        <w:jc w:val="both"/>
        <w:rPr>
          <w:rFonts w:ascii="Verdana" w:hAnsi="Verdana"/>
          <w:sz w:val="20"/>
          <w:szCs w:val="20"/>
          <w:lang w:val="es-CR"/>
        </w:rPr>
      </w:pPr>
    </w:p>
    <w:p w:rsidR="00F249DD" w:rsidRPr="007040F4" w:rsidRDefault="00F249DD" w:rsidP="007040F4">
      <w:pPr>
        <w:pStyle w:val="Ttulo2"/>
        <w:rPr>
          <w:lang w:val="es-MX"/>
        </w:rPr>
      </w:pPr>
      <w:r w:rsidRPr="007040F4">
        <w:rPr>
          <w:lang w:val="es-MX"/>
        </w:rPr>
        <w:tab/>
      </w:r>
      <w:bookmarkStart w:id="61" w:name="_Toc294635303"/>
      <w:bookmarkStart w:id="62" w:name="_Toc294862695"/>
      <w:bookmarkStart w:id="63" w:name="_Toc294862758"/>
      <w:bookmarkStart w:id="64" w:name="_Toc295380309"/>
      <w:bookmarkStart w:id="65" w:name="_Toc295394461"/>
      <w:bookmarkStart w:id="66" w:name="_Toc295394615"/>
      <w:bookmarkStart w:id="67" w:name="_Toc295986067"/>
      <w:bookmarkStart w:id="68" w:name="_Toc295986285"/>
      <w:bookmarkStart w:id="69" w:name="_Toc295986405"/>
      <w:r w:rsidRPr="007040F4">
        <w:rPr>
          <w:lang w:val="es-MX"/>
        </w:rPr>
        <w:t>Falta de agotamiento de los recursos de la jurisdicción interna</w:t>
      </w:r>
      <w:bookmarkEnd w:id="61"/>
      <w:bookmarkEnd w:id="62"/>
      <w:bookmarkEnd w:id="63"/>
      <w:bookmarkEnd w:id="64"/>
      <w:bookmarkEnd w:id="65"/>
      <w:bookmarkEnd w:id="66"/>
      <w:bookmarkEnd w:id="67"/>
      <w:bookmarkEnd w:id="68"/>
      <w:bookmarkEnd w:id="69"/>
      <w:r w:rsidRPr="007040F4">
        <w:rPr>
          <w:lang w:val="es-MX"/>
        </w:rPr>
        <w:t xml:space="preserve"> </w:t>
      </w:r>
    </w:p>
    <w:p w:rsidR="00F249DD" w:rsidRPr="0039218C" w:rsidRDefault="00F249DD" w:rsidP="000C7602">
      <w:pPr>
        <w:pStyle w:val="Textoindependiente"/>
        <w:ind w:right="99"/>
        <w:rPr>
          <w:b/>
          <w:lang w:val="es-CR"/>
        </w:rPr>
      </w:pPr>
    </w:p>
    <w:p w:rsidR="00F249DD" w:rsidRPr="0039218C" w:rsidRDefault="00F249DD" w:rsidP="007040F4">
      <w:pPr>
        <w:spacing w:before="120" w:after="120"/>
        <w:jc w:val="both"/>
        <w:rPr>
          <w:rFonts w:ascii="Verdana" w:hAnsi="Verdana" w:cs="Verdana"/>
          <w:i/>
          <w:sz w:val="20"/>
          <w:szCs w:val="20"/>
          <w:lang w:val="es-ES"/>
        </w:rPr>
      </w:pPr>
      <w:r w:rsidRPr="0039218C">
        <w:rPr>
          <w:rFonts w:ascii="Verdana" w:hAnsi="Verdana" w:cs="Verdana"/>
          <w:i/>
          <w:sz w:val="20"/>
          <w:szCs w:val="20"/>
          <w:lang w:val="es-ES"/>
        </w:rPr>
        <w:t>Alegatos de las partes</w:t>
      </w:r>
    </w:p>
    <w:p w:rsidR="00F249DD" w:rsidRPr="0039218C" w:rsidRDefault="00F249DD" w:rsidP="00120F89">
      <w:pPr>
        <w:jc w:val="both"/>
        <w:rPr>
          <w:rFonts w:ascii="Verdana" w:hAnsi="Verdana"/>
          <w:sz w:val="20"/>
          <w:szCs w:val="20"/>
          <w:lang w:val="es-CR"/>
        </w:rPr>
      </w:pPr>
    </w:p>
    <w:p w:rsidR="00F249DD" w:rsidRPr="0039218C" w:rsidRDefault="00F249DD" w:rsidP="00120F89">
      <w:pPr>
        <w:numPr>
          <w:ilvl w:val="0"/>
          <w:numId w:val="3"/>
        </w:numPr>
        <w:ind w:left="0" w:firstLine="0"/>
        <w:jc w:val="both"/>
        <w:rPr>
          <w:rFonts w:ascii="Verdana" w:hAnsi="Verdana"/>
          <w:sz w:val="20"/>
          <w:szCs w:val="20"/>
          <w:lang w:val="es-CR"/>
        </w:rPr>
      </w:pPr>
      <w:r w:rsidRPr="0039218C">
        <w:rPr>
          <w:rFonts w:ascii="Verdana" w:hAnsi="Verdana" w:cs="Verdana"/>
          <w:sz w:val="20"/>
          <w:szCs w:val="20"/>
          <w:lang w:val="es-ES"/>
        </w:rPr>
        <w:t>En su contestación de la demanda, el Estad</w:t>
      </w:r>
      <w:r>
        <w:rPr>
          <w:rFonts w:ascii="Verdana" w:hAnsi="Verdana" w:cs="Verdana"/>
          <w:sz w:val="20"/>
          <w:szCs w:val="20"/>
          <w:lang w:val="es-ES"/>
        </w:rPr>
        <w:t>o objetó la admisibilidad del caso</w:t>
      </w:r>
      <w:r w:rsidRPr="0039218C">
        <w:rPr>
          <w:rFonts w:ascii="Verdana" w:hAnsi="Verdana" w:cs="Verdana"/>
          <w:sz w:val="20"/>
          <w:szCs w:val="20"/>
          <w:lang w:val="es-ES"/>
        </w:rPr>
        <w:t>, ya que presuntamente los recursos internos aún no habían sido agotados. Específicamente, el Estado argumentó que “la presunta víctima debió, oportunamente, presentar una acción civil por daños y perjuicios contra el Estado ante los jueces compet</w:t>
      </w:r>
      <w:r>
        <w:rPr>
          <w:rFonts w:ascii="Verdana" w:hAnsi="Verdana" w:cs="Verdana"/>
          <w:sz w:val="20"/>
          <w:szCs w:val="20"/>
          <w:lang w:val="es-ES"/>
        </w:rPr>
        <w:t>entes del Ecuador, para que [fueran]</w:t>
      </w:r>
      <w:r w:rsidRPr="0039218C">
        <w:rPr>
          <w:rFonts w:ascii="Verdana" w:hAnsi="Verdana" w:cs="Verdana"/>
          <w:sz w:val="20"/>
          <w:szCs w:val="20"/>
          <w:lang w:val="es-ES"/>
        </w:rPr>
        <w:t xml:space="preserve"> estos quienes d</w:t>
      </w:r>
      <w:r>
        <w:rPr>
          <w:rFonts w:ascii="Verdana" w:hAnsi="Verdana" w:cs="Verdana"/>
          <w:sz w:val="20"/>
          <w:szCs w:val="20"/>
          <w:lang w:val="es-ES"/>
        </w:rPr>
        <w:t>eterminen el daño infligido al [c]</w:t>
      </w:r>
      <w:r w:rsidRPr="0039218C">
        <w:rPr>
          <w:rFonts w:ascii="Verdana" w:hAnsi="Verdana" w:cs="Verdana"/>
          <w:sz w:val="20"/>
          <w:szCs w:val="20"/>
          <w:lang w:val="es-ES"/>
        </w:rPr>
        <w:t>oronel Mejía</w:t>
      </w:r>
      <w:r>
        <w:rPr>
          <w:rFonts w:ascii="Verdana" w:hAnsi="Verdana" w:cs="Verdana"/>
          <w:sz w:val="20"/>
          <w:szCs w:val="20"/>
          <w:lang w:val="es-ES"/>
        </w:rPr>
        <w:t xml:space="preserve"> [Idrovo]</w:t>
      </w:r>
      <w:r w:rsidRPr="0039218C">
        <w:rPr>
          <w:rFonts w:ascii="Verdana" w:hAnsi="Verdana" w:cs="Verdana"/>
          <w:sz w:val="20"/>
          <w:szCs w:val="20"/>
          <w:lang w:val="es-ES"/>
        </w:rPr>
        <w:t xml:space="preserve"> y establezcan el monto de la indemnización, dentro de un proceso judicial de carácter civil de naturaleza ordinaria”. Asimismo, el Estado manifestó que el 22 de abril de 2009 “el ciudadano Mejía Idrovo interpuso ante la Corte Constitucional una acción de incumplimiento”, en la que solicitó “el cumplimiento de la Resolución del </w:t>
      </w:r>
      <w:r w:rsidRPr="00CF1667">
        <w:rPr>
          <w:rFonts w:ascii="Verdana" w:hAnsi="Verdana" w:cs="Verdana"/>
          <w:sz w:val="20"/>
          <w:szCs w:val="20"/>
          <w:lang w:val="es-ES"/>
        </w:rPr>
        <w:t xml:space="preserve">[…] </w:t>
      </w:r>
      <w:r w:rsidRPr="0039218C">
        <w:rPr>
          <w:rFonts w:ascii="Verdana" w:hAnsi="Verdana" w:cs="Verdana"/>
          <w:sz w:val="20"/>
          <w:szCs w:val="20"/>
          <w:lang w:val="es-ES"/>
        </w:rPr>
        <w:t>Tribunal Constitucional de 12 marzo de 2002”. Según el Estado, la acción por daños y perjuicios y la acción por incumplimiento “podrían resultar recursos adecuados” y eficaces, debido a que su función sería idónea “para proteger la situación jurídica infringida” y serían “capaces de producir el resultado para el que han sido concebidos”.</w:t>
      </w:r>
    </w:p>
    <w:p w:rsidR="00F249DD" w:rsidRPr="0039218C" w:rsidRDefault="00F249DD" w:rsidP="00120F89">
      <w:pPr>
        <w:jc w:val="both"/>
        <w:rPr>
          <w:rFonts w:ascii="Verdana" w:hAnsi="Verdana"/>
          <w:sz w:val="20"/>
          <w:szCs w:val="20"/>
          <w:lang w:val="es-CR"/>
        </w:rPr>
      </w:pPr>
    </w:p>
    <w:p w:rsidR="00F249DD" w:rsidRPr="0039218C" w:rsidRDefault="00F249DD" w:rsidP="00120F89">
      <w:pPr>
        <w:numPr>
          <w:ilvl w:val="0"/>
          <w:numId w:val="3"/>
        </w:numPr>
        <w:ind w:left="0" w:firstLine="0"/>
        <w:jc w:val="both"/>
        <w:rPr>
          <w:rFonts w:ascii="Verdana" w:hAnsi="Verdana"/>
          <w:sz w:val="20"/>
          <w:szCs w:val="20"/>
          <w:lang w:val="es-CR"/>
        </w:rPr>
      </w:pPr>
      <w:r w:rsidRPr="0039218C">
        <w:rPr>
          <w:rFonts w:ascii="Verdana" w:hAnsi="Verdana" w:cs="Verdana"/>
          <w:sz w:val="20"/>
          <w:szCs w:val="20"/>
          <w:lang w:val="es-ES"/>
        </w:rPr>
        <w:t xml:space="preserve"> Los representantes argumentaron que la acción civil por daños y perjuicios tiene como finalidad s</w:t>
      </w:r>
      <w:r>
        <w:rPr>
          <w:rFonts w:ascii="Verdana" w:hAnsi="Verdana" w:cs="Verdana"/>
          <w:sz w:val="20"/>
          <w:szCs w:val="20"/>
          <w:lang w:val="es-ES"/>
        </w:rPr>
        <w:t>ó</w:t>
      </w:r>
      <w:r w:rsidRPr="0039218C">
        <w:rPr>
          <w:rFonts w:ascii="Verdana" w:hAnsi="Verdana" w:cs="Verdana"/>
          <w:sz w:val="20"/>
          <w:szCs w:val="20"/>
          <w:lang w:val="es-ES"/>
        </w:rPr>
        <w:t>lo “establecer valores económicos a favor del demandante”, sin que “a través de dicho recurso judicial el juez pueda ordenar medidas reparatorias de carácter no patrimonial como el reingreso del demandante a las fuerzas armadas, disculpas públicas a la [presunta] víctima o su familia y garantías de no repetición entre otras, por lo cual dicho recurso no es adecuado para reparar integralmente a la [presunta] víctima”. Por lo expuesto, los representantes solicitaron “que igualmente se deseche la segunda excepción y se continúe con el análisis del fondo”.</w:t>
      </w:r>
    </w:p>
    <w:p w:rsidR="00F249DD" w:rsidRPr="0039218C" w:rsidRDefault="00F249DD" w:rsidP="00120F89">
      <w:pPr>
        <w:jc w:val="both"/>
        <w:rPr>
          <w:rFonts w:ascii="Verdana" w:hAnsi="Verdana"/>
          <w:sz w:val="20"/>
          <w:szCs w:val="20"/>
          <w:lang w:val="es-CR"/>
        </w:rPr>
      </w:pPr>
    </w:p>
    <w:p w:rsidR="00F249DD" w:rsidRDefault="00F249DD">
      <w:pPr>
        <w:numPr>
          <w:ilvl w:val="0"/>
          <w:numId w:val="3"/>
        </w:numPr>
        <w:ind w:left="0" w:firstLine="0"/>
        <w:jc w:val="both"/>
        <w:rPr>
          <w:rFonts w:ascii="Verdana" w:hAnsi="Verdana"/>
          <w:sz w:val="20"/>
          <w:szCs w:val="20"/>
          <w:lang w:val="es-CR"/>
        </w:rPr>
      </w:pPr>
      <w:r w:rsidRPr="0039218C">
        <w:rPr>
          <w:rFonts w:ascii="Verdana" w:hAnsi="Verdana" w:cs="Verdana"/>
          <w:sz w:val="20"/>
          <w:szCs w:val="20"/>
          <w:lang w:val="es-ES"/>
        </w:rPr>
        <w:t xml:space="preserve"> La Comisión consideró que “el requisito de agotamiento de los recursos internos no significa que las presuntas víctimas tengan la obligación de agotar todos los recursos que tengan disponibles”. Asimismo, señaló que la “acción civil por daños no era el recurso </w:t>
      </w:r>
      <w:r w:rsidRPr="00A90F28">
        <w:rPr>
          <w:rFonts w:ascii="Verdana" w:hAnsi="Verdana" w:cs="Verdana"/>
          <w:sz w:val="20"/>
          <w:szCs w:val="20"/>
          <w:lang w:val="es-ES"/>
        </w:rPr>
        <w:t>adecuado para lograr lo establecido por el Tribunal Constitucional en su Resolución”. En este sentido, la información aportada ante la Comisión indica que la resolución del Tribunal Constitucional, “según el propio Tribunal, era autoejecutable, por lo que el Ejecutivo y las Fuerzas Armadas debieron cumplir” con la Resolución de 12 de marzo 2002. Por consiguiente, la Comisión consideró que “la excepción interpuesta por el Estado ecuatoriano es infundada e improcedente, razón por la cual solicit[ó] a la Corte que la deseche”.</w:t>
      </w:r>
    </w:p>
    <w:p w:rsidR="00F249DD" w:rsidRPr="0039218C" w:rsidRDefault="00F249DD" w:rsidP="00120F89">
      <w:pPr>
        <w:jc w:val="both"/>
        <w:rPr>
          <w:rFonts w:ascii="Verdana" w:hAnsi="Verdana"/>
          <w:sz w:val="20"/>
          <w:szCs w:val="20"/>
          <w:lang w:val="es-CR"/>
        </w:rPr>
      </w:pPr>
    </w:p>
    <w:p w:rsidR="00F249DD" w:rsidRPr="0039218C" w:rsidRDefault="00F249DD" w:rsidP="007040F4">
      <w:pPr>
        <w:pStyle w:val="Prrafodelista"/>
        <w:spacing w:before="120" w:after="120"/>
        <w:ind w:left="0"/>
        <w:contextualSpacing/>
        <w:jc w:val="both"/>
        <w:rPr>
          <w:rFonts w:ascii="Verdana" w:hAnsi="Verdana" w:cs="Verdana"/>
          <w:i/>
          <w:sz w:val="20"/>
          <w:szCs w:val="20"/>
          <w:lang w:val="es-ES"/>
        </w:rPr>
      </w:pPr>
      <w:r w:rsidRPr="0039218C">
        <w:rPr>
          <w:rFonts w:ascii="Verdana" w:hAnsi="Verdana" w:cs="Verdana"/>
          <w:i/>
          <w:sz w:val="20"/>
          <w:szCs w:val="20"/>
          <w:lang w:val="es-ES"/>
        </w:rPr>
        <w:t>Consideraciones de la Corte</w:t>
      </w:r>
    </w:p>
    <w:p w:rsidR="00F249DD" w:rsidRPr="0039218C" w:rsidRDefault="00F249DD" w:rsidP="00120F89">
      <w:pPr>
        <w:jc w:val="both"/>
        <w:rPr>
          <w:rFonts w:ascii="Verdana" w:hAnsi="Verdana"/>
          <w:sz w:val="20"/>
          <w:szCs w:val="20"/>
          <w:lang w:val="es-CR"/>
        </w:rPr>
      </w:pPr>
    </w:p>
    <w:p w:rsidR="00F249DD" w:rsidRPr="0026794D" w:rsidRDefault="00F249DD" w:rsidP="00BD79C8">
      <w:pPr>
        <w:pStyle w:val="Prrafodelista"/>
        <w:numPr>
          <w:ilvl w:val="0"/>
          <w:numId w:val="3"/>
        </w:numPr>
        <w:ind w:left="0" w:firstLine="0"/>
        <w:contextualSpacing/>
        <w:jc w:val="both"/>
        <w:rPr>
          <w:rFonts w:ascii="Verdana" w:hAnsi="Verdana"/>
          <w:sz w:val="20"/>
          <w:szCs w:val="20"/>
          <w:lang w:val="es-ES" w:eastAsia="fr-FR"/>
        </w:rPr>
      </w:pPr>
      <w:r w:rsidRPr="0039218C">
        <w:rPr>
          <w:rFonts w:ascii="Verdana" w:hAnsi="Verdana"/>
          <w:sz w:val="20"/>
          <w:szCs w:val="20"/>
          <w:lang w:val="es-ES_tradnl"/>
        </w:rPr>
        <w:t>El artículo 46.1.a) de la Convención Americana dispone que para determinar la admisibilidad de una petición o comunicación presentada ante la Comisión Interamericana de conformidad con los artículos 44 ó 45 de la Convención, es necesario que se hayan interpuesto y agotado los recursos de la jurisdicción interna, según los principios del derecho internacional generalmente reconocidos</w:t>
      </w:r>
      <w:r w:rsidRPr="0039218C">
        <w:rPr>
          <w:rStyle w:val="Refdenotaalpie"/>
          <w:rFonts w:ascii="Verdana" w:hAnsi="Verdana"/>
          <w:sz w:val="20"/>
          <w:szCs w:val="20"/>
          <w:lang w:val="es-ES_tradnl"/>
        </w:rPr>
        <w:footnoteReference w:id="15"/>
      </w:r>
      <w:r w:rsidRPr="0039218C">
        <w:rPr>
          <w:rFonts w:ascii="Verdana" w:hAnsi="Verdana"/>
          <w:sz w:val="20"/>
          <w:szCs w:val="20"/>
          <w:lang w:val="es-ES_tradnl"/>
        </w:rPr>
        <w:t xml:space="preserve">. </w:t>
      </w:r>
      <w:r w:rsidRPr="0039218C">
        <w:rPr>
          <w:rFonts w:ascii="Verdana" w:hAnsi="Verdana" w:cs="Times-Roman"/>
          <w:sz w:val="20"/>
          <w:szCs w:val="20"/>
          <w:lang w:val="es-ES"/>
        </w:rPr>
        <w:t xml:space="preserve">La Corte recuerda que la regla del previo agotamiento de los recursos internos está concebida en interés del Estado, pues busca dispensarlo de responder ante un órgano internacional por actos que se le imputen, </w:t>
      </w:r>
      <w:r w:rsidRPr="0039218C">
        <w:rPr>
          <w:rFonts w:ascii="Verdana" w:hAnsi="Verdana" w:cs="Times-Roman"/>
          <w:iCs/>
          <w:sz w:val="20"/>
          <w:szCs w:val="20"/>
          <w:lang w:val="es-ES"/>
        </w:rPr>
        <w:t>antes de haber tenido la ocasión de remediarlos con sus propios medios</w:t>
      </w:r>
      <w:r w:rsidRPr="0039218C">
        <w:rPr>
          <w:rStyle w:val="Refdenotaalpie"/>
          <w:rFonts w:ascii="Verdana" w:hAnsi="Verdana" w:cs="Times-Roman"/>
          <w:sz w:val="20"/>
          <w:szCs w:val="20"/>
          <w:lang w:val="es-ES"/>
        </w:rPr>
        <w:footnoteReference w:id="16"/>
      </w:r>
      <w:r w:rsidRPr="0039218C">
        <w:rPr>
          <w:rFonts w:ascii="Verdana" w:hAnsi="Verdana" w:cs="Times-Roman"/>
          <w:iCs/>
          <w:sz w:val="20"/>
          <w:szCs w:val="20"/>
          <w:lang w:val="es-ES"/>
        </w:rPr>
        <w:t>.</w:t>
      </w:r>
    </w:p>
    <w:p w:rsidR="00F249DD" w:rsidRPr="0039218C" w:rsidRDefault="00F249DD" w:rsidP="0026794D">
      <w:pPr>
        <w:pStyle w:val="Prrafodelista"/>
        <w:ind w:left="0"/>
        <w:contextualSpacing/>
        <w:jc w:val="both"/>
        <w:rPr>
          <w:rFonts w:ascii="Verdana" w:hAnsi="Verdana"/>
          <w:sz w:val="20"/>
          <w:szCs w:val="20"/>
          <w:lang w:val="es-ES" w:eastAsia="fr-FR"/>
        </w:rPr>
      </w:pPr>
    </w:p>
    <w:p w:rsidR="00F249DD" w:rsidRPr="00590614" w:rsidRDefault="00F249DD" w:rsidP="00120F89">
      <w:pPr>
        <w:numPr>
          <w:ilvl w:val="0"/>
          <w:numId w:val="3"/>
        </w:numPr>
        <w:ind w:left="0" w:firstLine="0"/>
        <w:jc w:val="both"/>
        <w:rPr>
          <w:rFonts w:ascii="Verdana" w:hAnsi="Verdana"/>
          <w:sz w:val="20"/>
          <w:szCs w:val="20"/>
          <w:lang w:val="es-CR"/>
        </w:rPr>
      </w:pPr>
      <w:r w:rsidRPr="0039218C">
        <w:rPr>
          <w:rFonts w:ascii="Verdana" w:hAnsi="Verdana"/>
          <w:sz w:val="20"/>
          <w:szCs w:val="20"/>
          <w:lang w:val="es-ES_tradnl"/>
        </w:rPr>
        <w:t>Lo anterior significa que no sólo deben existir formalmente esos recursos, sino también deben ser adecuados y efectivos, como resulta de las excepciones contempladas en el artículo 46.2 de la Convenció</w:t>
      </w:r>
      <w:bookmarkStart w:id="70" w:name="_Ref524430830"/>
      <w:r w:rsidRPr="0039218C">
        <w:rPr>
          <w:rFonts w:ascii="Verdana" w:hAnsi="Verdana"/>
          <w:sz w:val="20"/>
          <w:szCs w:val="20"/>
          <w:lang w:val="es-ES_tradnl"/>
        </w:rPr>
        <w:t>n</w:t>
      </w:r>
      <w:r w:rsidRPr="0039218C">
        <w:rPr>
          <w:rStyle w:val="Refdenotaalpie"/>
          <w:rFonts w:ascii="Verdana" w:hAnsi="Verdana"/>
          <w:sz w:val="20"/>
          <w:szCs w:val="20"/>
          <w:lang w:val="es-ES_tradnl"/>
        </w:rPr>
        <w:footnoteReference w:id="17"/>
      </w:r>
      <w:bookmarkEnd w:id="70"/>
      <w:r w:rsidRPr="0039218C">
        <w:rPr>
          <w:rFonts w:ascii="Verdana" w:hAnsi="Verdana"/>
          <w:sz w:val="20"/>
          <w:szCs w:val="20"/>
          <w:lang w:val="es-ES_tradnl"/>
        </w:rPr>
        <w:t xml:space="preserve">. </w:t>
      </w:r>
    </w:p>
    <w:p w:rsidR="00F249DD" w:rsidRPr="0039218C" w:rsidRDefault="00F249DD" w:rsidP="00120F89">
      <w:pPr>
        <w:jc w:val="both"/>
        <w:rPr>
          <w:rFonts w:ascii="Verdana" w:hAnsi="Verdana"/>
          <w:sz w:val="20"/>
          <w:szCs w:val="20"/>
          <w:lang w:val="es-CR"/>
        </w:rPr>
      </w:pPr>
    </w:p>
    <w:p w:rsidR="00F249DD" w:rsidRPr="0039218C" w:rsidRDefault="00F249DD" w:rsidP="00F211A9">
      <w:pPr>
        <w:numPr>
          <w:ilvl w:val="0"/>
          <w:numId w:val="3"/>
        </w:numPr>
        <w:ind w:left="0" w:firstLine="0"/>
        <w:jc w:val="both"/>
        <w:rPr>
          <w:rFonts w:ascii="Verdana" w:hAnsi="Verdana"/>
          <w:sz w:val="20"/>
          <w:szCs w:val="20"/>
          <w:lang w:val="es-CR"/>
        </w:rPr>
      </w:pPr>
      <w:r>
        <w:rPr>
          <w:rFonts w:ascii="Verdana" w:hAnsi="Verdana"/>
          <w:sz w:val="20"/>
          <w:szCs w:val="20"/>
          <w:lang w:val="es-ES"/>
        </w:rPr>
        <w:t>Esta Corte</w:t>
      </w:r>
      <w:r w:rsidRPr="0039218C">
        <w:rPr>
          <w:rFonts w:ascii="Verdana" w:hAnsi="Verdana"/>
          <w:sz w:val="20"/>
          <w:szCs w:val="20"/>
          <w:lang w:val="es-ES"/>
        </w:rPr>
        <w:t xml:space="preserve"> ha sostenido de manera consistente que una objeción al ejercicio de la jurisdicción de la Corte basada en la supuesta falta de agotamiento de los recursos internos debe ser presentada en el momento procesal oportuno</w:t>
      </w:r>
      <w:r w:rsidRPr="0039218C">
        <w:rPr>
          <w:rStyle w:val="Refdenotaalpie"/>
          <w:rFonts w:ascii="Verdana" w:hAnsi="Verdana" w:cs="Verdana"/>
          <w:sz w:val="20"/>
          <w:szCs w:val="20"/>
          <w:lang w:val="es-ES"/>
        </w:rPr>
        <w:footnoteReference w:id="18"/>
      </w:r>
      <w:r w:rsidRPr="0039218C">
        <w:rPr>
          <w:rFonts w:ascii="Verdana" w:hAnsi="Verdana"/>
          <w:sz w:val="20"/>
          <w:szCs w:val="20"/>
          <w:lang w:val="es-ES"/>
        </w:rPr>
        <w:t xml:space="preserve">, esto es, </w:t>
      </w:r>
      <w:r>
        <w:rPr>
          <w:rFonts w:ascii="Verdana" w:hAnsi="Verdana"/>
          <w:sz w:val="20"/>
          <w:szCs w:val="20"/>
          <w:lang w:val="es-ES"/>
        </w:rPr>
        <w:t xml:space="preserve">durante la </w:t>
      </w:r>
      <w:r w:rsidRPr="0039218C">
        <w:rPr>
          <w:rFonts w:ascii="Verdana" w:hAnsi="Verdana"/>
          <w:sz w:val="20"/>
          <w:szCs w:val="20"/>
          <w:lang w:val="es-ES"/>
        </w:rPr>
        <w:t xml:space="preserve">admisibilidad del procedimiento ante la </w:t>
      </w:r>
      <w:r w:rsidRPr="0039218C">
        <w:rPr>
          <w:rFonts w:ascii="Verdana" w:hAnsi="Verdana"/>
          <w:sz w:val="20"/>
          <w:szCs w:val="20"/>
          <w:lang w:val="es-CR"/>
        </w:rPr>
        <w:t>Comisión</w:t>
      </w:r>
      <w:r w:rsidRPr="0039218C">
        <w:rPr>
          <w:rStyle w:val="Refdenotaalpie"/>
          <w:rFonts w:ascii="Verdana" w:hAnsi="Verdana"/>
          <w:sz w:val="20"/>
          <w:szCs w:val="20"/>
        </w:rPr>
        <w:footnoteReference w:id="19"/>
      </w:r>
      <w:r w:rsidRPr="0039218C">
        <w:rPr>
          <w:rFonts w:ascii="Verdana" w:hAnsi="Verdana"/>
          <w:sz w:val="20"/>
          <w:szCs w:val="20"/>
          <w:lang w:val="es-CR"/>
        </w:rPr>
        <w:t xml:space="preserve">. </w:t>
      </w:r>
      <w:r w:rsidRPr="00F170F7">
        <w:rPr>
          <w:rFonts w:ascii="Verdana" w:hAnsi="Verdana"/>
          <w:sz w:val="20"/>
          <w:szCs w:val="20"/>
          <w:lang w:val="es-CR"/>
        </w:rPr>
        <w:t xml:space="preserve">Asimismo, </w:t>
      </w:r>
      <w:r>
        <w:rPr>
          <w:rFonts w:ascii="Verdana" w:hAnsi="Verdana"/>
          <w:sz w:val="20"/>
          <w:szCs w:val="20"/>
          <w:lang w:val="es-CR"/>
        </w:rPr>
        <w:t xml:space="preserve">el Tribunal </w:t>
      </w:r>
      <w:r w:rsidRPr="00F170F7">
        <w:rPr>
          <w:rFonts w:ascii="Verdana" w:hAnsi="Verdana"/>
          <w:sz w:val="20"/>
          <w:szCs w:val="20"/>
          <w:lang w:val="es-CR"/>
        </w:rPr>
        <w:t>reitera que conforme a su jurisprudencia</w:t>
      </w:r>
      <w:r w:rsidRPr="00F170F7">
        <w:rPr>
          <w:rStyle w:val="Refdenotaalpie"/>
          <w:rFonts w:ascii="Verdana" w:hAnsi="Verdana" w:cs="Arial"/>
          <w:sz w:val="20"/>
          <w:szCs w:val="20"/>
        </w:rPr>
        <w:footnoteReference w:id="20"/>
      </w:r>
      <w:r w:rsidRPr="00F170F7">
        <w:rPr>
          <w:rFonts w:ascii="Verdana" w:hAnsi="Verdana"/>
          <w:sz w:val="20"/>
          <w:szCs w:val="20"/>
          <w:lang w:val="es-CR"/>
        </w:rPr>
        <w:t xml:space="preserve"> y a la jurisprudencia internacional</w:t>
      </w:r>
      <w:r w:rsidRPr="00F170F7">
        <w:rPr>
          <w:rStyle w:val="Refdenotaalpie"/>
          <w:rFonts w:ascii="Verdana" w:hAnsi="Verdana"/>
          <w:sz w:val="20"/>
          <w:szCs w:val="20"/>
        </w:rPr>
        <w:footnoteReference w:id="21"/>
      </w:r>
      <w:r w:rsidRPr="00F170F7">
        <w:rPr>
          <w:rFonts w:ascii="Verdana" w:hAnsi="Verdana"/>
          <w:sz w:val="20"/>
          <w:szCs w:val="20"/>
          <w:lang w:val="es-CR"/>
        </w:rPr>
        <w:t xml:space="preserve"> </w:t>
      </w:r>
      <w:r w:rsidRPr="00F170F7">
        <w:rPr>
          <w:rFonts w:ascii="Verdana" w:hAnsi="Verdana" w:cs="Arial"/>
          <w:sz w:val="20"/>
          <w:szCs w:val="20"/>
          <w:lang w:val="es-CR"/>
        </w:rPr>
        <w:t xml:space="preserve">no es tarea de la Corte ni de la Comisión identificar </w:t>
      </w:r>
      <w:r w:rsidRPr="00F170F7">
        <w:rPr>
          <w:rFonts w:ascii="Verdana" w:hAnsi="Verdana" w:cs="Arial"/>
          <w:i/>
          <w:sz w:val="20"/>
          <w:szCs w:val="20"/>
          <w:lang w:val="es-CR"/>
        </w:rPr>
        <w:t>ex officio</w:t>
      </w:r>
      <w:r w:rsidRPr="00F170F7">
        <w:rPr>
          <w:rFonts w:ascii="Verdana" w:hAnsi="Verdana" w:cs="Arial"/>
          <w:sz w:val="20"/>
          <w:szCs w:val="20"/>
          <w:lang w:val="es-CR"/>
        </w:rPr>
        <w:t xml:space="preserve"> cuáles son los recursos internos </w:t>
      </w:r>
      <w:r>
        <w:rPr>
          <w:rFonts w:ascii="Verdana" w:hAnsi="Verdana" w:cs="Arial"/>
          <w:sz w:val="20"/>
          <w:szCs w:val="20"/>
          <w:lang w:val="es-CR"/>
        </w:rPr>
        <w:t>para</w:t>
      </w:r>
      <w:r w:rsidRPr="00F170F7">
        <w:rPr>
          <w:rFonts w:ascii="Verdana" w:hAnsi="Verdana" w:cs="Arial"/>
          <w:sz w:val="20"/>
          <w:szCs w:val="20"/>
          <w:lang w:val="es-CR"/>
        </w:rPr>
        <w:t xml:space="preserve"> agotar, sino que corresponde al Estado el </w:t>
      </w:r>
      <w:r w:rsidRPr="00F170F7">
        <w:rPr>
          <w:rFonts w:ascii="Verdana" w:hAnsi="Verdana"/>
          <w:sz w:val="20"/>
          <w:szCs w:val="20"/>
          <w:lang w:val="es-CR"/>
        </w:rPr>
        <w:t>señalamiento oportuno de los recursos internos que deben agotarse y de su efectividad.</w:t>
      </w:r>
      <w:r w:rsidRPr="00F170F7">
        <w:rPr>
          <w:lang w:val="es-CR"/>
        </w:rPr>
        <w:t xml:space="preserve"> </w:t>
      </w:r>
    </w:p>
    <w:p w:rsidR="00F249DD" w:rsidRPr="0039218C" w:rsidRDefault="00F249DD" w:rsidP="00120F89">
      <w:pPr>
        <w:jc w:val="both"/>
        <w:rPr>
          <w:rFonts w:ascii="Verdana" w:hAnsi="Verdana"/>
          <w:sz w:val="20"/>
          <w:szCs w:val="20"/>
          <w:lang w:val="es-CR"/>
        </w:rPr>
      </w:pPr>
    </w:p>
    <w:p w:rsidR="00F249DD" w:rsidRPr="0039218C" w:rsidRDefault="00F249DD" w:rsidP="00120F89">
      <w:pPr>
        <w:numPr>
          <w:ilvl w:val="0"/>
          <w:numId w:val="3"/>
        </w:numPr>
        <w:ind w:left="0" w:firstLine="0"/>
        <w:jc w:val="both"/>
        <w:rPr>
          <w:rFonts w:ascii="Verdana" w:hAnsi="Verdana"/>
          <w:sz w:val="20"/>
          <w:szCs w:val="20"/>
          <w:lang w:val="es-CR"/>
        </w:rPr>
      </w:pPr>
      <w:r w:rsidRPr="0039218C">
        <w:rPr>
          <w:rFonts w:ascii="Verdana" w:hAnsi="Verdana"/>
          <w:sz w:val="20"/>
          <w:szCs w:val="20"/>
          <w:lang w:val="es-ES"/>
        </w:rPr>
        <w:t xml:space="preserve">En </w:t>
      </w:r>
      <w:r w:rsidRPr="0059593D">
        <w:rPr>
          <w:rFonts w:ascii="Verdana" w:hAnsi="Verdana"/>
          <w:sz w:val="20"/>
          <w:szCs w:val="20"/>
          <w:lang w:val="es-ES"/>
        </w:rPr>
        <w:t>el presente caso, el Estado planteó en su escrito presentado ante la Comisión el 10 de julio de 2006</w:t>
      </w:r>
      <w:r>
        <w:rPr>
          <w:rFonts w:ascii="Verdana" w:hAnsi="Verdana"/>
          <w:sz w:val="20"/>
          <w:szCs w:val="20"/>
          <w:lang w:val="es-ES"/>
        </w:rPr>
        <w:t xml:space="preserve"> </w:t>
      </w:r>
      <w:r w:rsidRPr="0059593D">
        <w:rPr>
          <w:rFonts w:ascii="Verdana" w:hAnsi="Verdana"/>
          <w:sz w:val="20"/>
          <w:szCs w:val="20"/>
          <w:lang w:val="es-ES"/>
        </w:rPr>
        <w:t>la excepción de falta de agotamiento de los recursos internos en relación con la acción civil por daños.</w:t>
      </w:r>
      <w:r w:rsidRPr="0039218C">
        <w:rPr>
          <w:rFonts w:ascii="Verdana" w:hAnsi="Verdana"/>
          <w:sz w:val="20"/>
          <w:szCs w:val="20"/>
          <w:lang w:val="es-ES"/>
        </w:rPr>
        <w:t xml:space="preserve"> En dicha oportunidad reclamó que el señor Mejía Idrovo habría tenido que presentar una acción civil por daños ante los jueces competentes del Ecuador para que estos determinen el daño sufrido y el monto de la indemnización. Con posterioridad, el 24 de junio 2010 en su contestación a la demanda, el Estado añadió que también debía considerarse un recurso adecuado la acción por incumplimiento introducida por la nueva Constitución de</w:t>
      </w:r>
      <w:r>
        <w:rPr>
          <w:rFonts w:ascii="Verdana" w:hAnsi="Verdana"/>
          <w:sz w:val="20"/>
          <w:szCs w:val="20"/>
          <w:lang w:val="es-ES"/>
        </w:rPr>
        <w:t>l</w:t>
      </w:r>
      <w:r w:rsidRPr="0039218C">
        <w:rPr>
          <w:rFonts w:ascii="Verdana" w:hAnsi="Verdana"/>
          <w:sz w:val="20"/>
          <w:szCs w:val="20"/>
          <w:lang w:val="es-ES"/>
        </w:rPr>
        <w:t xml:space="preserve"> Ecuador.</w:t>
      </w:r>
    </w:p>
    <w:p w:rsidR="00F249DD" w:rsidRPr="0039218C" w:rsidRDefault="00F249DD" w:rsidP="00120F89">
      <w:pPr>
        <w:jc w:val="both"/>
        <w:rPr>
          <w:rFonts w:ascii="Verdana" w:hAnsi="Verdana"/>
          <w:sz w:val="20"/>
          <w:szCs w:val="20"/>
          <w:lang w:val="es-CR"/>
        </w:rPr>
      </w:pPr>
    </w:p>
    <w:p w:rsidR="00F249DD" w:rsidRDefault="00F249DD">
      <w:pPr>
        <w:numPr>
          <w:ilvl w:val="0"/>
          <w:numId w:val="3"/>
        </w:numPr>
        <w:ind w:left="0" w:firstLine="0"/>
        <w:jc w:val="both"/>
        <w:rPr>
          <w:rFonts w:ascii="Verdana" w:hAnsi="Verdana"/>
          <w:sz w:val="20"/>
          <w:szCs w:val="20"/>
          <w:lang w:val="es-CR"/>
        </w:rPr>
      </w:pPr>
      <w:r>
        <w:rPr>
          <w:rFonts w:ascii="Verdana" w:hAnsi="Verdana"/>
          <w:sz w:val="20"/>
          <w:szCs w:val="20"/>
          <w:lang w:val="es-ES"/>
        </w:rPr>
        <w:t>En su Informe de Admisibilidad y F</w:t>
      </w:r>
      <w:r w:rsidRPr="00865B26">
        <w:rPr>
          <w:rFonts w:ascii="Verdana" w:hAnsi="Verdana"/>
          <w:sz w:val="20"/>
          <w:szCs w:val="20"/>
          <w:lang w:val="es-ES"/>
        </w:rPr>
        <w:t>ondo</w:t>
      </w:r>
      <w:r>
        <w:rPr>
          <w:rFonts w:ascii="Verdana" w:hAnsi="Verdana"/>
          <w:sz w:val="20"/>
          <w:szCs w:val="20"/>
          <w:lang w:val="es-ES"/>
        </w:rPr>
        <w:t xml:space="preserve"> </w:t>
      </w:r>
      <w:r w:rsidRPr="0059593D">
        <w:rPr>
          <w:rFonts w:ascii="Verdana" w:hAnsi="Verdana"/>
          <w:sz w:val="20"/>
          <w:szCs w:val="20"/>
          <w:lang w:val="es-ES"/>
        </w:rPr>
        <w:t>No. 07/09,</w:t>
      </w:r>
      <w:r w:rsidRPr="00865B26">
        <w:rPr>
          <w:rFonts w:ascii="Verdana" w:hAnsi="Verdana"/>
          <w:sz w:val="20"/>
          <w:szCs w:val="20"/>
          <w:lang w:val="es-ES"/>
        </w:rPr>
        <w:t xml:space="preserve"> la Comisión concluyó que la acción civil por daños y perjuicios dentro de un proceso judicial de carácter civil de </w:t>
      </w:r>
      <w:r w:rsidRPr="008B3A3D">
        <w:rPr>
          <w:rFonts w:ascii="Verdana" w:hAnsi="Verdana"/>
          <w:sz w:val="20"/>
          <w:szCs w:val="20"/>
          <w:lang w:val="es-ES"/>
        </w:rPr>
        <w:t>naturaleza ordinaria no constituía un recurso adecuado para lograr lo establecido por el Tribunal Constitucional en su resolución de 12 de marzo de 2002, que según el propio tribunal, era autoejecutable, por lo que tanto el Ejecutivo como las Fuerzas Armadas debieron cumplir con dicha decisión.</w:t>
      </w:r>
      <w:r w:rsidRPr="00865B26">
        <w:rPr>
          <w:rFonts w:ascii="Verdana" w:hAnsi="Verdana"/>
          <w:sz w:val="20"/>
          <w:szCs w:val="20"/>
          <w:lang w:val="es-ES"/>
        </w:rPr>
        <w:t xml:space="preserve">  </w:t>
      </w:r>
      <w:r>
        <w:rPr>
          <w:rFonts w:ascii="Verdana" w:hAnsi="Verdana"/>
          <w:sz w:val="20"/>
          <w:szCs w:val="20"/>
          <w:lang w:val="es-ES"/>
        </w:rPr>
        <w:t xml:space="preserve">Además, </w:t>
      </w:r>
      <w:r w:rsidRPr="00865B26">
        <w:rPr>
          <w:rFonts w:ascii="Verdana" w:hAnsi="Verdana"/>
          <w:sz w:val="20"/>
          <w:szCs w:val="20"/>
          <w:lang w:val="es-ES"/>
        </w:rPr>
        <w:t>consideró que la demanda de inconstitucionalidad que el coronel Mejía Idrovo presentó ante el Tribunal Constitucional fue el recurso adecuado para declarar la inconstitucionalidad de los decretos ejecutivos impugnados.</w:t>
      </w:r>
    </w:p>
    <w:p w:rsidR="00F249DD" w:rsidRPr="0039218C" w:rsidRDefault="00F249DD" w:rsidP="00120F89">
      <w:pPr>
        <w:jc w:val="both"/>
        <w:rPr>
          <w:rFonts w:ascii="Verdana" w:hAnsi="Verdana"/>
          <w:sz w:val="20"/>
          <w:szCs w:val="20"/>
          <w:lang w:val="es-ES"/>
        </w:rPr>
      </w:pPr>
    </w:p>
    <w:p w:rsidR="00F249DD" w:rsidRPr="00BC7C5B" w:rsidRDefault="00F249DD" w:rsidP="00BD79C8">
      <w:pPr>
        <w:numPr>
          <w:ilvl w:val="0"/>
          <w:numId w:val="3"/>
        </w:numPr>
        <w:ind w:left="0" w:firstLine="0"/>
        <w:jc w:val="both"/>
        <w:rPr>
          <w:rFonts w:ascii="Verdana" w:hAnsi="Verdana"/>
          <w:sz w:val="20"/>
          <w:szCs w:val="20"/>
          <w:lang w:val="es-CR"/>
        </w:rPr>
      </w:pPr>
      <w:r w:rsidRPr="0039218C">
        <w:rPr>
          <w:rFonts w:ascii="Verdana" w:hAnsi="Verdana"/>
          <w:sz w:val="20"/>
          <w:szCs w:val="20"/>
          <w:lang w:val="es-ES"/>
        </w:rPr>
        <w:t>En cuanto a la acción civil</w:t>
      </w:r>
      <w:r>
        <w:rPr>
          <w:rFonts w:ascii="Verdana" w:hAnsi="Verdana"/>
          <w:sz w:val="20"/>
          <w:szCs w:val="20"/>
          <w:lang w:val="es-ES"/>
        </w:rPr>
        <w:t xml:space="preserve"> por daños y perjuicios</w:t>
      </w:r>
      <w:r w:rsidRPr="0039218C">
        <w:rPr>
          <w:rFonts w:ascii="Verdana" w:hAnsi="Verdana"/>
          <w:sz w:val="20"/>
          <w:szCs w:val="20"/>
          <w:lang w:val="es-ES"/>
        </w:rPr>
        <w:t xml:space="preserve">, la Corte suscribe la posición adoptada por la Comisión </w:t>
      </w:r>
      <w:r>
        <w:rPr>
          <w:rFonts w:ascii="Verdana" w:hAnsi="Verdana"/>
          <w:sz w:val="20"/>
          <w:szCs w:val="20"/>
          <w:lang w:val="es-ES"/>
        </w:rPr>
        <w:t xml:space="preserve">en su Informe de Admisibilidad y Fondo, </w:t>
      </w:r>
      <w:r w:rsidRPr="00773198">
        <w:rPr>
          <w:rFonts w:ascii="Verdana" w:hAnsi="Verdana"/>
          <w:sz w:val="20"/>
          <w:szCs w:val="20"/>
          <w:lang w:val="es-ES"/>
        </w:rPr>
        <w:t xml:space="preserve">en la medida en que considera que la acción por daños y perjuicios no era el recurso adecuado para reparar la situación jurídica de las alegadas violaciones de los derechos a las </w:t>
      </w:r>
      <w:r w:rsidRPr="00A90F28">
        <w:rPr>
          <w:rFonts w:ascii="Verdana" w:hAnsi="Verdana"/>
          <w:sz w:val="20"/>
          <w:szCs w:val="20"/>
          <w:lang w:val="es-ES"/>
        </w:rPr>
        <w:t>garantías y protección judiciales del señor Mejía Idrovo. En este sentido, el Tribunal nota que tanto la Comisión como los representantes alegaron que conforme al derecho interno del Estado vigente para el momento de los hechos, las decisiones del Tribunal Constitucional eran autoejecutables</w:t>
      </w:r>
      <w:r w:rsidRPr="00A90F28">
        <w:rPr>
          <w:rFonts w:ascii="Verdana" w:hAnsi="Verdana"/>
          <w:sz w:val="20"/>
          <w:szCs w:val="20"/>
          <w:lang w:val="es-CR"/>
        </w:rPr>
        <w:t>, puesto que se trata de un acto procesal que tiene efectos de cosa juzgada</w:t>
      </w:r>
      <w:r w:rsidRPr="00A90F28">
        <w:rPr>
          <w:rFonts w:ascii="Verdana" w:hAnsi="Verdana"/>
          <w:sz w:val="20"/>
          <w:szCs w:val="20"/>
          <w:lang w:val="es-ES"/>
        </w:rPr>
        <w:t>, o sea que tienen que ser cumplidas por las diferentes autoridades nacionales sin que se necesite introducir alguna otra acción judicial.</w:t>
      </w:r>
      <w:r w:rsidRPr="0039218C">
        <w:rPr>
          <w:rFonts w:ascii="Verdana" w:hAnsi="Verdana"/>
          <w:sz w:val="20"/>
          <w:szCs w:val="20"/>
          <w:lang w:val="es-ES"/>
        </w:rPr>
        <w:t xml:space="preserve"> </w:t>
      </w:r>
      <w:r>
        <w:rPr>
          <w:rFonts w:ascii="Verdana" w:hAnsi="Verdana"/>
          <w:sz w:val="20"/>
          <w:szCs w:val="20"/>
          <w:lang w:val="es-ES"/>
        </w:rPr>
        <w:t>Al respecto, el Estado no presentó alegatos relativos a la auto ejecutoriedad de los fallos del Tribunal Constitucional (</w:t>
      </w:r>
      <w:r w:rsidRPr="00E505BE">
        <w:rPr>
          <w:rFonts w:ascii="Verdana" w:hAnsi="Verdana"/>
          <w:i/>
          <w:sz w:val="20"/>
          <w:szCs w:val="20"/>
          <w:lang w:val="es-ES"/>
        </w:rPr>
        <w:t xml:space="preserve">infra </w:t>
      </w:r>
      <w:r w:rsidRPr="00277159">
        <w:rPr>
          <w:rFonts w:ascii="Verdana" w:hAnsi="Verdana"/>
          <w:sz w:val="20"/>
          <w:szCs w:val="20"/>
          <w:lang w:val="es-ES"/>
        </w:rPr>
        <w:t>párr. 70),</w:t>
      </w:r>
      <w:r>
        <w:rPr>
          <w:rFonts w:ascii="Verdana" w:hAnsi="Verdana"/>
          <w:sz w:val="20"/>
          <w:szCs w:val="20"/>
          <w:lang w:val="es-ES"/>
        </w:rPr>
        <w:t xml:space="preserve"> sino que se limitó a indicar que la presunta víctima debió presentar dicha acción civil, la cual es de naturaleza ordinaria. </w:t>
      </w:r>
      <w:r w:rsidRPr="0039218C">
        <w:rPr>
          <w:rFonts w:ascii="Verdana" w:hAnsi="Verdana"/>
          <w:sz w:val="20"/>
          <w:szCs w:val="20"/>
          <w:lang w:val="es-ES"/>
        </w:rPr>
        <w:t xml:space="preserve">La Corte observa que la acción civil solo permite la </w:t>
      </w:r>
      <w:r w:rsidRPr="00BC7C5B">
        <w:rPr>
          <w:rFonts w:ascii="Verdana" w:hAnsi="Verdana"/>
          <w:sz w:val="20"/>
          <w:szCs w:val="20"/>
          <w:lang w:val="es-ES"/>
        </w:rPr>
        <w:t>reparación del daño patrimonial y por ende no constituye una medida apropiada para lograr integralmente las pretensiones del señor Mejía Idrovo respecto a su reincorporación.</w:t>
      </w:r>
    </w:p>
    <w:p w:rsidR="00F249DD" w:rsidRPr="0039218C" w:rsidRDefault="00F249DD" w:rsidP="00120F89">
      <w:pPr>
        <w:jc w:val="both"/>
        <w:rPr>
          <w:rFonts w:ascii="Verdana" w:hAnsi="Verdana"/>
          <w:sz w:val="20"/>
          <w:szCs w:val="20"/>
          <w:lang w:val="es-CR"/>
        </w:rPr>
      </w:pPr>
    </w:p>
    <w:p w:rsidR="00F249DD" w:rsidRPr="0039218C" w:rsidRDefault="00F249DD" w:rsidP="00120F89">
      <w:pPr>
        <w:numPr>
          <w:ilvl w:val="0"/>
          <w:numId w:val="3"/>
        </w:numPr>
        <w:ind w:left="0" w:firstLine="0"/>
        <w:jc w:val="both"/>
        <w:rPr>
          <w:rFonts w:ascii="Verdana" w:hAnsi="Verdana"/>
          <w:sz w:val="20"/>
          <w:szCs w:val="20"/>
          <w:lang w:val="es-CR"/>
        </w:rPr>
      </w:pPr>
      <w:r w:rsidRPr="0039218C">
        <w:rPr>
          <w:rFonts w:ascii="Verdana" w:hAnsi="Verdana"/>
          <w:sz w:val="20"/>
          <w:szCs w:val="20"/>
          <w:lang w:val="es-ES"/>
        </w:rPr>
        <w:t xml:space="preserve">  Con respecto a la acción de incumplimiento presentada por la presunta víctima ante la</w:t>
      </w:r>
      <w:r>
        <w:rPr>
          <w:rFonts w:ascii="Verdana" w:hAnsi="Verdana"/>
          <w:sz w:val="20"/>
          <w:szCs w:val="20"/>
          <w:lang w:val="es-ES"/>
        </w:rPr>
        <w:t xml:space="preserve"> Corte Constitucional</w:t>
      </w:r>
      <w:r w:rsidRPr="0039218C">
        <w:rPr>
          <w:rFonts w:ascii="Verdana" w:hAnsi="Verdana"/>
          <w:sz w:val="20"/>
          <w:szCs w:val="20"/>
          <w:lang w:val="es-ES"/>
        </w:rPr>
        <w:t>, la Corte Interamericana observa que dicha acción de incumplimiento fue introducida en el sistema jurídico ecuatoriano por efecto de la reforma constitucional del añ</w:t>
      </w:r>
      <w:r>
        <w:rPr>
          <w:rFonts w:ascii="Verdana" w:hAnsi="Verdana"/>
          <w:sz w:val="20"/>
          <w:szCs w:val="20"/>
          <w:lang w:val="es-ES"/>
        </w:rPr>
        <w:t>o 2008</w:t>
      </w:r>
      <w:r w:rsidRPr="0039218C">
        <w:rPr>
          <w:rFonts w:ascii="Verdana" w:hAnsi="Verdana"/>
          <w:sz w:val="20"/>
          <w:szCs w:val="20"/>
          <w:lang w:val="es-ES"/>
        </w:rPr>
        <w:t xml:space="preserve"> y</w:t>
      </w:r>
      <w:r>
        <w:rPr>
          <w:rFonts w:ascii="Verdana" w:hAnsi="Verdana"/>
          <w:sz w:val="20"/>
          <w:szCs w:val="20"/>
          <w:lang w:val="es-ES"/>
        </w:rPr>
        <w:t>,</w:t>
      </w:r>
      <w:r w:rsidRPr="0039218C">
        <w:rPr>
          <w:rFonts w:ascii="Verdana" w:hAnsi="Verdana"/>
          <w:sz w:val="20"/>
          <w:szCs w:val="20"/>
          <w:lang w:val="es-ES"/>
        </w:rPr>
        <w:t xml:space="preserve"> por lo tanto, no era accesible a la presunta víctima en el momento en que ocurrieron los hechos relevantes del presente caso. Sin perjuicio de ello, el Tribunal observa que la presunta víctima interpuso dicha acción el 22 de abril del 2009 y</w:t>
      </w:r>
      <w:r>
        <w:rPr>
          <w:rFonts w:ascii="Verdana" w:hAnsi="Verdana"/>
          <w:sz w:val="20"/>
          <w:szCs w:val="20"/>
          <w:lang w:val="es-ES"/>
        </w:rPr>
        <w:t>,</w:t>
      </w:r>
      <w:r w:rsidRPr="0039218C">
        <w:rPr>
          <w:rFonts w:ascii="Verdana" w:hAnsi="Verdana"/>
          <w:sz w:val="20"/>
          <w:szCs w:val="20"/>
          <w:lang w:val="es-ES"/>
        </w:rPr>
        <w:t xml:space="preserve"> como el mismo Estado lo señaló, este recurso </w:t>
      </w:r>
      <w:r w:rsidRPr="00FC3247">
        <w:rPr>
          <w:rFonts w:ascii="Verdana" w:hAnsi="Verdana"/>
          <w:sz w:val="20"/>
          <w:szCs w:val="20"/>
          <w:lang w:val="es-ES"/>
        </w:rPr>
        <w:t>fue oportunamente agotado.</w:t>
      </w:r>
    </w:p>
    <w:p w:rsidR="00F249DD" w:rsidRPr="0039218C" w:rsidRDefault="00F249DD" w:rsidP="00120F89">
      <w:pPr>
        <w:jc w:val="both"/>
        <w:rPr>
          <w:rFonts w:ascii="Verdana" w:hAnsi="Verdana"/>
          <w:sz w:val="20"/>
          <w:szCs w:val="20"/>
          <w:lang w:val="es-CR"/>
        </w:rPr>
      </w:pPr>
    </w:p>
    <w:p w:rsidR="00F249DD" w:rsidRDefault="00F249DD">
      <w:pPr>
        <w:numPr>
          <w:ilvl w:val="0"/>
          <w:numId w:val="3"/>
        </w:numPr>
        <w:ind w:left="0" w:firstLine="0"/>
        <w:jc w:val="both"/>
        <w:rPr>
          <w:rFonts w:ascii="Verdana" w:hAnsi="Verdana"/>
          <w:sz w:val="20"/>
          <w:szCs w:val="20"/>
          <w:lang w:val="es-CR"/>
        </w:rPr>
      </w:pPr>
      <w:r w:rsidRPr="0039218C">
        <w:rPr>
          <w:rFonts w:ascii="Verdana" w:hAnsi="Verdana" w:cs="Verdana"/>
          <w:sz w:val="20"/>
          <w:szCs w:val="20"/>
          <w:lang w:val="es-ES"/>
        </w:rPr>
        <w:t>Consecuentemente, la Corte desestima la excepción de falta de agotamiento de recursos internos planteada por Ecuador.</w:t>
      </w:r>
    </w:p>
    <w:p w:rsidR="00F249DD" w:rsidRPr="000C7602" w:rsidRDefault="00F249DD" w:rsidP="00143CFE">
      <w:pPr>
        <w:rPr>
          <w:rFonts w:ascii="Verdana" w:hAnsi="Verdana"/>
          <w:i/>
          <w:sz w:val="20"/>
          <w:szCs w:val="20"/>
          <w:lang w:val="es-ES"/>
        </w:rPr>
      </w:pPr>
    </w:p>
    <w:p w:rsidR="00F249DD" w:rsidRDefault="00F249DD" w:rsidP="00143CFE">
      <w:pPr>
        <w:pStyle w:val="StyleHeading111ptJustified"/>
        <w:rPr>
          <w:sz w:val="20"/>
          <w:lang w:val="es-MX"/>
        </w:rPr>
      </w:pPr>
      <w:bookmarkStart w:id="71" w:name="_Toc286223888"/>
      <w:bookmarkStart w:id="72" w:name="_Toc294622246"/>
      <w:bookmarkStart w:id="73" w:name="_Toc294622615"/>
      <w:bookmarkStart w:id="74" w:name="_Toc294623388"/>
      <w:bookmarkStart w:id="75" w:name="_Toc294623643"/>
      <w:bookmarkStart w:id="76" w:name="_Toc294626192"/>
      <w:bookmarkStart w:id="77" w:name="_Toc294633768"/>
      <w:bookmarkStart w:id="78" w:name="_Toc294634476"/>
      <w:bookmarkStart w:id="79" w:name="_Toc294635304"/>
      <w:bookmarkStart w:id="80" w:name="_Toc294862696"/>
      <w:bookmarkStart w:id="81" w:name="_Toc294862759"/>
      <w:bookmarkStart w:id="82" w:name="_Toc295380310"/>
      <w:bookmarkStart w:id="83" w:name="_Toc295394462"/>
      <w:bookmarkStart w:id="84" w:name="_Toc295394616"/>
      <w:bookmarkStart w:id="85" w:name="_Toc295986068"/>
      <w:bookmarkStart w:id="86" w:name="_Toc295986286"/>
      <w:bookmarkStart w:id="87" w:name="_Toc295986406"/>
    </w:p>
    <w:p w:rsidR="00F249DD" w:rsidRPr="00A04CE3" w:rsidRDefault="00F249DD" w:rsidP="00D96D26">
      <w:pPr>
        <w:pStyle w:val="StyleHeading111ptJustified"/>
        <w:numPr>
          <w:ilvl w:val="0"/>
          <w:numId w:val="0"/>
        </w:numPr>
        <w:ind w:left="450"/>
        <w:rPr>
          <w:caps/>
          <w:smallCaps w:val="0"/>
          <w:sz w:val="20"/>
          <w:lang w:val="es-MX"/>
        </w:rPr>
      </w:pPr>
      <w:r w:rsidRPr="00FC3247">
        <w:rPr>
          <w:caps/>
          <w:smallCaps w:val="0"/>
          <w:sz w:val="20"/>
          <w:lang w:val="es-MX"/>
        </w:rPr>
        <w:t>Competencia</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rsidR="00F249DD" w:rsidRPr="00DA5593" w:rsidRDefault="00F249DD" w:rsidP="00120F89">
      <w:pPr>
        <w:jc w:val="both"/>
        <w:rPr>
          <w:rFonts w:ascii="Verdana" w:hAnsi="Verdana"/>
          <w:sz w:val="20"/>
          <w:szCs w:val="20"/>
          <w:lang w:val="es-MX"/>
        </w:rPr>
      </w:pPr>
    </w:p>
    <w:p w:rsidR="00F249DD" w:rsidRPr="00ED5DBB" w:rsidRDefault="00F249DD" w:rsidP="00120F89">
      <w:pPr>
        <w:numPr>
          <w:ilvl w:val="0"/>
          <w:numId w:val="3"/>
        </w:numPr>
        <w:ind w:left="0" w:firstLine="0"/>
        <w:jc w:val="both"/>
        <w:rPr>
          <w:rFonts w:ascii="Verdana" w:hAnsi="Verdana"/>
          <w:sz w:val="20"/>
          <w:szCs w:val="20"/>
          <w:lang w:val="es-MX"/>
        </w:rPr>
      </w:pPr>
      <w:r w:rsidRPr="00DA5593">
        <w:rPr>
          <w:rFonts w:ascii="Verdana" w:hAnsi="Verdana"/>
          <w:sz w:val="20"/>
          <w:lang w:val="es-ES"/>
        </w:rPr>
        <w:t xml:space="preserve">La Corte es competente para conocer del presente caso, en los términos del artículo 62.3 de la Convención Americana, ya que Ecuador es Estado Parte en la Convención desde el 28 de diciembre de 1977 y reconoció la jurisdicción contenciosa de la Corte el 24 de julio de 1984. </w:t>
      </w:r>
    </w:p>
    <w:p w:rsidR="00F249DD" w:rsidRPr="00D24AC7" w:rsidRDefault="00F249DD" w:rsidP="001A30D2">
      <w:pPr>
        <w:rPr>
          <w:rFonts w:ascii="Verdana" w:hAnsi="Verdana"/>
          <w:sz w:val="20"/>
          <w:szCs w:val="20"/>
          <w:lang w:val="es-MX"/>
        </w:rPr>
      </w:pPr>
    </w:p>
    <w:p w:rsidR="00F249DD" w:rsidRDefault="00F249DD" w:rsidP="00ED5DBB">
      <w:pPr>
        <w:pStyle w:val="StyleHeading111ptJustified"/>
        <w:rPr>
          <w:sz w:val="20"/>
          <w:lang w:val="es-MX"/>
        </w:rPr>
      </w:pPr>
      <w:bookmarkStart w:id="88" w:name="_Toc286223889"/>
      <w:bookmarkStart w:id="89" w:name="_Toc294622247"/>
      <w:bookmarkStart w:id="90" w:name="_Toc294622616"/>
      <w:bookmarkStart w:id="91" w:name="_Toc294623389"/>
      <w:bookmarkStart w:id="92" w:name="_Toc294623644"/>
      <w:bookmarkStart w:id="93" w:name="_Toc294626193"/>
      <w:bookmarkStart w:id="94" w:name="_Toc294633769"/>
      <w:bookmarkStart w:id="95" w:name="_Toc294634477"/>
      <w:bookmarkStart w:id="96" w:name="_Toc294635305"/>
      <w:bookmarkStart w:id="97" w:name="_Toc294862697"/>
      <w:bookmarkStart w:id="98" w:name="_Toc294862760"/>
      <w:bookmarkStart w:id="99" w:name="_Toc295380311"/>
      <w:bookmarkStart w:id="100" w:name="_Toc295394463"/>
      <w:bookmarkStart w:id="101" w:name="_Toc295394617"/>
      <w:bookmarkStart w:id="102" w:name="_Toc295986069"/>
      <w:bookmarkStart w:id="103" w:name="_Toc295986287"/>
      <w:bookmarkStart w:id="104" w:name="_Toc295986407"/>
    </w:p>
    <w:p w:rsidR="00F249DD" w:rsidRPr="00A04CE3" w:rsidRDefault="00F249DD" w:rsidP="001A07F4">
      <w:pPr>
        <w:pStyle w:val="StyleHeading111ptJustified"/>
        <w:numPr>
          <w:ilvl w:val="0"/>
          <w:numId w:val="0"/>
        </w:numPr>
        <w:rPr>
          <w:caps/>
          <w:smallCaps w:val="0"/>
          <w:sz w:val="20"/>
          <w:lang w:val="es-MX"/>
        </w:rPr>
      </w:pPr>
      <w:r w:rsidRPr="00FC3247">
        <w:rPr>
          <w:caps/>
          <w:smallCaps w:val="0"/>
          <w:sz w:val="20"/>
          <w:lang w:val="es-MX"/>
        </w:rPr>
        <w:t>Prueba</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rsidR="00F249DD" w:rsidRPr="00DA5593" w:rsidRDefault="00F249DD" w:rsidP="00143CFE">
      <w:pPr>
        <w:pStyle w:val="StyleHeading111ptJustified"/>
        <w:numPr>
          <w:ilvl w:val="0"/>
          <w:numId w:val="0"/>
        </w:numPr>
        <w:tabs>
          <w:tab w:val="left" w:pos="360"/>
        </w:tabs>
        <w:ind w:left="450"/>
        <w:jc w:val="left"/>
        <w:rPr>
          <w:sz w:val="20"/>
          <w:lang w:val="es-CR"/>
        </w:rPr>
      </w:pPr>
    </w:p>
    <w:p w:rsidR="00F249DD" w:rsidRPr="00DA5593" w:rsidRDefault="00F249DD" w:rsidP="00143CFE">
      <w:pPr>
        <w:jc w:val="both"/>
        <w:rPr>
          <w:rFonts w:ascii="Verdana" w:hAnsi="Verdana"/>
          <w:i/>
          <w:smallCaps/>
          <w:sz w:val="20"/>
          <w:szCs w:val="20"/>
          <w:lang w:val="es-CR"/>
        </w:rPr>
      </w:pPr>
    </w:p>
    <w:p w:rsidR="00F249DD" w:rsidRPr="00D24AC7" w:rsidRDefault="00F249DD" w:rsidP="00BD79C8">
      <w:pPr>
        <w:numPr>
          <w:ilvl w:val="0"/>
          <w:numId w:val="3"/>
        </w:numPr>
        <w:ind w:left="0" w:firstLine="0"/>
        <w:jc w:val="both"/>
        <w:rPr>
          <w:rFonts w:ascii="Verdana" w:hAnsi="Verdana"/>
          <w:sz w:val="20"/>
          <w:szCs w:val="20"/>
          <w:lang w:val="es-MX"/>
        </w:rPr>
      </w:pPr>
      <w:r w:rsidRPr="00D24AC7">
        <w:rPr>
          <w:rFonts w:ascii="Verdana" w:hAnsi="Verdana"/>
          <w:sz w:val="20"/>
          <w:szCs w:val="20"/>
          <w:lang w:val="es-CR"/>
        </w:rPr>
        <w:t>Con base en lo establecido en los artículos 46 y 47 del Reglamento, así como en la jurisprudencia del Tribunal respecto de la prueba y su apreciación</w:t>
      </w:r>
      <w:r w:rsidRPr="00D24AC7">
        <w:rPr>
          <w:rStyle w:val="Refdenotaalpie"/>
          <w:rFonts w:ascii="Verdana" w:hAnsi="Verdana"/>
          <w:sz w:val="20"/>
          <w:szCs w:val="20"/>
          <w:lang w:val="es-ES"/>
        </w:rPr>
        <w:footnoteReference w:id="22"/>
      </w:r>
      <w:r w:rsidRPr="00D24AC7">
        <w:rPr>
          <w:rFonts w:ascii="Verdana" w:hAnsi="Verdana"/>
          <w:sz w:val="20"/>
          <w:szCs w:val="20"/>
          <w:lang w:val="es-CR"/>
        </w:rPr>
        <w:t xml:space="preserve">, la Corte procederá a </w:t>
      </w:r>
      <w:r w:rsidRPr="00D24AC7">
        <w:rPr>
          <w:rFonts w:ascii="Verdana" w:hAnsi="Verdana"/>
          <w:sz w:val="20"/>
          <w:szCs w:val="20"/>
          <w:lang w:val="es-CR"/>
        </w:rPr>
        <w:lastRenderedPageBreak/>
        <w:t>examinar y valorar los elementos probatorios documentales remitidos por la Comisión, los representantes y el Estado en diversas oportunidades procesales, así como las</w:t>
      </w:r>
      <w:r w:rsidRPr="00D24AC7">
        <w:rPr>
          <w:rFonts w:ascii="Verdana" w:hAnsi="Verdana"/>
          <w:sz w:val="20"/>
          <w:szCs w:val="20"/>
          <w:lang w:val="es-ES"/>
        </w:rPr>
        <w:t xml:space="preserve"> declaraciones recibidas en la audiencia pública</w:t>
      </w:r>
      <w:r w:rsidRPr="00D24AC7">
        <w:rPr>
          <w:rFonts w:ascii="Verdana" w:hAnsi="Verdana"/>
          <w:sz w:val="20"/>
          <w:szCs w:val="20"/>
          <w:lang w:val="es-CR"/>
        </w:rPr>
        <w:t xml:space="preserve"> celebrada en el presente caso. Para ello el Tribunal se atendrá a las reglas de la sana crítica, dentro del marco legal correspondiente</w:t>
      </w:r>
      <w:r w:rsidRPr="00D24AC7">
        <w:rPr>
          <w:rStyle w:val="Refdenotaalpie"/>
          <w:rFonts w:ascii="Verdana" w:hAnsi="Verdana"/>
          <w:sz w:val="20"/>
          <w:szCs w:val="20"/>
          <w:lang w:val="es-ES"/>
        </w:rPr>
        <w:footnoteReference w:id="23"/>
      </w:r>
      <w:r w:rsidRPr="00D24AC7">
        <w:rPr>
          <w:rFonts w:ascii="Verdana" w:hAnsi="Verdana"/>
          <w:sz w:val="20"/>
          <w:szCs w:val="20"/>
          <w:lang w:val="es-CR"/>
        </w:rPr>
        <w:t>.</w:t>
      </w:r>
    </w:p>
    <w:p w:rsidR="00F249DD" w:rsidRPr="00DA5593" w:rsidRDefault="00F249DD" w:rsidP="00120F89">
      <w:pPr>
        <w:jc w:val="both"/>
        <w:rPr>
          <w:rFonts w:ascii="Verdana" w:hAnsi="Verdana"/>
          <w:sz w:val="20"/>
          <w:lang w:val="es-CR"/>
        </w:rPr>
      </w:pPr>
    </w:p>
    <w:p w:rsidR="00F249DD" w:rsidRPr="00E831E4" w:rsidRDefault="00F249DD" w:rsidP="007040F4">
      <w:pPr>
        <w:pStyle w:val="Ttulo2"/>
        <w:numPr>
          <w:ilvl w:val="0"/>
          <w:numId w:val="45"/>
        </w:numPr>
      </w:pPr>
      <w:bookmarkStart w:id="105" w:name="_Toc294634478"/>
      <w:bookmarkStart w:id="106" w:name="_Toc294635306"/>
      <w:bookmarkStart w:id="107" w:name="_Toc294862698"/>
      <w:bookmarkStart w:id="108" w:name="_Toc294862761"/>
      <w:bookmarkStart w:id="109" w:name="_Toc295380312"/>
      <w:bookmarkStart w:id="110" w:name="_Toc295394464"/>
      <w:bookmarkStart w:id="111" w:name="_Toc295394618"/>
      <w:bookmarkStart w:id="112" w:name="_Toc295986070"/>
      <w:bookmarkStart w:id="113" w:name="_Toc295986288"/>
      <w:bookmarkStart w:id="114" w:name="_Toc295986408"/>
      <w:r>
        <w:rPr>
          <w:lang w:val="es-MX"/>
        </w:rPr>
        <w:t>D</w:t>
      </w:r>
      <w:r w:rsidRPr="00E831E4">
        <w:rPr>
          <w:lang w:val="es-MX"/>
        </w:rPr>
        <w:t>eclara</w:t>
      </w:r>
      <w:r>
        <w:rPr>
          <w:lang w:val="es-MX"/>
        </w:rPr>
        <w:t>ción</w:t>
      </w:r>
      <w:r w:rsidRPr="00E831E4">
        <w:rPr>
          <w:lang w:val="es-MX"/>
        </w:rPr>
        <w:t xml:space="preserve"> de la </w:t>
      </w:r>
      <w:r w:rsidRPr="00E831E4">
        <w:t xml:space="preserve">presunta víctima y </w:t>
      </w:r>
      <w:r>
        <w:t xml:space="preserve">prueba </w:t>
      </w:r>
      <w:r w:rsidRPr="00E831E4">
        <w:t>pericial</w:t>
      </w:r>
      <w:bookmarkEnd w:id="105"/>
      <w:bookmarkEnd w:id="106"/>
      <w:bookmarkEnd w:id="107"/>
      <w:bookmarkEnd w:id="108"/>
      <w:bookmarkEnd w:id="109"/>
      <w:bookmarkEnd w:id="110"/>
      <w:bookmarkEnd w:id="111"/>
      <w:bookmarkEnd w:id="112"/>
      <w:bookmarkEnd w:id="113"/>
      <w:bookmarkEnd w:id="114"/>
    </w:p>
    <w:p w:rsidR="00F249DD" w:rsidRPr="00DA5593" w:rsidRDefault="00F249DD" w:rsidP="00120F89">
      <w:pPr>
        <w:jc w:val="both"/>
        <w:rPr>
          <w:rFonts w:ascii="Verdana" w:hAnsi="Verdana"/>
          <w:sz w:val="20"/>
          <w:szCs w:val="20"/>
          <w:lang w:val="es-MX"/>
        </w:rPr>
      </w:pPr>
    </w:p>
    <w:p w:rsidR="00F249DD" w:rsidRPr="00E771D0" w:rsidRDefault="00F249DD" w:rsidP="00BD79C8">
      <w:pPr>
        <w:numPr>
          <w:ilvl w:val="0"/>
          <w:numId w:val="3"/>
        </w:numPr>
        <w:ind w:left="0" w:firstLine="0"/>
        <w:jc w:val="both"/>
        <w:rPr>
          <w:rFonts w:ascii="Verdana" w:hAnsi="Verdana"/>
          <w:sz w:val="20"/>
          <w:lang w:val="es-CR"/>
        </w:rPr>
      </w:pPr>
      <w:r w:rsidRPr="00E771D0">
        <w:rPr>
          <w:rFonts w:ascii="Verdana" w:hAnsi="Verdana"/>
          <w:sz w:val="20"/>
          <w:szCs w:val="20"/>
          <w:lang w:val="es-CR"/>
        </w:rPr>
        <w:t xml:space="preserve">De acuerdo a la Resolución de la Presidencia de </w:t>
      </w:r>
      <w:r w:rsidRPr="00C874FB">
        <w:rPr>
          <w:rFonts w:ascii="Verdana" w:hAnsi="Verdana"/>
          <w:sz w:val="20"/>
          <w:lang w:val="es-CR"/>
        </w:rPr>
        <w:t>2 de diciembre de 2010</w:t>
      </w:r>
      <w:r w:rsidRPr="00D24AC7">
        <w:rPr>
          <w:rStyle w:val="Refdenotaalpie"/>
          <w:rFonts w:ascii="Verdana" w:hAnsi="Verdana"/>
          <w:sz w:val="20"/>
          <w:szCs w:val="20"/>
          <w:lang w:val="es-CR"/>
        </w:rPr>
        <w:footnoteReference w:id="24"/>
      </w:r>
      <w:r w:rsidRPr="009D0497">
        <w:rPr>
          <w:rFonts w:ascii="Verdana" w:hAnsi="Verdana"/>
          <w:sz w:val="20"/>
          <w:szCs w:val="20"/>
          <w:lang w:val="es-CR"/>
        </w:rPr>
        <w:t xml:space="preserve">, la Corte escuchó en audiencia pública las </w:t>
      </w:r>
      <w:r>
        <w:rPr>
          <w:rFonts w:ascii="Verdana" w:hAnsi="Verdana"/>
          <w:sz w:val="20"/>
          <w:szCs w:val="20"/>
          <w:lang w:val="es-CR"/>
        </w:rPr>
        <w:t xml:space="preserve">siguientes </w:t>
      </w:r>
      <w:r w:rsidRPr="009D0497">
        <w:rPr>
          <w:rFonts w:ascii="Verdana" w:hAnsi="Verdana"/>
          <w:sz w:val="20"/>
          <w:szCs w:val="20"/>
          <w:lang w:val="es-CR"/>
        </w:rPr>
        <w:t>declaraci</w:t>
      </w:r>
      <w:r>
        <w:rPr>
          <w:rFonts w:ascii="Verdana" w:hAnsi="Verdana"/>
          <w:sz w:val="20"/>
          <w:szCs w:val="20"/>
          <w:lang w:val="es-CR"/>
        </w:rPr>
        <w:t>ones de la presunta víctima</w:t>
      </w:r>
      <w:r w:rsidRPr="009D0497">
        <w:rPr>
          <w:rFonts w:ascii="Verdana" w:hAnsi="Verdana"/>
          <w:sz w:val="20"/>
          <w:szCs w:val="20"/>
          <w:lang w:val="es-CR"/>
        </w:rPr>
        <w:t xml:space="preserve"> y  </w:t>
      </w:r>
      <w:r>
        <w:rPr>
          <w:rFonts w:ascii="Verdana" w:hAnsi="Verdana"/>
          <w:sz w:val="20"/>
          <w:szCs w:val="20"/>
          <w:lang w:val="es-CR"/>
        </w:rPr>
        <w:t xml:space="preserve">dos </w:t>
      </w:r>
      <w:r w:rsidRPr="009D0497">
        <w:rPr>
          <w:rFonts w:ascii="Verdana" w:hAnsi="Verdana"/>
          <w:sz w:val="20"/>
          <w:szCs w:val="20"/>
          <w:lang w:val="es-CR"/>
        </w:rPr>
        <w:t>peritos:</w:t>
      </w:r>
    </w:p>
    <w:p w:rsidR="00F249DD" w:rsidRPr="00DA5593" w:rsidRDefault="00F249DD" w:rsidP="007562FF">
      <w:pPr>
        <w:pStyle w:val="Textonotaalfinal"/>
        <w:rPr>
          <w:rFonts w:ascii="Verdana" w:hAnsi="Verdana" w:cs="Arial"/>
          <w:sz w:val="20"/>
          <w:lang w:val="es-CR"/>
        </w:rPr>
      </w:pPr>
    </w:p>
    <w:p w:rsidR="00F249DD" w:rsidRPr="00DA5593" w:rsidRDefault="00F249DD" w:rsidP="00BD79C8">
      <w:pPr>
        <w:numPr>
          <w:ilvl w:val="0"/>
          <w:numId w:val="4"/>
        </w:numPr>
        <w:ind w:firstLine="0"/>
        <w:jc w:val="both"/>
        <w:rPr>
          <w:rFonts w:ascii="Verdana" w:hAnsi="Verdana"/>
          <w:sz w:val="20"/>
          <w:szCs w:val="20"/>
          <w:lang w:val="es-CR"/>
        </w:rPr>
      </w:pPr>
      <w:r w:rsidRPr="00DA5593">
        <w:rPr>
          <w:rFonts w:ascii="Verdana" w:hAnsi="Verdana"/>
          <w:bCs/>
          <w:i/>
          <w:sz w:val="20"/>
          <w:szCs w:val="20"/>
          <w:lang w:val="es-CR"/>
        </w:rPr>
        <w:t>José Alfredo Mejía</w:t>
      </w:r>
      <w:r w:rsidRPr="00DA5593">
        <w:rPr>
          <w:rFonts w:ascii="Verdana" w:hAnsi="Verdana"/>
          <w:bCs/>
          <w:sz w:val="20"/>
          <w:szCs w:val="20"/>
          <w:lang w:val="es-CR"/>
        </w:rPr>
        <w:t xml:space="preserve">, </w:t>
      </w:r>
      <w:r w:rsidRPr="00DA5593">
        <w:rPr>
          <w:rFonts w:ascii="Verdana" w:hAnsi="Verdana"/>
          <w:sz w:val="20"/>
          <w:szCs w:val="20"/>
          <w:lang w:val="es-CR"/>
        </w:rPr>
        <w:t xml:space="preserve">presunta víctima propuesta por la Comisión y los representantes, </w:t>
      </w:r>
      <w:r w:rsidRPr="00DA5593">
        <w:rPr>
          <w:rFonts w:ascii="Verdana" w:hAnsi="Verdana"/>
          <w:bCs/>
          <w:sz w:val="20"/>
          <w:szCs w:val="20"/>
          <w:lang w:val="es-CR"/>
        </w:rPr>
        <w:t>qui</w:t>
      </w:r>
      <w:r>
        <w:rPr>
          <w:rFonts w:ascii="Verdana" w:hAnsi="Verdana"/>
          <w:bCs/>
          <w:sz w:val="20"/>
          <w:szCs w:val="20"/>
          <w:lang w:val="es-CR"/>
        </w:rPr>
        <w:t>e</w:t>
      </w:r>
      <w:r w:rsidRPr="00DA5593">
        <w:rPr>
          <w:rFonts w:ascii="Verdana" w:hAnsi="Verdana"/>
          <w:bCs/>
          <w:sz w:val="20"/>
          <w:szCs w:val="20"/>
          <w:lang w:val="es-CR"/>
        </w:rPr>
        <w:t>n declaró sobre:</w:t>
      </w:r>
      <w:r w:rsidRPr="00DA5593">
        <w:rPr>
          <w:rFonts w:ascii="Verdana" w:hAnsi="Verdana"/>
          <w:sz w:val="20"/>
          <w:szCs w:val="20"/>
          <w:lang w:val="es-ES"/>
        </w:rPr>
        <w:t xml:space="preserve"> </w:t>
      </w:r>
      <w:r w:rsidRPr="00DA5593">
        <w:rPr>
          <w:rFonts w:ascii="Verdana" w:hAnsi="Verdana"/>
          <w:sz w:val="20"/>
          <w:szCs w:val="20"/>
          <w:lang w:val="es-CR"/>
        </w:rPr>
        <w:t xml:space="preserve">i) los supuestos obstáculos que ha enfrentado para el cumplimiento de la Sentencia Constitucional de 12 de marzo de 2002; ii) cómo afectó en su profesión y su proyecto de vida la supuesta inconstitucional actuación de los integrantes del </w:t>
      </w:r>
      <w:r>
        <w:rPr>
          <w:rFonts w:ascii="Verdana" w:hAnsi="Verdana"/>
          <w:sz w:val="20"/>
          <w:szCs w:val="20"/>
          <w:lang w:val="es-CR"/>
        </w:rPr>
        <w:t>Consejo de Oficiales Generales</w:t>
      </w:r>
      <w:r w:rsidRPr="00DA5593">
        <w:rPr>
          <w:rFonts w:ascii="Verdana" w:hAnsi="Verdana"/>
          <w:sz w:val="20"/>
          <w:szCs w:val="20"/>
          <w:lang w:val="es-CR"/>
        </w:rPr>
        <w:t xml:space="preserve"> que no le permitieron ascender, conforme era su supuesto derecho por reunir todos los requisitos exigidos por ley; iii)</w:t>
      </w:r>
      <w:r w:rsidRPr="00DA5593">
        <w:rPr>
          <w:rFonts w:ascii="Verdana" w:hAnsi="Verdana"/>
          <w:i/>
          <w:sz w:val="20"/>
          <w:szCs w:val="20"/>
          <w:lang w:val="es-CR"/>
        </w:rPr>
        <w:t xml:space="preserve"> </w:t>
      </w:r>
      <w:r w:rsidRPr="00DA5593">
        <w:rPr>
          <w:rFonts w:ascii="Verdana" w:hAnsi="Verdana"/>
          <w:sz w:val="20"/>
          <w:szCs w:val="20"/>
          <w:lang w:val="es-CR"/>
        </w:rPr>
        <w:t>cómo le afectó la emisión por parte del Presidente de la República de los decretos de disponibilidad y baja, y iv)</w:t>
      </w:r>
      <w:r w:rsidRPr="00DA5593">
        <w:rPr>
          <w:rFonts w:ascii="Verdana" w:hAnsi="Verdana"/>
          <w:i/>
          <w:sz w:val="20"/>
          <w:szCs w:val="20"/>
          <w:lang w:val="es-CR"/>
        </w:rPr>
        <w:t xml:space="preserve"> </w:t>
      </w:r>
      <w:r w:rsidRPr="00DA5593">
        <w:rPr>
          <w:rFonts w:ascii="Verdana" w:hAnsi="Verdana"/>
          <w:sz w:val="20"/>
          <w:szCs w:val="20"/>
          <w:lang w:val="es-CR"/>
        </w:rPr>
        <w:t>cómo afectó su vida el hecho de que durante ocho años los demandados se hayan supuestamente negado a cumplir la sentencia emitida el 12 de marzo de 2002 y la acción de incumplimiento dictada por la Corte Constitucional el 8 de octubre de 2009.</w:t>
      </w:r>
    </w:p>
    <w:p w:rsidR="00F249DD" w:rsidRPr="00DA5593" w:rsidRDefault="00F249DD" w:rsidP="007562FF">
      <w:pPr>
        <w:ind w:left="360"/>
        <w:jc w:val="both"/>
        <w:rPr>
          <w:rFonts w:ascii="Verdana" w:hAnsi="Verdana"/>
          <w:sz w:val="20"/>
          <w:szCs w:val="20"/>
          <w:lang w:val="es-CR"/>
        </w:rPr>
      </w:pPr>
    </w:p>
    <w:p w:rsidR="00F249DD" w:rsidRPr="00DA5593" w:rsidRDefault="00F249DD" w:rsidP="00BD79C8">
      <w:pPr>
        <w:numPr>
          <w:ilvl w:val="0"/>
          <w:numId w:val="4"/>
        </w:numPr>
        <w:ind w:firstLine="0"/>
        <w:jc w:val="both"/>
        <w:rPr>
          <w:rFonts w:ascii="Verdana" w:hAnsi="Verdana"/>
          <w:sz w:val="20"/>
          <w:szCs w:val="20"/>
          <w:lang w:val="es-CR"/>
        </w:rPr>
      </w:pPr>
      <w:r w:rsidRPr="00DA5593">
        <w:rPr>
          <w:rFonts w:ascii="Verdana" w:hAnsi="Verdana"/>
          <w:bCs/>
          <w:i/>
          <w:sz w:val="20"/>
          <w:szCs w:val="20"/>
          <w:lang w:val="es-CR"/>
        </w:rPr>
        <w:t>Jaime Vinti</w:t>
      </w:r>
      <w:r>
        <w:rPr>
          <w:rFonts w:ascii="Verdana" w:hAnsi="Verdana"/>
          <w:bCs/>
          <w:i/>
          <w:sz w:val="20"/>
          <w:szCs w:val="20"/>
          <w:lang w:val="es-CR"/>
        </w:rPr>
        <w:t>m</w:t>
      </w:r>
      <w:r w:rsidRPr="00DA5593">
        <w:rPr>
          <w:rFonts w:ascii="Verdana" w:hAnsi="Verdana"/>
          <w:bCs/>
          <w:i/>
          <w:sz w:val="20"/>
          <w:szCs w:val="20"/>
          <w:lang w:val="es-CR"/>
        </w:rPr>
        <w:t>illa,</w:t>
      </w:r>
      <w:r w:rsidRPr="00DA5593">
        <w:rPr>
          <w:rFonts w:ascii="Verdana" w:hAnsi="Verdana"/>
          <w:bCs/>
          <w:sz w:val="20"/>
          <w:szCs w:val="20"/>
          <w:lang w:val="es-CR"/>
        </w:rPr>
        <w:t xml:space="preserve"> </w:t>
      </w:r>
      <w:r w:rsidRPr="00DA5593">
        <w:rPr>
          <w:rFonts w:ascii="Verdana" w:hAnsi="Verdana"/>
          <w:sz w:val="20"/>
          <w:szCs w:val="20"/>
          <w:lang w:val="es-CR"/>
        </w:rPr>
        <w:t xml:space="preserve">propuesto por la Comisión, </w:t>
      </w:r>
      <w:r w:rsidRPr="00DA5593">
        <w:rPr>
          <w:rFonts w:ascii="Verdana" w:hAnsi="Verdana"/>
          <w:bCs/>
          <w:sz w:val="20"/>
          <w:szCs w:val="20"/>
          <w:lang w:val="es-CR"/>
        </w:rPr>
        <w:t>qui</w:t>
      </w:r>
      <w:r>
        <w:rPr>
          <w:rFonts w:ascii="Verdana" w:hAnsi="Verdana"/>
          <w:bCs/>
          <w:sz w:val="20"/>
          <w:szCs w:val="20"/>
          <w:lang w:val="es-CR"/>
        </w:rPr>
        <w:t>e</w:t>
      </w:r>
      <w:r w:rsidRPr="00DA5593">
        <w:rPr>
          <w:rFonts w:ascii="Verdana" w:hAnsi="Verdana"/>
          <w:bCs/>
          <w:sz w:val="20"/>
          <w:szCs w:val="20"/>
          <w:lang w:val="es-CR"/>
        </w:rPr>
        <w:t xml:space="preserve">n rindió peritaje sobre </w:t>
      </w:r>
      <w:r w:rsidRPr="00DA5593">
        <w:rPr>
          <w:rFonts w:ascii="Verdana" w:hAnsi="Verdana"/>
          <w:sz w:val="20"/>
          <w:szCs w:val="20"/>
          <w:lang w:val="es-CR"/>
        </w:rPr>
        <w:t xml:space="preserve">la falta de ejecutoriedad de las </w:t>
      </w:r>
      <w:r>
        <w:rPr>
          <w:rFonts w:ascii="Verdana" w:hAnsi="Verdana"/>
          <w:sz w:val="20"/>
          <w:szCs w:val="20"/>
          <w:lang w:val="es-CR"/>
        </w:rPr>
        <w:t>s</w:t>
      </w:r>
      <w:r w:rsidRPr="00DA5593">
        <w:rPr>
          <w:rFonts w:ascii="Verdana" w:hAnsi="Verdana"/>
          <w:sz w:val="20"/>
          <w:szCs w:val="20"/>
          <w:lang w:val="es-CR"/>
        </w:rPr>
        <w:t>entencias del Tribunal Constitucional.</w:t>
      </w:r>
    </w:p>
    <w:p w:rsidR="00F249DD" w:rsidRPr="00DA5593" w:rsidRDefault="00F249DD" w:rsidP="00120F89">
      <w:pPr>
        <w:jc w:val="both"/>
        <w:rPr>
          <w:rFonts w:ascii="Verdana" w:hAnsi="Verdana"/>
          <w:sz w:val="20"/>
          <w:szCs w:val="20"/>
          <w:lang w:val="es-CR"/>
        </w:rPr>
      </w:pPr>
    </w:p>
    <w:p w:rsidR="00F249DD" w:rsidRPr="00DA5593" w:rsidRDefault="00F249DD" w:rsidP="00BD79C8">
      <w:pPr>
        <w:numPr>
          <w:ilvl w:val="0"/>
          <w:numId w:val="4"/>
        </w:numPr>
        <w:tabs>
          <w:tab w:val="left" w:pos="720"/>
        </w:tabs>
        <w:ind w:firstLine="0"/>
        <w:jc w:val="both"/>
        <w:rPr>
          <w:rFonts w:ascii="Verdana" w:hAnsi="Verdana"/>
          <w:sz w:val="20"/>
          <w:szCs w:val="20"/>
          <w:lang w:val="es-CR"/>
        </w:rPr>
      </w:pPr>
      <w:r w:rsidRPr="00DA5593">
        <w:rPr>
          <w:rFonts w:ascii="Verdana" w:hAnsi="Verdana"/>
          <w:i/>
          <w:sz w:val="20"/>
          <w:szCs w:val="20"/>
          <w:lang w:val="es-CR"/>
        </w:rPr>
        <w:t>Alex Valle Franco</w:t>
      </w:r>
      <w:r w:rsidRPr="00DA5593">
        <w:rPr>
          <w:rFonts w:ascii="Verdana" w:hAnsi="Verdana"/>
          <w:sz w:val="20"/>
          <w:szCs w:val="20"/>
          <w:lang w:val="es-CR"/>
        </w:rPr>
        <w:t>, propuesto por el Estado, qui</w:t>
      </w:r>
      <w:r>
        <w:rPr>
          <w:rFonts w:ascii="Verdana" w:hAnsi="Verdana"/>
          <w:sz w:val="20"/>
          <w:szCs w:val="20"/>
          <w:lang w:val="es-CR"/>
        </w:rPr>
        <w:t>e</w:t>
      </w:r>
      <w:r w:rsidRPr="00DA5593">
        <w:rPr>
          <w:rFonts w:ascii="Verdana" w:hAnsi="Verdana"/>
          <w:sz w:val="20"/>
          <w:szCs w:val="20"/>
          <w:lang w:val="es-CR"/>
        </w:rPr>
        <w:t>n rindió peritaje sobre: i) la naturaleza de la acción de inconstitucionalidad de Decretos Ejecutivos en la Constitución de 1998; ii) el efecto jurídico de la declaratoria de inconstitucionalidad de un Decreto Ejecutivo en la Constitución de 1998 en el entonces Tribunal Constitucional del Ecuador; iii) los efectos jurídicos de una declaratoria de inconstitucionalidad, ilegalidad e ilegitimidad con respecto a la reparación de daños. Diferencias básicas, análisis complementario y de contexto en la Constitución de 1998, y iv) la naturaleza jurídica de la Acción de Incumplimiento en la actual Constitución.</w:t>
      </w:r>
    </w:p>
    <w:p w:rsidR="00F249DD" w:rsidRPr="00DA5593" w:rsidRDefault="00F249DD" w:rsidP="00C80201">
      <w:pPr>
        <w:jc w:val="both"/>
        <w:rPr>
          <w:rFonts w:ascii="Verdana" w:hAnsi="Verdana"/>
          <w:i/>
          <w:smallCaps/>
          <w:sz w:val="20"/>
          <w:szCs w:val="20"/>
          <w:lang w:val="es-MX"/>
        </w:rPr>
      </w:pPr>
    </w:p>
    <w:p w:rsidR="00F249DD" w:rsidRPr="003D0DFD" w:rsidRDefault="00F249DD" w:rsidP="003D0DFD">
      <w:pPr>
        <w:pStyle w:val="Ttulo2"/>
        <w:numPr>
          <w:ilvl w:val="0"/>
          <w:numId w:val="45"/>
        </w:numPr>
        <w:rPr>
          <w:lang w:val="es-MX"/>
        </w:rPr>
      </w:pPr>
      <w:bookmarkStart w:id="115" w:name="_Toc294634479"/>
      <w:bookmarkStart w:id="116" w:name="_Toc294635307"/>
      <w:bookmarkStart w:id="117" w:name="_Toc294862699"/>
      <w:bookmarkStart w:id="118" w:name="_Toc294862762"/>
      <w:bookmarkStart w:id="119" w:name="_Toc295380313"/>
      <w:bookmarkStart w:id="120" w:name="_Toc295394465"/>
      <w:bookmarkStart w:id="121" w:name="_Toc295394619"/>
      <w:bookmarkStart w:id="122" w:name="_Toc295986071"/>
      <w:bookmarkStart w:id="123" w:name="_Toc295986289"/>
      <w:bookmarkStart w:id="124" w:name="_Toc295986409"/>
      <w:r w:rsidRPr="00E831E4">
        <w:rPr>
          <w:lang w:val="es-MX"/>
        </w:rPr>
        <w:t>Admisión de la prueba</w:t>
      </w:r>
      <w:bookmarkEnd w:id="115"/>
      <w:bookmarkEnd w:id="116"/>
      <w:r w:rsidRPr="00E831E4">
        <w:rPr>
          <w:lang w:val="es-MX"/>
        </w:rPr>
        <w:t xml:space="preserve"> documental</w:t>
      </w:r>
      <w:bookmarkEnd w:id="117"/>
      <w:bookmarkEnd w:id="118"/>
      <w:bookmarkEnd w:id="119"/>
      <w:bookmarkEnd w:id="120"/>
      <w:bookmarkEnd w:id="121"/>
      <w:bookmarkEnd w:id="122"/>
      <w:bookmarkEnd w:id="123"/>
      <w:bookmarkEnd w:id="124"/>
    </w:p>
    <w:p w:rsidR="00F249DD" w:rsidRPr="00DA5593" w:rsidRDefault="00F249DD" w:rsidP="00120F89">
      <w:pPr>
        <w:jc w:val="both"/>
        <w:rPr>
          <w:rFonts w:ascii="Verdana" w:hAnsi="Verdana"/>
          <w:sz w:val="20"/>
          <w:szCs w:val="20"/>
          <w:lang w:val="es-MX"/>
        </w:rPr>
      </w:pPr>
    </w:p>
    <w:p w:rsidR="00F249DD" w:rsidRPr="008B3A3D" w:rsidRDefault="00F249DD" w:rsidP="00F846EC">
      <w:pPr>
        <w:numPr>
          <w:ilvl w:val="0"/>
          <w:numId w:val="3"/>
        </w:numPr>
        <w:ind w:left="0" w:firstLine="0"/>
        <w:jc w:val="both"/>
        <w:rPr>
          <w:rFonts w:ascii="Verdana" w:hAnsi="Verdana"/>
          <w:sz w:val="20"/>
          <w:szCs w:val="20"/>
          <w:lang w:val="es-MX"/>
        </w:rPr>
      </w:pPr>
      <w:r w:rsidRPr="00D24AC7">
        <w:rPr>
          <w:rFonts w:ascii="Verdana" w:hAnsi="Verdana"/>
          <w:sz w:val="20"/>
          <w:szCs w:val="20"/>
          <w:lang w:val="es-CR"/>
        </w:rPr>
        <w:t>En este caso, como en otros</w:t>
      </w:r>
      <w:r w:rsidRPr="00D24AC7">
        <w:rPr>
          <w:rStyle w:val="Refdenotaalpie"/>
          <w:rFonts w:ascii="Verdana" w:hAnsi="Verdana"/>
          <w:sz w:val="20"/>
          <w:szCs w:val="20"/>
        </w:rPr>
        <w:footnoteReference w:id="25"/>
      </w:r>
      <w:r w:rsidRPr="00D24AC7">
        <w:rPr>
          <w:rFonts w:ascii="Verdana" w:hAnsi="Verdana"/>
          <w:sz w:val="20"/>
          <w:szCs w:val="20"/>
          <w:lang w:val="es-CR"/>
        </w:rPr>
        <w:t>, el Tribunal admite el valor probatorio de aquellos documentos presentados oportunamente por las partes que no fueron controvertidos ni objetados, y cuya autenticidad no fue puesta en duda</w:t>
      </w:r>
      <w:r w:rsidRPr="008B3A3D">
        <w:rPr>
          <w:rFonts w:ascii="Verdana" w:hAnsi="Verdana"/>
          <w:sz w:val="20"/>
          <w:lang w:val="es-CR"/>
        </w:rPr>
        <w:t>.</w:t>
      </w:r>
      <w:r w:rsidRPr="008B3A3D">
        <w:rPr>
          <w:rFonts w:ascii="Verdana" w:hAnsi="Verdana" w:cs="Verdana"/>
          <w:sz w:val="20"/>
          <w:lang w:val="es-CR"/>
        </w:rPr>
        <w:t xml:space="preserve"> </w:t>
      </w:r>
    </w:p>
    <w:p w:rsidR="00F249DD" w:rsidRPr="008B3A3D" w:rsidRDefault="00F249DD" w:rsidP="00120F89">
      <w:pPr>
        <w:jc w:val="both"/>
        <w:rPr>
          <w:rFonts w:ascii="Verdana" w:hAnsi="Verdana"/>
          <w:sz w:val="20"/>
          <w:szCs w:val="20"/>
          <w:lang w:val="es-MX"/>
        </w:rPr>
      </w:pPr>
    </w:p>
    <w:p w:rsidR="00F249DD" w:rsidRPr="00EF0CC3" w:rsidRDefault="00F249DD" w:rsidP="00BD79C8">
      <w:pPr>
        <w:numPr>
          <w:ilvl w:val="0"/>
          <w:numId w:val="3"/>
        </w:numPr>
        <w:ind w:left="0" w:firstLine="0"/>
        <w:jc w:val="both"/>
        <w:rPr>
          <w:rFonts w:ascii="Verdana" w:hAnsi="Verdana" w:cs="BookAntiqua"/>
          <w:sz w:val="20"/>
          <w:szCs w:val="20"/>
          <w:lang w:val="es-CR"/>
        </w:rPr>
      </w:pPr>
      <w:r w:rsidRPr="00EF0CC3">
        <w:rPr>
          <w:rFonts w:ascii="Verdana" w:hAnsi="Verdana"/>
          <w:sz w:val="20"/>
          <w:szCs w:val="20"/>
          <w:lang w:val="es-EC"/>
        </w:rPr>
        <w:t>Mediante el escrito de alegatos a las excepciones preliminares de 19 de agosto de 2010  de los representantes y en el escrito de 11 de diciembre de 2009 del Estado adjuntaron diversos anexos.  Además, durante la audiencia pública el Estado presentó dos oficios, y los representantes y el Estado remitieron varios anexos junto con los alegatos finales escritos</w:t>
      </w:r>
      <w:r w:rsidRPr="00EF0CC3">
        <w:rPr>
          <w:rFonts w:ascii="Verdana" w:hAnsi="Verdana" w:cs="BookAntiqua"/>
          <w:sz w:val="20"/>
          <w:szCs w:val="20"/>
          <w:lang w:val="es-CR"/>
        </w:rPr>
        <w:t xml:space="preserve"> </w:t>
      </w:r>
      <w:r w:rsidRPr="00EF0CC3">
        <w:rPr>
          <w:rFonts w:ascii="Verdana" w:hAnsi="Verdana" w:cs="BookAntiqua"/>
          <w:sz w:val="20"/>
          <w:szCs w:val="20"/>
          <w:lang w:val="es-CR"/>
        </w:rPr>
        <w:lastRenderedPageBreak/>
        <w:t>presentados el 28 de marzo de 2011</w:t>
      </w:r>
      <w:r w:rsidRPr="00EF0CC3">
        <w:rPr>
          <w:rFonts w:ascii="Verdana" w:hAnsi="Verdana"/>
          <w:sz w:val="20"/>
          <w:szCs w:val="20"/>
          <w:lang w:val="es-EC"/>
        </w:rPr>
        <w:t>.</w:t>
      </w:r>
      <w:r w:rsidRPr="00EF0CC3">
        <w:rPr>
          <w:rFonts w:ascii="Verdana" w:hAnsi="Verdana" w:cs="BookAntiqua"/>
          <w:sz w:val="20"/>
          <w:szCs w:val="20"/>
          <w:lang w:val="es-CR"/>
        </w:rPr>
        <w:t xml:space="preserve"> Al respecto, este Tribunal hace notar que varios de los </w:t>
      </w:r>
      <w:r w:rsidRPr="00EF0CC3">
        <w:rPr>
          <w:rFonts w:ascii="Verdana" w:hAnsi="Verdana"/>
          <w:sz w:val="20"/>
          <w:szCs w:val="20"/>
          <w:lang w:val="es-CR"/>
        </w:rPr>
        <w:t>documentos ya habían sido oportunamente aportados</w:t>
      </w:r>
      <w:r w:rsidRPr="00EF0CC3">
        <w:rPr>
          <w:rStyle w:val="Refdenotaalpie"/>
          <w:rFonts w:ascii="Verdana" w:hAnsi="Verdana"/>
          <w:sz w:val="20"/>
          <w:szCs w:val="20"/>
        </w:rPr>
        <w:footnoteReference w:id="26"/>
      </w:r>
      <w:r w:rsidRPr="00EF0CC3">
        <w:rPr>
          <w:rFonts w:ascii="Verdana" w:hAnsi="Verdana"/>
          <w:sz w:val="20"/>
          <w:szCs w:val="20"/>
          <w:lang w:val="es-CR"/>
        </w:rPr>
        <w:t xml:space="preserve"> por las partes y se encuentran admitidos en el acervo probatorio del presente caso. Sin embargo, el resto de la documentación</w:t>
      </w:r>
      <w:r w:rsidRPr="00EF0CC3">
        <w:rPr>
          <w:rStyle w:val="Refdenotaalpie"/>
          <w:rFonts w:ascii="Verdana" w:hAnsi="Verdana"/>
          <w:sz w:val="20"/>
          <w:szCs w:val="20"/>
        </w:rPr>
        <w:footnoteReference w:id="27"/>
      </w:r>
      <w:r w:rsidRPr="00EF0CC3">
        <w:rPr>
          <w:rFonts w:ascii="Verdana" w:hAnsi="Verdana"/>
          <w:sz w:val="20"/>
          <w:szCs w:val="20"/>
          <w:lang w:val="es-CR"/>
        </w:rPr>
        <w:t xml:space="preserve"> no había sido presentada anteriormente pese a lo cual, </w:t>
      </w:r>
      <w:r w:rsidRPr="00EF0CC3">
        <w:rPr>
          <w:rFonts w:ascii="Verdana" w:hAnsi="Verdana" w:cs="BookAntiqua"/>
          <w:sz w:val="20"/>
          <w:szCs w:val="20"/>
          <w:lang w:val="es-CR"/>
        </w:rPr>
        <w:t xml:space="preserve">de conformidad con el artículo 45 del Reglamento, </w:t>
      </w:r>
      <w:r w:rsidRPr="00EF0CC3">
        <w:rPr>
          <w:rFonts w:ascii="Verdana" w:hAnsi="Verdana"/>
          <w:sz w:val="20"/>
          <w:szCs w:val="20"/>
          <w:lang w:val="es-CR"/>
        </w:rPr>
        <w:t xml:space="preserve">esta Corte decide admitirla </w:t>
      </w:r>
      <w:r w:rsidRPr="00EF0CC3">
        <w:rPr>
          <w:rFonts w:ascii="Verdana" w:hAnsi="Verdana" w:cs="BookAntiqua"/>
          <w:sz w:val="20"/>
          <w:szCs w:val="20"/>
          <w:lang w:val="es-CR"/>
        </w:rPr>
        <w:t>por considerarla útil para la resolución del presente caso,</w:t>
      </w:r>
      <w:r w:rsidRPr="00EF0CC3">
        <w:rPr>
          <w:rFonts w:ascii="Verdana" w:hAnsi="Verdana" w:cs="BookAntiqua"/>
          <w:b/>
          <w:sz w:val="20"/>
          <w:szCs w:val="20"/>
          <w:lang w:val="es-CR"/>
        </w:rPr>
        <w:t xml:space="preserve"> </w:t>
      </w:r>
      <w:r w:rsidRPr="00EF0CC3">
        <w:rPr>
          <w:rFonts w:ascii="Verdana" w:hAnsi="Verdana" w:cs="BookAntiqua"/>
          <w:sz w:val="20"/>
          <w:szCs w:val="20"/>
          <w:lang w:val="es-CR"/>
        </w:rPr>
        <w:t>excepto aquellos documentos presentados por los representantes respecto a las supuestas erogaciones realizadas en la jurisdicción interna y las relativas a los trámites o comparecencia ante la Comisión Interamericana, por no haber sido presentado</w:t>
      </w:r>
      <w:r>
        <w:rPr>
          <w:rFonts w:ascii="Verdana" w:hAnsi="Verdana" w:cs="BookAntiqua"/>
          <w:sz w:val="20"/>
          <w:szCs w:val="20"/>
          <w:lang w:val="es-CR"/>
        </w:rPr>
        <w:t>s</w:t>
      </w:r>
      <w:r w:rsidRPr="00EF0CC3">
        <w:rPr>
          <w:rFonts w:ascii="Verdana" w:hAnsi="Verdana" w:cs="BookAntiqua"/>
          <w:sz w:val="20"/>
          <w:szCs w:val="20"/>
          <w:lang w:val="es-CR"/>
        </w:rPr>
        <w:t xml:space="preserve"> en el momento oportuno (</w:t>
      </w:r>
      <w:r w:rsidRPr="00EF0CC3">
        <w:rPr>
          <w:rFonts w:ascii="Verdana" w:hAnsi="Verdana" w:cs="BookAntiqua"/>
          <w:i/>
          <w:sz w:val="20"/>
          <w:szCs w:val="20"/>
          <w:lang w:val="es-CR"/>
        </w:rPr>
        <w:t>infra</w:t>
      </w:r>
      <w:r w:rsidRPr="00EF0CC3">
        <w:rPr>
          <w:rFonts w:ascii="Verdana" w:hAnsi="Verdana" w:cs="BookAntiqua"/>
          <w:sz w:val="20"/>
          <w:szCs w:val="20"/>
          <w:lang w:val="es-CR"/>
        </w:rPr>
        <w:t xml:space="preserve"> párrs. 159 y 162).</w:t>
      </w:r>
      <w:r w:rsidRPr="00EF0CC3">
        <w:rPr>
          <w:rFonts w:ascii="Verdana" w:hAnsi="Verdana" w:cs="BookAntiqua"/>
          <w:b/>
          <w:sz w:val="20"/>
          <w:szCs w:val="20"/>
          <w:lang w:val="es-CR"/>
        </w:rPr>
        <w:t xml:space="preserve"> </w:t>
      </w:r>
      <w:r w:rsidRPr="00EF0CC3">
        <w:rPr>
          <w:rFonts w:ascii="Verdana" w:hAnsi="Verdana" w:cs="BookAntiqua"/>
          <w:sz w:val="20"/>
          <w:szCs w:val="20"/>
          <w:lang w:val="es-CR"/>
        </w:rPr>
        <w:t>Asimismo, en</w:t>
      </w:r>
      <w:r w:rsidRPr="00EF0CC3">
        <w:rPr>
          <w:rFonts w:ascii="Verdana" w:hAnsi="Verdana" w:cs="BookAntiqua"/>
          <w:b/>
          <w:sz w:val="20"/>
          <w:szCs w:val="20"/>
          <w:lang w:val="es-CR"/>
        </w:rPr>
        <w:t xml:space="preserve"> </w:t>
      </w:r>
      <w:r w:rsidRPr="00EF0CC3">
        <w:rPr>
          <w:rFonts w:ascii="Verdana" w:hAnsi="Verdana" w:cs="BookAntiqua"/>
          <w:sz w:val="20"/>
          <w:szCs w:val="20"/>
          <w:lang w:val="es-CR"/>
        </w:rPr>
        <w:t>cuanto a los documentos relativos al nuevo trámite de calificación del señor Mejía Idrovo presentados tanto por los representantes como por el Estado</w:t>
      </w:r>
      <w:r w:rsidRPr="00EF0CC3">
        <w:rPr>
          <w:rStyle w:val="Refdenotaalpie"/>
          <w:rFonts w:ascii="Verdana" w:hAnsi="Verdana" w:cs="BookAntiqua"/>
          <w:sz w:val="20"/>
          <w:szCs w:val="20"/>
          <w:lang w:val="es-CR"/>
        </w:rPr>
        <w:footnoteReference w:id="28"/>
      </w:r>
      <w:r w:rsidRPr="00EF0CC3">
        <w:rPr>
          <w:rFonts w:ascii="Verdana" w:hAnsi="Verdana" w:cs="BookAntiqua"/>
          <w:sz w:val="20"/>
          <w:szCs w:val="20"/>
          <w:lang w:val="es-CR"/>
        </w:rPr>
        <w:t>, de conformidad con el artículo 46.3 del Reglamento, se refiere a nuevos hechos supervinientes por los que los incorpora al acervo probatorio del caso.</w:t>
      </w:r>
    </w:p>
    <w:p w:rsidR="00F249DD" w:rsidRPr="00E23CB0" w:rsidRDefault="00F249DD" w:rsidP="00120F89">
      <w:pPr>
        <w:jc w:val="both"/>
        <w:rPr>
          <w:rFonts w:ascii="Verdana" w:hAnsi="Verdana" w:cs="BookAntiqua"/>
          <w:sz w:val="20"/>
          <w:szCs w:val="20"/>
          <w:lang w:val="es-CR"/>
        </w:rPr>
      </w:pPr>
    </w:p>
    <w:p w:rsidR="00F249DD" w:rsidRPr="00F8000F" w:rsidRDefault="00F249DD" w:rsidP="00120F89">
      <w:pPr>
        <w:numPr>
          <w:ilvl w:val="0"/>
          <w:numId w:val="3"/>
        </w:numPr>
        <w:ind w:left="0" w:firstLine="0"/>
        <w:jc w:val="both"/>
        <w:rPr>
          <w:rFonts w:ascii="Verdana" w:hAnsi="Verdana"/>
          <w:sz w:val="20"/>
          <w:szCs w:val="20"/>
          <w:lang w:val="es-CR"/>
        </w:rPr>
      </w:pPr>
      <w:r w:rsidRPr="00F8000F">
        <w:rPr>
          <w:rFonts w:ascii="Verdana" w:hAnsi="Verdana"/>
          <w:sz w:val="20"/>
          <w:szCs w:val="20"/>
          <w:lang w:val="es-EC"/>
        </w:rPr>
        <w:t>Por otra parte, la Comisión Interamericana</w:t>
      </w:r>
      <w:r w:rsidRPr="00F8000F">
        <w:rPr>
          <w:rFonts w:ascii="Verdana" w:hAnsi="Verdana"/>
          <w:sz w:val="20"/>
          <w:szCs w:val="20"/>
          <w:lang w:val="es-CR"/>
        </w:rPr>
        <w:t xml:space="preserve"> presentó el documento titulado “La Justicia Constitucional Ecuatoriana en la Constitución de 2008” del perito Jaime Vintimilla, el cual fue solicitado durante la audiencia pública por la Corte. El Tribunal lo admite por </w:t>
      </w:r>
      <w:r w:rsidRPr="00F8000F">
        <w:rPr>
          <w:rFonts w:ascii="Verdana" w:hAnsi="Verdana" w:cs="BookAntiqua"/>
          <w:sz w:val="20"/>
          <w:szCs w:val="20"/>
          <w:lang w:val="es-CR"/>
        </w:rPr>
        <w:t>considerarlo útil,</w:t>
      </w:r>
      <w:r w:rsidRPr="00F8000F">
        <w:rPr>
          <w:rFonts w:ascii="Verdana" w:hAnsi="Verdana"/>
          <w:sz w:val="20"/>
          <w:szCs w:val="20"/>
          <w:lang w:val="es-CR"/>
        </w:rPr>
        <w:t xml:space="preserve"> </w:t>
      </w:r>
      <w:r w:rsidRPr="00F8000F">
        <w:rPr>
          <w:rFonts w:ascii="Verdana" w:hAnsi="Verdana" w:cs="BookAntiqua"/>
          <w:sz w:val="20"/>
          <w:szCs w:val="20"/>
          <w:lang w:val="es-CR"/>
        </w:rPr>
        <w:t>de conformidad con el artículo 47.2 del Reglamento.</w:t>
      </w:r>
    </w:p>
    <w:p w:rsidR="00F249DD" w:rsidRPr="00E23CB0" w:rsidRDefault="00F249DD" w:rsidP="00120F89">
      <w:pPr>
        <w:jc w:val="both"/>
        <w:rPr>
          <w:rFonts w:ascii="Verdana" w:hAnsi="Verdana"/>
          <w:sz w:val="20"/>
          <w:szCs w:val="20"/>
          <w:lang w:val="es-CR"/>
        </w:rPr>
      </w:pPr>
    </w:p>
    <w:p w:rsidR="00F249DD" w:rsidRPr="00F846EC" w:rsidRDefault="00F249DD" w:rsidP="005B52C5">
      <w:pPr>
        <w:numPr>
          <w:ilvl w:val="0"/>
          <w:numId w:val="3"/>
        </w:numPr>
        <w:ind w:left="0" w:firstLine="0"/>
        <w:jc w:val="both"/>
        <w:rPr>
          <w:rFonts w:ascii="Verdana" w:hAnsi="Verdana"/>
          <w:sz w:val="20"/>
          <w:lang w:val="es-ES"/>
        </w:rPr>
      </w:pPr>
      <w:r w:rsidRPr="00E23CB0">
        <w:rPr>
          <w:rFonts w:ascii="Verdana" w:hAnsi="Verdana" w:cs="BookAntiqua"/>
          <w:sz w:val="20"/>
          <w:szCs w:val="20"/>
          <w:lang w:val="es-CR"/>
        </w:rPr>
        <w:t xml:space="preserve">Por último, el Estado presentó un escrito el </w:t>
      </w:r>
      <w:r w:rsidRPr="00E23CB0">
        <w:rPr>
          <w:rFonts w:ascii="Verdana" w:hAnsi="Verdana"/>
          <w:sz w:val="20"/>
          <w:szCs w:val="20"/>
          <w:lang w:val="es-CR"/>
        </w:rPr>
        <w:t xml:space="preserve">16 de mayo de 2011 en el cual manifestó que los representantes transgredieron la disposición de </w:t>
      </w:r>
      <w:r w:rsidRPr="00A402E2">
        <w:rPr>
          <w:rFonts w:ascii="Verdana" w:hAnsi="Verdana"/>
          <w:sz w:val="20"/>
          <w:szCs w:val="20"/>
          <w:lang w:val="es-CR"/>
        </w:rPr>
        <w:t>la Corte de pronunciarse sobre los anexos a los alegatos escritos, ya que se refirieron, más bien, a los alegatos escritos presentados por el Estado.</w:t>
      </w:r>
      <w:r w:rsidRPr="00074D80">
        <w:rPr>
          <w:rFonts w:ascii="Verdana" w:hAnsi="Verdana"/>
          <w:sz w:val="20"/>
          <w:szCs w:val="20"/>
          <w:lang w:val="es-CR"/>
        </w:rPr>
        <w:t xml:space="preserve"> Por </w:t>
      </w:r>
      <w:r>
        <w:rPr>
          <w:rFonts w:ascii="Verdana" w:hAnsi="Verdana"/>
          <w:sz w:val="20"/>
          <w:szCs w:val="20"/>
          <w:lang w:val="es-CR"/>
        </w:rPr>
        <w:t>ello</w:t>
      </w:r>
      <w:r w:rsidRPr="00074D80">
        <w:rPr>
          <w:rFonts w:ascii="Verdana" w:hAnsi="Verdana"/>
          <w:sz w:val="20"/>
          <w:szCs w:val="20"/>
          <w:lang w:val="es-CR"/>
        </w:rPr>
        <w:t>,</w:t>
      </w:r>
      <w:r>
        <w:rPr>
          <w:rFonts w:ascii="Verdana" w:hAnsi="Verdana"/>
          <w:sz w:val="20"/>
          <w:szCs w:val="20"/>
          <w:lang w:val="es-CR"/>
        </w:rPr>
        <w:t xml:space="preserve"> el Estado</w:t>
      </w:r>
      <w:r w:rsidRPr="00074D80">
        <w:rPr>
          <w:rFonts w:ascii="Verdana" w:hAnsi="Verdana"/>
          <w:sz w:val="20"/>
          <w:szCs w:val="20"/>
          <w:lang w:val="es-CR"/>
        </w:rPr>
        <w:t xml:space="preserve"> solicitó que se considere esta anomalía y se deje sin efecto la intervención de los representantes de la presunta víctima por cuanto viola el principio de lealtad procesal</w:t>
      </w:r>
      <w:r>
        <w:rPr>
          <w:rFonts w:ascii="Verdana" w:hAnsi="Verdana"/>
          <w:sz w:val="20"/>
          <w:szCs w:val="20"/>
          <w:lang w:val="es-CR"/>
        </w:rPr>
        <w:t xml:space="preserve"> (</w:t>
      </w:r>
      <w:r w:rsidRPr="00C820BB">
        <w:rPr>
          <w:rFonts w:ascii="Verdana" w:hAnsi="Verdana"/>
          <w:i/>
          <w:sz w:val="20"/>
          <w:szCs w:val="20"/>
          <w:lang w:val="es-CR"/>
        </w:rPr>
        <w:t>supra</w:t>
      </w:r>
      <w:r>
        <w:rPr>
          <w:rFonts w:ascii="Verdana" w:hAnsi="Verdana"/>
          <w:sz w:val="20"/>
          <w:szCs w:val="20"/>
          <w:lang w:val="es-CR"/>
        </w:rPr>
        <w:t xml:space="preserve"> párr. 13)</w:t>
      </w:r>
      <w:r w:rsidRPr="00074D80">
        <w:rPr>
          <w:rFonts w:ascii="Verdana" w:hAnsi="Verdana"/>
          <w:sz w:val="20"/>
          <w:szCs w:val="20"/>
          <w:lang w:val="es-CR"/>
        </w:rPr>
        <w:t>.</w:t>
      </w:r>
      <w:r>
        <w:rPr>
          <w:rFonts w:ascii="Verdana" w:hAnsi="Verdana"/>
          <w:sz w:val="20"/>
          <w:lang w:val="es-ES"/>
        </w:rPr>
        <w:t xml:space="preserve"> </w:t>
      </w:r>
      <w:r>
        <w:rPr>
          <w:rFonts w:ascii="Verdana" w:hAnsi="Verdana"/>
          <w:sz w:val="20"/>
          <w:szCs w:val="20"/>
          <w:lang w:val="es-CR"/>
        </w:rPr>
        <w:t xml:space="preserve">Esta Corte, mediante comunicación de su Secretaría de 26 de abril de 2011 solicitó observaciones a las partes sobre los anexos presentados e hizo notar a las partes </w:t>
      </w:r>
      <w:r w:rsidRPr="00074D80">
        <w:rPr>
          <w:rFonts w:ascii="Verdana" w:hAnsi="Verdana"/>
          <w:sz w:val="20"/>
          <w:szCs w:val="20"/>
          <w:lang w:val="es-CR"/>
        </w:rPr>
        <w:t xml:space="preserve">que </w:t>
      </w:r>
      <w:r>
        <w:rPr>
          <w:rFonts w:ascii="Verdana" w:hAnsi="Verdana"/>
          <w:sz w:val="20"/>
          <w:szCs w:val="20"/>
          <w:lang w:val="es-CR"/>
        </w:rPr>
        <w:t>“</w:t>
      </w:r>
      <w:r w:rsidRPr="00074D80">
        <w:rPr>
          <w:rFonts w:ascii="Verdana" w:hAnsi="Verdana"/>
          <w:sz w:val="20"/>
          <w:szCs w:val="20"/>
          <w:lang w:val="es-CR"/>
        </w:rPr>
        <w:t>no era una nueva oportunidad procesal para ampliar alegatos</w:t>
      </w:r>
      <w:r>
        <w:rPr>
          <w:rFonts w:ascii="Verdana" w:hAnsi="Verdana"/>
          <w:sz w:val="20"/>
          <w:szCs w:val="20"/>
          <w:lang w:val="es-CR"/>
        </w:rPr>
        <w:t xml:space="preserve">”. Al respecto, este Tribunal hace notar que efectivamente los representantes en su comunicación de 4 de mayo de 2011, hicieron observaciones, por un lado, a los anexos propiamente, por otro lado presentaron </w:t>
      </w:r>
      <w:r>
        <w:rPr>
          <w:rFonts w:ascii="Verdana" w:hAnsi="Verdana"/>
          <w:sz w:val="20"/>
          <w:szCs w:val="20"/>
          <w:lang w:val="es-CR"/>
        </w:rPr>
        <w:lastRenderedPageBreak/>
        <w:t>alegatos respecto al fondo del caso. En consideración de lo anterior,</w:t>
      </w:r>
      <w:r w:rsidRPr="00401DDE">
        <w:rPr>
          <w:rFonts w:ascii="Verdana" w:hAnsi="Verdana"/>
          <w:bCs/>
          <w:sz w:val="20"/>
          <w:szCs w:val="20"/>
          <w:lang w:val="es-CR"/>
        </w:rPr>
        <w:t xml:space="preserve"> </w:t>
      </w:r>
      <w:r>
        <w:rPr>
          <w:rFonts w:ascii="Verdana" w:hAnsi="Verdana"/>
          <w:bCs/>
          <w:sz w:val="20"/>
          <w:szCs w:val="20"/>
          <w:lang w:val="es-CR"/>
        </w:rPr>
        <w:t xml:space="preserve">esta Corte </w:t>
      </w:r>
      <w:r w:rsidRPr="00401DDE">
        <w:rPr>
          <w:rFonts w:ascii="Verdana" w:hAnsi="Verdana"/>
          <w:bCs/>
          <w:sz w:val="20"/>
          <w:szCs w:val="20"/>
          <w:lang w:val="es-CR"/>
        </w:rPr>
        <w:t>decide admitir, de conformidad con el artículo 4</w:t>
      </w:r>
      <w:r>
        <w:rPr>
          <w:rFonts w:ascii="Verdana" w:hAnsi="Verdana"/>
          <w:bCs/>
          <w:sz w:val="20"/>
          <w:szCs w:val="20"/>
          <w:lang w:val="es-CR"/>
        </w:rPr>
        <w:t>6</w:t>
      </w:r>
      <w:r w:rsidRPr="00401DDE">
        <w:rPr>
          <w:rFonts w:ascii="Verdana" w:hAnsi="Verdana"/>
          <w:bCs/>
          <w:sz w:val="20"/>
          <w:szCs w:val="20"/>
          <w:lang w:val="es-CR"/>
        </w:rPr>
        <w:t xml:space="preserve"> del Reglamento</w:t>
      </w:r>
      <w:r>
        <w:rPr>
          <w:rFonts w:ascii="Verdana" w:hAnsi="Verdana"/>
          <w:bCs/>
          <w:sz w:val="20"/>
          <w:szCs w:val="20"/>
          <w:lang w:val="es-CR"/>
        </w:rPr>
        <w:t>,</w:t>
      </w:r>
      <w:r w:rsidRPr="00401DDE">
        <w:rPr>
          <w:rFonts w:ascii="Verdana" w:hAnsi="Verdana"/>
          <w:bCs/>
          <w:sz w:val="20"/>
          <w:szCs w:val="20"/>
          <w:lang w:val="es-CR"/>
        </w:rPr>
        <w:t xml:space="preserve"> </w:t>
      </w:r>
      <w:r>
        <w:rPr>
          <w:rFonts w:ascii="Verdana" w:hAnsi="Verdana"/>
          <w:bCs/>
          <w:sz w:val="20"/>
          <w:szCs w:val="20"/>
          <w:lang w:val="es-CR"/>
        </w:rPr>
        <w:t>el referido escrito de los representantes</w:t>
      </w:r>
      <w:r w:rsidRPr="005F3704">
        <w:rPr>
          <w:rFonts w:ascii="Verdana" w:hAnsi="Verdana"/>
          <w:b/>
          <w:bCs/>
          <w:sz w:val="20"/>
          <w:szCs w:val="20"/>
          <w:lang w:val="es-CR"/>
        </w:rPr>
        <w:t xml:space="preserve"> </w:t>
      </w:r>
      <w:r w:rsidRPr="00E505BE">
        <w:rPr>
          <w:rFonts w:ascii="Verdana" w:hAnsi="Verdana"/>
          <w:bCs/>
          <w:sz w:val="20"/>
          <w:szCs w:val="20"/>
          <w:lang w:val="es-CR"/>
        </w:rPr>
        <w:t>sólo</w:t>
      </w:r>
      <w:r>
        <w:rPr>
          <w:rFonts w:ascii="Verdana" w:hAnsi="Verdana"/>
          <w:bCs/>
          <w:sz w:val="20"/>
          <w:szCs w:val="20"/>
          <w:lang w:val="es-CR"/>
        </w:rPr>
        <w:t xml:space="preserve"> en las partes que expresen observaciones relativas a los anexos presentados por el Estado</w:t>
      </w:r>
      <w:r w:rsidRPr="00401DDE">
        <w:rPr>
          <w:rFonts w:ascii="Verdana" w:hAnsi="Verdana"/>
          <w:bCs/>
          <w:sz w:val="20"/>
          <w:szCs w:val="20"/>
          <w:lang w:val="es-CR"/>
        </w:rPr>
        <w:t xml:space="preserve">. </w:t>
      </w:r>
      <w:r>
        <w:rPr>
          <w:rFonts w:ascii="Verdana" w:hAnsi="Verdana"/>
          <w:bCs/>
          <w:sz w:val="20"/>
          <w:szCs w:val="20"/>
          <w:lang w:val="es-CR"/>
        </w:rPr>
        <w:t xml:space="preserve">A tal efecto, el Tribunal toma en cuenta las observaciones del Estado </w:t>
      </w:r>
      <w:r w:rsidRPr="00401DDE">
        <w:rPr>
          <w:rFonts w:ascii="Verdana" w:hAnsi="Verdana"/>
          <w:sz w:val="20"/>
          <w:szCs w:val="20"/>
          <w:lang w:val="es-CR"/>
        </w:rPr>
        <w:t xml:space="preserve">y </w:t>
      </w:r>
      <w:r w:rsidRPr="00401DDE">
        <w:rPr>
          <w:rFonts w:ascii="Verdana" w:hAnsi="Verdana"/>
          <w:bCs/>
          <w:sz w:val="20"/>
          <w:szCs w:val="20"/>
          <w:lang w:val="es-CR"/>
        </w:rPr>
        <w:t>el conjunto del acervo probatorio</w:t>
      </w:r>
      <w:r>
        <w:rPr>
          <w:rFonts w:ascii="Verdana" w:hAnsi="Verdana"/>
          <w:bCs/>
          <w:sz w:val="20"/>
          <w:szCs w:val="20"/>
          <w:lang w:val="es-CR"/>
        </w:rPr>
        <w:t xml:space="preserve"> para valorar el referido escrito</w:t>
      </w:r>
      <w:r w:rsidRPr="00401DDE">
        <w:rPr>
          <w:rFonts w:ascii="Verdana" w:hAnsi="Verdana"/>
          <w:sz w:val="20"/>
          <w:szCs w:val="20"/>
          <w:lang w:val="es-CR"/>
        </w:rPr>
        <w:t>, de acuerdo a las reglas de la sana crítica.</w:t>
      </w:r>
    </w:p>
    <w:p w:rsidR="00F249DD" w:rsidRDefault="00F249DD" w:rsidP="00120F89">
      <w:pPr>
        <w:jc w:val="both"/>
        <w:rPr>
          <w:rFonts w:ascii="Verdana" w:hAnsi="Verdana"/>
          <w:sz w:val="20"/>
          <w:lang w:val="es-ES"/>
        </w:rPr>
      </w:pPr>
    </w:p>
    <w:p w:rsidR="00F249DD" w:rsidRPr="00E831E4" w:rsidRDefault="00F249DD" w:rsidP="005E1B9F">
      <w:pPr>
        <w:pStyle w:val="Ttulo2"/>
        <w:rPr>
          <w:lang w:val="es-MX"/>
        </w:rPr>
      </w:pPr>
      <w:bookmarkStart w:id="125" w:name="_Toc294862700"/>
      <w:bookmarkStart w:id="126" w:name="_Toc294862763"/>
      <w:bookmarkStart w:id="127" w:name="_Toc295380314"/>
      <w:bookmarkStart w:id="128" w:name="_Toc295394466"/>
      <w:bookmarkStart w:id="129" w:name="_Toc295394620"/>
      <w:bookmarkStart w:id="130" w:name="_Toc295986072"/>
      <w:bookmarkStart w:id="131" w:name="_Toc295986290"/>
      <w:bookmarkStart w:id="132" w:name="_Toc295986410"/>
      <w:r w:rsidRPr="00E831E4">
        <w:rPr>
          <w:lang w:val="es-MX"/>
        </w:rPr>
        <w:t>Admisión de la declaración de la presunta víctima y la prueba  pericial</w:t>
      </w:r>
      <w:bookmarkEnd w:id="125"/>
      <w:bookmarkEnd w:id="126"/>
      <w:bookmarkEnd w:id="127"/>
      <w:bookmarkEnd w:id="128"/>
      <w:bookmarkEnd w:id="129"/>
      <w:bookmarkEnd w:id="130"/>
      <w:bookmarkEnd w:id="131"/>
      <w:bookmarkEnd w:id="132"/>
    </w:p>
    <w:p w:rsidR="00F249DD" w:rsidRPr="00F846EC" w:rsidRDefault="00F249DD" w:rsidP="00F846EC">
      <w:pPr>
        <w:ind w:left="720"/>
        <w:jc w:val="both"/>
        <w:rPr>
          <w:rFonts w:ascii="Verdana" w:hAnsi="Verdana"/>
          <w:b/>
          <w:sz w:val="20"/>
          <w:lang w:val="es-ES"/>
        </w:rPr>
      </w:pPr>
    </w:p>
    <w:p w:rsidR="00F249DD" w:rsidRPr="001F4E33" w:rsidRDefault="00F249DD" w:rsidP="007C6F32">
      <w:pPr>
        <w:numPr>
          <w:ilvl w:val="0"/>
          <w:numId w:val="3"/>
        </w:numPr>
        <w:ind w:left="0" w:firstLine="0"/>
        <w:jc w:val="both"/>
        <w:rPr>
          <w:rFonts w:ascii="Verdana" w:hAnsi="Verdana"/>
          <w:b/>
          <w:bCs/>
          <w:caps/>
          <w:lang w:val="es-CR"/>
        </w:rPr>
      </w:pPr>
      <w:r w:rsidRPr="00DA5593">
        <w:rPr>
          <w:rFonts w:ascii="Verdana" w:hAnsi="Verdana"/>
          <w:sz w:val="20"/>
          <w:szCs w:val="20"/>
          <w:lang w:val="es-EC"/>
        </w:rPr>
        <w:t>Respecto de la declaración de la</w:t>
      </w:r>
      <w:r>
        <w:rPr>
          <w:rFonts w:ascii="Verdana" w:hAnsi="Verdana"/>
          <w:sz w:val="20"/>
          <w:szCs w:val="20"/>
          <w:lang w:val="es-EC"/>
        </w:rPr>
        <w:t xml:space="preserve"> presunta</w:t>
      </w:r>
      <w:r w:rsidRPr="00DA5593">
        <w:rPr>
          <w:rFonts w:ascii="Verdana" w:hAnsi="Verdana"/>
          <w:sz w:val="20"/>
          <w:szCs w:val="20"/>
          <w:lang w:val="es-EC"/>
        </w:rPr>
        <w:t xml:space="preserve"> víctima y </w:t>
      </w:r>
      <w:r>
        <w:rPr>
          <w:rFonts w:ascii="Verdana" w:hAnsi="Verdana"/>
          <w:sz w:val="20"/>
          <w:szCs w:val="20"/>
          <w:lang w:val="es-EC"/>
        </w:rPr>
        <w:t>dos de los</w:t>
      </w:r>
      <w:r w:rsidRPr="00DA5593">
        <w:rPr>
          <w:rFonts w:ascii="Verdana" w:hAnsi="Verdana"/>
          <w:sz w:val="20"/>
          <w:szCs w:val="20"/>
          <w:lang w:val="es-EC"/>
        </w:rPr>
        <w:t xml:space="preserve"> peritajes</w:t>
      </w:r>
      <w:r>
        <w:rPr>
          <w:rFonts w:ascii="Verdana" w:hAnsi="Verdana"/>
          <w:sz w:val="20"/>
          <w:szCs w:val="20"/>
          <w:lang w:val="es-EC"/>
        </w:rPr>
        <w:t xml:space="preserve"> (</w:t>
      </w:r>
      <w:r w:rsidRPr="00522DA0">
        <w:rPr>
          <w:rFonts w:ascii="Verdana" w:hAnsi="Verdana"/>
          <w:i/>
          <w:sz w:val="20"/>
          <w:szCs w:val="20"/>
          <w:lang w:val="es-EC"/>
        </w:rPr>
        <w:t>supra</w:t>
      </w:r>
      <w:r>
        <w:rPr>
          <w:rFonts w:ascii="Verdana" w:hAnsi="Verdana"/>
          <w:sz w:val="20"/>
          <w:szCs w:val="20"/>
          <w:lang w:val="es-EC"/>
        </w:rPr>
        <w:t xml:space="preserve"> párr. 37)</w:t>
      </w:r>
      <w:r w:rsidRPr="00DA5593">
        <w:rPr>
          <w:rFonts w:ascii="Verdana" w:hAnsi="Verdana"/>
          <w:sz w:val="20"/>
          <w:szCs w:val="20"/>
          <w:lang w:val="es-EC"/>
        </w:rPr>
        <w:t>, la Corte los estima pertinentes en cuanto se ajusten al objeto definido por el Presidente en la Resolución que ordenó recibirlos, los cuales serán valorados en el capítulo que corresponda. En cuanto a la declaración de la presunta víctima, por tener un interés en el presente caso, no será valorad</w:t>
      </w:r>
      <w:r>
        <w:rPr>
          <w:rFonts w:ascii="Verdana" w:hAnsi="Verdana"/>
          <w:sz w:val="20"/>
          <w:szCs w:val="20"/>
          <w:lang w:val="es-EC"/>
        </w:rPr>
        <w:t>a</w:t>
      </w:r>
      <w:r w:rsidRPr="00DA5593">
        <w:rPr>
          <w:rFonts w:ascii="Verdana" w:hAnsi="Verdana"/>
          <w:sz w:val="20"/>
          <w:szCs w:val="20"/>
          <w:lang w:val="es-EC"/>
        </w:rPr>
        <w:t xml:space="preserve"> aisladamente sino dentro del conjunto de las pruebas del proceso</w:t>
      </w:r>
      <w:r>
        <w:rPr>
          <w:rStyle w:val="Refdenotaalpie"/>
          <w:rFonts w:ascii="Verdana" w:hAnsi="Verdana" w:cs="Verdana"/>
          <w:sz w:val="20"/>
          <w:szCs w:val="20"/>
          <w:lang w:val="es-EC"/>
        </w:rPr>
        <w:footnoteReference w:id="29"/>
      </w:r>
      <w:r w:rsidRPr="00E23CB0">
        <w:rPr>
          <w:rFonts w:ascii="Verdana" w:hAnsi="Verdana"/>
          <w:sz w:val="20"/>
          <w:szCs w:val="20"/>
          <w:lang w:val="es-EC"/>
        </w:rPr>
        <w:t xml:space="preserve">. </w:t>
      </w:r>
      <w:r w:rsidRPr="00A402E2">
        <w:rPr>
          <w:rFonts w:ascii="Verdana" w:hAnsi="Verdana"/>
          <w:sz w:val="20"/>
          <w:szCs w:val="20"/>
          <w:lang w:val="es-EC"/>
        </w:rPr>
        <w:t>Por otra parte, en cuanto al dictamen pericial rendido por el señor Jaime Vinti</w:t>
      </w:r>
      <w:r>
        <w:rPr>
          <w:rFonts w:ascii="Verdana" w:hAnsi="Verdana"/>
          <w:sz w:val="20"/>
          <w:szCs w:val="20"/>
          <w:lang w:val="es-EC"/>
        </w:rPr>
        <w:t>m</w:t>
      </w:r>
      <w:r w:rsidRPr="00A402E2">
        <w:rPr>
          <w:rFonts w:ascii="Verdana" w:hAnsi="Verdana"/>
          <w:sz w:val="20"/>
          <w:szCs w:val="20"/>
          <w:lang w:val="es-EC"/>
        </w:rPr>
        <w:t>illa, en sus alegatos finales escritos el Estado</w:t>
      </w:r>
      <w:r w:rsidRPr="005F3704">
        <w:rPr>
          <w:rFonts w:ascii="Verdana" w:hAnsi="Verdana"/>
          <w:b/>
          <w:sz w:val="20"/>
          <w:szCs w:val="20"/>
          <w:lang w:val="es-EC"/>
        </w:rPr>
        <w:t xml:space="preserve"> </w:t>
      </w:r>
      <w:r w:rsidRPr="00E23CB0">
        <w:rPr>
          <w:rFonts w:ascii="Verdana" w:hAnsi="Verdana"/>
          <w:sz w:val="20"/>
          <w:szCs w:val="20"/>
          <w:lang w:val="es-EC"/>
        </w:rPr>
        <w:t xml:space="preserve">señaló </w:t>
      </w:r>
      <w:r>
        <w:rPr>
          <w:rFonts w:ascii="Verdana" w:hAnsi="Verdana"/>
          <w:sz w:val="20"/>
          <w:szCs w:val="20"/>
          <w:lang w:val="es-EC"/>
        </w:rPr>
        <w:t xml:space="preserve">que </w:t>
      </w:r>
      <w:r w:rsidRPr="00E23CB0">
        <w:rPr>
          <w:rFonts w:ascii="Verdana" w:hAnsi="Verdana"/>
          <w:sz w:val="20"/>
          <w:szCs w:val="20"/>
          <w:lang w:val="es-EC"/>
        </w:rPr>
        <w:t>el perito “inicia con j</w:t>
      </w:r>
      <w:r>
        <w:rPr>
          <w:rFonts w:ascii="Verdana" w:hAnsi="Verdana"/>
          <w:sz w:val="20"/>
          <w:szCs w:val="20"/>
          <w:lang w:val="es-EC"/>
        </w:rPr>
        <w:t>u</w:t>
      </w:r>
      <w:r w:rsidRPr="00E23CB0">
        <w:rPr>
          <w:rFonts w:ascii="Verdana" w:hAnsi="Verdana"/>
          <w:sz w:val="20"/>
          <w:szCs w:val="20"/>
          <w:lang w:val="es-EC"/>
        </w:rPr>
        <w:t>icios de valor y desconoce, o disminuye los cambios transcendentales que vive el Ecuador desde la aprobación mediante referéndum en el año 2008 de la nueva Constitución reconocida como Constitución de Montecristi”. Al respecto, este Tribunal estima pertinente</w:t>
      </w:r>
      <w:r w:rsidRPr="00A402E2">
        <w:rPr>
          <w:rFonts w:ascii="Verdana" w:hAnsi="Verdana"/>
          <w:sz w:val="20"/>
          <w:szCs w:val="20"/>
          <w:lang w:val="es-EC"/>
        </w:rPr>
        <w:t xml:space="preserve"> admitir dicha prueba </w:t>
      </w:r>
      <w:r>
        <w:rPr>
          <w:rFonts w:ascii="Verdana" w:hAnsi="Verdana"/>
          <w:sz w:val="20"/>
          <w:szCs w:val="20"/>
          <w:lang w:val="es-EC"/>
        </w:rPr>
        <w:t>en cuanto se ajuste</w:t>
      </w:r>
      <w:r w:rsidRPr="00DA5593">
        <w:rPr>
          <w:rFonts w:ascii="Verdana" w:hAnsi="Verdana"/>
          <w:sz w:val="20"/>
          <w:szCs w:val="20"/>
          <w:lang w:val="es-EC"/>
        </w:rPr>
        <w:t xml:space="preserve"> al objeto definido por el Presidente en la </w:t>
      </w:r>
      <w:r>
        <w:rPr>
          <w:rFonts w:ascii="Verdana" w:hAnsi="Verdana"/>
          <w:sz w:val="20"/>
          <w:szCs w:val="20"/>
          <w:lang w:val="es-EC"/>
        </w:rPr>
        <w:t>Resolución que ordenó recibirla</w:t>
      </w:r>
      <w:r w:rsidRPr="00DA5593">
        <w:rPr>
          <w:rFonts w:ascii="Verdana" w:hAnsi="Verdana"/>
          <w:sz w:val="20"/>
          <w:szCs w:val="20"/>
          <w:lang w:val="es-EC"/>
        </w:rPr>
        <w:t xml:space="preserve"> (</w:t>
      </w:r>
      <w:r w:rsidRPr="00DA5593">
        <w:rPr>
          <w:rFonts w:ascii="Verdana" w:hAnsi="Verdana"/>
          <w:i/>
          <w:sz w:val="20"/>
          <w:szCs w:val="20"/>
          <w:lang w:val="es-EC"/>
        </w:rPr>
        <w:t xml:space="preserve">supra </w:t>
      </w:r>
      <w:r w:rsidRPr="00DA5593">
        <w:rPr>
          <w:rFonts w:ascii="Verdana" w:hAnsi="Verdana"/>
          <w:sz w:val="20"/>
          <w:szCs w:val="20"/>
          <w:lang w:val="es-EC"/>
        </w:rPr>
        <w:t xml:space="preserve">párr. </w:t>
      </w:r>
      <w:r>
        <w:rPr>
          <w:rFonts w:ascii="Verdana" w:hAnsi="Verdana"/>
          <w:sz w:val="20"/>
          <w:szCs w:val="20"/>
          <w:lang w:val="es-EC"/>
        </w:rPr>
        <w:t>8</w:t>
      </w:r>
      <w:r w:rsidRPr="00DA5593">
        <w:rPr>
          <w:rFonts w:ascii="Verdana" w:hAnsi="Verdana"/>
          <w:sz w:val="20"/>
          <w:szCs w:val="20"/>
          <w:lang w:val="es-EC"/>
        </w:rPr>
        <w:t>)</w:t>
      </w:r>
      <w:r>
        <w:rPr>
          <w:rFonts w:ascii="Verdana" w:hAnsi="Verdana"/>
          <w:sz w:val="20"/>
          <w:szCs w:val="20"/>
          <w:lang w:val="es-EC"/>
        </w:rPr>
        <w:t>, y la valora tomando en cuenta lo manifestado por el Estado y dentro del conjunto del acervo probatorio del caso.</w:t>
      </w:r>
      <w:r w:rsidRPr="00DA5593">
        <w:rPr>
          <w:rFonts w:ascii="Verdana" w:hAnsi="Verdana"/>
          <w:sz w:val="20"/>
          <w:szCs w:val="20"/>
          <w:lang w:val="es-EC"/>
        </w:rPr>
        <w:t xml:space="preserve"> </w:t>
      </w:r>
      <w:r>
        <w:rPr>
          <w:rFonts w:ascii="Verdana" w:hAnsi="Verdana"/>
          <w:sz w:val="20"/>
          <w:szCs w:val="20"/>
          <w:lang w:val="es-EC"/>
        </w:rPr>
        <w:t xml:space="preserve"> </w:t>
      </w:r>
    </w:p>
    <w:p w:rsidR="00F249DD" w:rsidRPr="007C6F32" w:rsidRDefault="00F249DD" w:rsidP="001F4E33">
      <w:pPr>
        <w:jc w:val="both"/>
        <w:rPr>
          <w:rFonts w:ascii="Verdana" w:hAnsi="Verdana"/>
          <w:b/>
          <w:bCs/>
          <w:caps/>
          <w:lang w:val="es-CR"/>
        </w:rPr>
      </w:pPr>
      <w:r>
        <w:rPr>
          <w:rFonts w:ascii="Verdana" w:hAnsi="Verdana"/>
          <w:sz w:val="20"/>
          <w:szCs w:val="20"/>
          <w:lang w:val="es-EC"/>
        </w:rPr>
        <w:t xml:space="preserve">  </w:t>
      </w:r>
    </w:p>
    <w:p w:rsidR="00F249DD" w:rsidRDefault="00F249DD" w:rsidP="007040F4">
      <w:pPr>
        <w:pStyle w:val="StyleHeading111ptJustified"/>
        <w:tabs>
          <w:tab w:val="num" w:pos="0"/>
        </w:tabs>
        <w:ind w:left="0" w:firstLine="0"/>
        <w:rPr>
          <w:webHidden/>
          <w:sz w:val="20"/>
          <w:lang w:val="es-MX"/>
        </w:rPr>
      </w:pPr>
      <w:bookmarkStart w:id="133" w:name="_Toc294622617"/>
      <w:bookmarkStart w:id="134" w:name="_Toc294623390"/>
      <w:bookmarkStart w:id="135" w:name="_Toc294623645"/>
      <w:bookmarkStart w:id="136" w:name="_Toc294626194"/>
      <w:bookmarkStart w:id="137" w:name="_Toc294633770"/>
      <w:bookmarkStart w:id="138" w:name="_Toc294634480"/>
      <w:bookmarkStart w:id="139" w:name="_Toc294635308"/>
      <w:bookmarkStart w:id="140" w:name="_Toc294862701"/>
      <w:bookmarkStart w:id="141" w:name="_Toc294862764"/>
      <w:bookmarkStart w:id="142" w:name="_Toc295380315"/>
      <w:bookmarkStart w:id="143" w:name="_Toc295394467"/>
      <w:bookmarkStart w:id="144" w:name="_Toc295394621"/>
      <w:bookmarkStart w:id="145" w:name="_Toc295986073"/>
      <w:bookmarkStart w:id="146" w:name="_Toc295986291"/>
      <w:bookmarkStart w:id="147" w:name="_Toc295986411"/>
      <w:bookmarkStart w:id="148" w:name="_Toc294622248"/>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rsidR="00F249DD" w:rsidRPr="00A04CE3" w:rsidRDefault="00F249DD" w:rsidP="007040F4">
      <w:pPr>
        <w:pStyle w:val="StyleHeading111ptJustified"/>
        <w:numPr>
          <w:ilvl w:val="0"/>
          <w:numId w:val="0"/>
        </w:numPr>
        <w:tabs>
          <w:tab w:val="num" w:pos="0"/>
        </w:tabs>
        <w:rPr>
          <w:caps/>
          <w:smallCaps w:val="0"/>
          <w:webHidden/>
          <w:sz w:val="20"/>
          <w:lang w:val="es-MX"/>
        </w:rPr>
      </w:pPr>
      <w:bookmarkStart w:id="149" w:name="_Toc295380316"/>
      <w:bookmarkStart w:id="150" w:name="_Toc295394468"/>
      <w:bookmarkStart w:id="151" w:name="_Toc295394622"/>
      <w:bookmarkStart w:id="152" w:name="_Toc295986074"/>
      <w:bookmarkStart w:id="153" w:name="_Toc295986292"/>
      <w:bookmarkStart w:id="154" w:name="_Toc295986412"/>
      <w:bookmarkStart w:id="155" w:name="_Toc294622618"/>
      <w:bookmarkStart w:id="156" w:name="_Toc294623391"/>
      <w:bookmarkStart w:id="157" w:name="_Toc294623646"/>
      <w:bookmarkStart w:id="158" w:name="_Toc294626195"/>
      <w:bookmarkStart w:id="159" w:name="_Toc294633771"/>
      <w:bookmarkStart w:id="160" w:name="_Toc294634481"/>
      <w:bookmarkStart w:id="161" w:name="_Toc294635309"/>
      <w:bookmarkStart w:id="162" w:name="_Toc294862702"/>
      <w:bookmarkStart w:id="163" w:name="_Toc294862765"/>
      <w:r w:rsidRPr="0077680E">
        <w:rPr>
          <w:caps/>
          <w:smallCaps w:val="0"/>
          <w:webHidden/>
          <w:sz w:val="20"/>
          <w:lang w:val="es-MX"/>
        </w:rPr>
        <w:t>Artículos 8 y 25 de la Convención Americana</w:t>
      </w:r>
      <w:bookmarkEnd w:id="149"/>
      <w:bookmarkEnd w:id="150"/>
      <w:bookmarkEnd w:id="151"/>
      <w:bookmarkEnd w:id="152"/>
      <w:bookmarkEnd w:id="153"/>
      <w:bookmarkEnd w:id="154"/>
    </w:p>
    <w:bookmarkEnd w:id="148"/>
    <w:bookmarkEnd w:id="155"/>
    <w:bookmarkEnd w:id="156"/>
    <w:bookmarkEnd w:id="157"/>
    <w:bookmarkEnd w:id="158"/>
    <w:bookmarkEnd w:id="159"/>
    <w:bookmarkEnd w:id="160"/>
    <w:bookmarkEnd w:id="161"/>
    <w:bookmarkEnd w:id="162"/>
    <w:bookmarkEnd w:id="163"/>
    <w:p w:rsidR="00F249DD" w:rsidRPr="00022AEC" w:rsidRDefault="00F249DD" w:rsidP="007040F4">
      <w:pPr>
        <w:tabs>
          <w:tab w:val="num" w:pos="0"/>
        </w:tabs>
        <w:ind w:right="738"/>
        <w:rPr>
          <w:rFonts w:ascii="Verdana" w:hAnsi="Verdana"/>
          <w:iCs/>
          <w:lang w:val="es-ES"/>
        </w:rPr>
      </w:pPr>
    </w:p>
    <w:p w:rsidR="00F249DD" w:rsidRPr="007325F3" w:rsidRDefault="00F249DD" w:rsidP="00120F89">
      <w:pPr>
        <w:numPr>
          <w:ilvl w:val="0"/>
          <w:numId w:val="3"/>
        </w:numPr>
        <w:ind w:left="0" w:firstLine="0"/>
        <w:jc w:val="both"/>
        <w:rPr>
          <w:rFonts w:ascii="Verdana" w:hAnsi="Verdana"/>
          <w:sz w:val="20"/>
          <w:szCs w:val="20"/>
          <w:lang w:val="es-CR"/>
        </w:rPr>
      </w:pPr>
      <w:r w:rsidRPr="007325F3">
        <w:rPr>
          <w:rFonts w:ascii="Verdana" w:hAnsi="Verdana"/>
          <w:sz w:val="20"/>
          <w:szCs w:val="20"/>
          <w:lang w:val="es-CR"/>
        </w:rPr>
        <w:t xml:space="preserve"> </w:t>
      </w:r>
      <w:r>
        <w:rPr>
          <w:rFonts w:ascii="Verdana" w:hAnsi="Verdana"/>
          <w:sz w:val="20"/>
          <w:szCs w:val="20"/>
          <w:lang w:val="es-CR"/>
        </w:rPr>
        <w:t>En este Capítulo, l</w:t>
      </w:r>
      <w:r w:rsidRPr="007325F3">
        <w:rPr>
          <w:rFonts w:ascii="Verdana" w:hAnsi="Verdana"/>
          <w:sz w:val="20"/>
          <w:szCs w:val="20"/>
          <w:lang w:val="es-CR"/>
        </w:rPr>
        <w:t xml:space="preserve">a Corte </w:t>
      </w:r>
      <w:r>
        <w:rPr>
          <w:rFonts w:ascii="Verdana" w:hAnsi="Verdana"/>
          <w:sz w:val="20"/>
          <w:szCs w:val="20"/>
          <w:lang w:val="es-CR"/>
        </w:rPr>
        <w:t xml:space="preserve">se referirá, en primer lugar, a algunos hechos relevantes en relación con los procedimientos en la jurisdicción interna que tienen relación con </w:t>
      </w:r>
      <w:r w:rsidRPr="007325F3">
        <w:rPr>
          <w:rFonts w:ascii="Verdana" w:hAnsi="Verdana"/>
          <w:sz w:val="20"/>
          <w:szCs w:val="20"/>
          <w:lang w:val="es-CR"/>
        </w:rPr>
        <w:t>las violacione</w:t>
      </w:r>
      <w:r>
        <w:rPr>
          <w:rFonts w:ascii="Verdana" w:hAnsi="Verdana"/>
          <w:sz w:val="20"/>
          <w:szCs w:val="20"/>
          <w:lang w:val="es-CR"/>
        </w:rPr>
        <w:t xml:space="preserve">s alegadas a las garantías y protección judicial. Posteriormente, se referirá a los alegatos de las partes al respecto, y analizará las garantías del proceso a la luz del artículo 8.1 de la Convención y la protección y tutela judicial efectiva en la ejecución de fallos, dispuestas en los artículos </w:t>
      </w:r>
      <w:r w:rsidRPr="007325F3">
        <w:rPr>
          <w:rFonts w:ascii="Verdana" w:hAnsi="Verdana"/>
          <w:sz w:val="20"/>
          <w:szCs w:val="20"/>
          <w:lang w:val="es-CR"/>
        </w:rPr>
        <w:t>25</w:t>
      </w:r>
      <w:r>
        <w:rPr>
          <w:rFonts w:ascii="Verdana" w:hAnsi="Verdana"/>
          <w:sz w:val="20"/>
          <w:szCs w:val="20"/>
          <w:lang w:val="es-CR"/>
        </w:rPr>
        <w:t>.1 y 25.2.c)</w:t>
      </w:r>
      <w:r w:rsidRPr="007325F3">
        <w:rPr>
          <w:rFonts w:ascii="Verdana" w:hAnsi="Verdana"/>
          <w:sz w:val="20"/>
          <w:szCs w:val="20"/>
          <w:lang w:val="es-CR"/>
        </w:rPr>
        <w:t xml:space="preserve"> de la Convención Americ</w:t>
      </w:r>
      <w:r>
        <w:rPr>
          <w:rFonts w:ascii="Verdana" w:hAnsi="Verdana"/>
          <w:sz w:val="20"/>
          <w:szCs w:val="20"/>
          <w:lang w:val="es-CR"/>
        </w:rPr>
        <w:t>ana.</w:t>
      </w:r>
    </w:p>
    <w:p w:rsidR="00F249DD" w:rsidRPr="007325F3" w:rsidRDefault="00F249DD" w:rsidP="00803C8C">
      <w:pPr>
        <w:rPr>
          <w:rFonts w:ascii="Verdana" w:hAnsi="Verdana"/>
          <w:sz w:val="20"/>
          <w:szCs w:val="20"/>
          <w:lang w:val="es-CR"/>
        </w:rPr>
      </w:pPr>
    </w:p>
    <w:p w:rsidR="00F249DD" w:rsidRPr="00CD04D8" w:rsidRDefault="00F249DD" w:rsidP="00C80201">
      <w:pPr>
        <w:pStyle w:val="Ttulo2"/>
        <w:numPr>
          <w:ilvl w:val="0"/>
          <w:numId w:val="39"/>
        </w:numPr>
      </w:pPr>
      <w:bookmarkStart w:id="164" w:name="_Toc294623393"/>
      <w:bookmarkStart w:id="165" w:name="_Toc294623648"/>
      <w:bookmarkStart w:id="166" w:name="_Toc294626197"/>
      <w:bookmarkStart w:id="167" w:name="_Toc294633773"/>
      <w:bookmarkStart w:id="168" w:name="_Toc294634483"/>
      <w:bookmarkStart w:id="169" w:name="_Toc294635311"/>
      <w:bookmarkStart w:id="170" w:name="_Toc294862704"/>
      <w:bookmarkStart w:id="171" w:name="_Toc294862767"/>
      <w:bookmarkStart w:id="172" w:name="_Toc295380318"/>
      <w:bookmarkStart w:id="173" w:name="_Toc295394470"/>
      <w:bookmarkStart w:id="174" w:name="_Toc295394624"/>
      <w:bookmarkStart w:id="175" w:name="_Toc295986076"/>
      <w:bookmarkStart w:id="176" w:name="_Toc295986293"/>
      <w:bookmarkStart w:id="177" w:name="_Toc295986413"/>
      <w:r w:rsidRPr="00CD04D8">
        <w:t>Hechos Relevantes</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CD04D8">
        <w:t xml:space="preserve"> </w:t>
      </w:r>
    </w:p>
    <w:p w:rsidR="00F249DD" w:rsidRPr="007325F3" w:rsidRDefault="00F249DD" w:rsidP="00803C8C">
      <w:pPr>
        <w:ind w:left="720" w:right="738" w:hanging="720"/>
        <w:rPr>
          <w:rFonts w:ascii="Verdana" w:hAnsi="Verdana"/>
          <w:i/>
          <w:iCs/>
          <w:sz w:val="20"/>
          <w:szCs w:val="20"/>
          <w:lang w:val="es-CR"/>
        </w:rPr>
      </w:pPr>
    </w:p>
    <w:p w:rsidR="00F249DD" w:rsidRPr="007325F3" w:rsidRDefault="00F249DD" w:rsidP="00022AEC">
      <w:pPr>
        <w:ind w:left="708"/>
        <w:jc w:val="both"/>
        <w:rPr>
          <w:rFonts w:ascii="Verdana" w:hAnsi="Verdana"/>
          <w:i/>
          <w:iCs/>
          <w:sz w:val="20"/>
          <w:szCs w:val="20"/>
          <w:lang w:val="es-MX"/>
        </w:rPr>
      </w:pPr>
      <w:r w:rsidRPr="007325F3">
        <w:rPr>
          <w:rFonts w:ascii="Verdana" w:hAnsi="Verdana"/>
          <w:i/>
          <w:iCs/>
          <w:sz w:val="20"/>
          <w:szCs w:val="20"/>
          <w:lang w:val="es-CR"/>
        </w:rPr>
        <w:t xml:space="preserve">a) </w:t>
      </w:r>
      <w:r w:rsidRPr="007325F3">
        <w:rPr>
          <w:rFonts w:ascii="Verdana" w:hAnsi="Verdana"/>
          <w:b/>
          <w:bCs/>
          <w:i/>
          <w:iCs/>
          <w:sz w:val="20"/>
          <w:szCs w:val="20"/>
          <w:lang w:val="es-MX"/>
        </w:rPr>
        <w:t xml:space="preserve"> </w:t>
      </w:r>
      <w:r w:rsidRPr="007325F3">
        <w:rPr>
          <w:rFonts w:ascii="Verdana" w:hAnsi="Verdana"/>
          <w:i/>
          <w:iCs/>
          <w:sz w:val="20"/>
          <w:szCs w:val="20"/>
          <w:lang w:val="es-MX"/>
        </w:rPr>
        <w:t>Procedimiento ante el Consejo de Oficiales Generales de la Fuerza Terrestre</w:t>
      </w:r>
    </w:p>
    <w:p w:rsidR="00F249DD" w:rsidRPr="007325F3" w:rsidRDefault="00F249DD" w:rsidP="00803C8C">
      <w:pPr>
        <w:rPr>
          <w:rFonts w:ascii="Verdana" w:hAnsi="Verdana"/>
          <w:sz w:val="20"/>
          <w:szCs w:val="20"/>
          <w:lang w:val="es-MX"/>
        </w:rPr>
      </w:pPr>
    </w:p>
    <w:p w:rsidR="00F249DD" w:rsidRPr="007325F3" w:rsidRDefault="00F249DD" w:rsidP="00120F89">
      <w:pPr>
        <w:numPr>
          <w:ilvl w:val="0"/>
          <w:numId w:val="3"/>
        </w:numPr>
        <w:ind w:left="0" w:firstLine="0"/>
        <w:jc w:val="both"/>
        <w:rPr>
          <w:rFonts w:ascii="Verdana" w:hAnsi="Verdana"/>
          <w:sz w:val="20"/>
          <w:szCs w:val="20"/>
          <w:lang w:val="es-MX"/>
        </w:rPr>
      </w:pPr>
      <w:r w:rsidRPr="007325F3">
        <w:rPr>
          <w:rFonts w:ascii="Verdana" w:hAnsi="Verdana"/>
          <w:sz w:val="20"/>
          <w:szCs w:val="20"/>
          <w:lang w:val="es-MX"/>
        </w:rPr>
        <w:t>El 21 de diciembre de 1972 José Alfredo Mejía Idrovo ingresó al Ejército en calidad de Subteniente</w:t>
      </w:r>
      <w:r w:rsidRPr="007325F3">
        <w:rPr>
          <w:rStyle w:val="Smbolodenotaalpie"/>
          <w:lang w:val="es-MX"/>
        </w:rPr>
        <w:footnoteReference w:id="30"/>
      </w:r>
      <w:r w:rsidRPr="007325F3">
        <w:rPr>
          <w:rFonts w:ascii="Verdana" w:hAnsi="Verdana"/>
          <w:sz w:val="20"/>
          <w:szCs w:val="20"/>
          <w:lang w:val="es-MX"/>
        </w:rPr>
        <w:t xml:space="preserve">, y </w:t>
      </w:r>
      <w:r>
        <w:rPr>
          <w:rFonts w:ascii="Verdana" w:hAnsi="Verdana"/>
          <w:sz w:val="20"/>
          <w:szCs w:val="20"/>
          <w:lang w:val="es-MX"/>
        </w:rPr>
        <w:t>el</w:t>
      </w:r>
      <w:r w:rsidRPr="007325F3">
        <w:rPr>
          <w:rFonts w:ascii="Verdana" w:hAnsi="Verdana"/>
          <w:sz w:val="20"/>
          <w:szCs w:val="20"/>
          <w:lang w:val="es-MX"/>
        </w:rPr>
        <w:t xml:space="preserve"> 21 de diciembre de 1994 ascendió al grado de Coronel del Ejército</w:t>
      </w:r>
      <w:r w:rsidRPr="007325F3">
        <w:rPr>
          <w:rStyle w:val="Smbolodenotaalpie"/>
          <w:lang w:val="es-MX"/>
        </w:rPr>
        <w:footnoteReference w:id="31"/>
      </w:r>
      <w:r w:rsidRPr="007325F3">
        <w:rPr>
          <w:rFonts w:ascii="Verdana" w:hAnsi="Verdana"/>
          <w:sz w:val="20"/>
          <w:szCs w:val="20"/>
          <w:lang w:val="es-MX"/>
        </w:rPr>
        <w:t xml:space="preserve">. </w:t>
      </w:r>
      <w:r w:rsidRPr="006C134A">
        <w:rPr>
          <w:rFonts w:ascii="Verdana" w:hAnsi="Verdana"/>
          <w:sz w:val="20"/>
          <w:szCs w:val="20"/>
          <w:lang w:val="es-MX"/>
        </w:rPr>
        <w:t xml:space="preserve">En el año </w:t>
      </w:r>
      <w:r w:rsidRPr="006C134A">
        <w:rPr>
          <w:rFonts w:ascii="Verdana" w:hAnsi="Verdana"/>
          <w:sz w:val="20"/>
          <w:szCs w:val="20"/>
          <w:lang w:val="es-MX"/>
        </w:rPr>
        <w:lastRenderedPageBreak/>
        <w:t>2000</w:t>
      </w:r>
      <w:r>
        <w:rPr>
          <w:rFonts w:ascii="Verdana" w:hAnsi="Verdana"/>
          <w:sz w:val="20"/>
          <w:szCs w:val="20"/>
          <w:lang w:val="es-MX"/>
        </w:rPr>
        <w:t>,</w:t>
      </w:r>
      <w:r w:rsidRPr="007325F3">
        <w:rPr>
          <w:rFonts w:ascii="Verdana" w:hAnsi="Verdana"/>
          <w:sz w:val="20"/>
          <w:szCs w:val="20"/>
          <w:lang w:val="es-MX"/>
        </w:rPr>
        <w:t xml:space="preserve"> el señor Mejía Idrovo se presentó ante el Consejo de Oficiales Generales de la Fuerza Terrestre (en adelante “Consejo de </w:t>
      </w:r>
      <w:r>
        <w:rPr>
          <w:rFonts w:ascii="Verdana" w:hAnsi="Verdana"/>
          <w:sz w:val="20"/>
          <w:szCs w:val="20"/>
          <w:lang w:val="es-MX"/>
        </w:rPr>
        <w:t xml:space="preserve">Oficiales </w:t>
      </w:r>
      <w:r w:rsidRPr="007325F3">
        <w:rPr>
          <w:rFonts w:ascii="Verdana" w:hAnsi="Verdana"/>
          <w:sz w:val="20"/>
          <w:szCs w:val="20"/>
          <w:lang w:val="es-MX"/>
        </w:rPr>
        <w:t xml:space="preserve">Generales”) para que lo calificaran para ascender al grado de General.  </w:t>
      </w:r>
      <w:r w:rsidRPr="00C721B5">
        <w:rPr>
          <w:rFonts w:ascii="Verdana" w:hAnsi="Verdana"/>
          <w:sz w:val="20"/>
          <w:szCs w:val="20"/>
          <w:lang w:val="es-MX"/>
        </w:rPr>
        <w:t>El Estado alegó que el señor Mejía Idrovo fue uno de “cinco coroneles de Estado de Mayor de Servicios” que participó</w:t>
      </w:r>
      <w:r w:rsidRPr="00C721B5">
        <w:rPr>
          <w:rStyle w:val="Smbolodenotaalpie"/>
          <w:lang w:val="es-MX"/>
        </w:rPr>
        <w:footnoteReference w:id="32"/>
      </w:r>
      <w:r>
        <w:rPr>
          <w:rFonts w:ascii="Verdana" w:hAnsi="Verdana"/>
          <w:sz w:val="20"/>
          <w:szCs w:val="20"/>
          <w:lang w:val="es-MX"/>
        </w:rPr>
        <w:t xml:space="preserve"> en esa promoción</w:t>
      </w:r>
      <w:r w:rsidRPr="00C721B5">
        <w:rPr>
          <w:rFonts w:ascii="Verdana" w:hAnsi="Verdana"/>
          <w:sz w:val="20"/>
          <w:szCs w:val="20"/>
          <w:lang w:val="es-MX"/>
        </w:rPr>
        <w:t>.</w:t>
      </w:r>
      <w:r w:rsidRPr="007325F3">
        <w:rPr>
          <w:rFonts w:ascii="Verdana" w:hAnsi="Verdana"/>
          <w:sz w:val="20"/>
          <w:szCs w:val="20"/>
          <w:lang w:val="es-MX"/>
        </w:rPr>
        <w:t xml:space="preserve">  En diciembre del año 2000 el Consejo de</w:t>
      </w:r>
      <w:r>
        <w:rPr>
          <w:rFonts w:ascii="Verdana" w:hAnsi="Verdana"/>
          <w:sz w:val="20"/>
          <w:szCs w:val="20"/>
          <w:lang w:val="es-MX"/>
        </w:rPr>
        <w:t xml:space="preserve"> Oficiales</w:t>
      </w:r>
      <w:r w:rsidRPr="007325F3">
        <w:rPr>
          <w:rFonts w:ascii="Verdana" w:hAnsi="Verdana"/>
          <w:sz w:val="20"/>
          <w:szCs w:val="20"/>
          <w:lang w:val="es-MX"/>
        </w:rPr>
        <w:t xml:space="preserve"> Generales le remitió una nota sin fecha y sin número para informarle que:</w:t>
      </w:r>
    </w:p>
    <w:p w:rsidR="00F249DD" w:rsidRPr="00803C8C" w:rsidRDefault="00F249DD" w:rsidP="00803C8C">
      <w:pPr>
        <w:rPr>
          <w:rFonts w:ascii="Verdana" w:hAnsi="Verdana"/>
          <w:sz w:val="16"/>
          <w:szCs w:val="16"/>
          <w:lang w:val="es-MX"/>
        </w:rPr>
      </w:pPr>
    </w:p>
    <w:p w:rsidR="00F249DD" w:rsidRPr="00E767BC" w:rsidRDefault="00F249DD" w:rsidP="00E767BC">
      <w:pPr>
        <w:ind w:left="720" w:right="720"/>
        <w:jc w:val="both"/>
        <w:rPr>
          <w:rFonts w:ascii="Verdana" w:hAnsi="Verdana"/>
          <w:sz w:val="16"/>
          <w:szCs w:val="16"/>
          <w:lang w:val="es-MX"/>
        </w:rPr>
      </w:pPr>
      <w:r w:rsidRPr="00E767BC">
        <w:rPr>
          <w:rFonts w:ascii="Verdana" w:hAnsi="Verdana"/>
          <w:sz w:val="16"/>
          <w:szCs w:val="16"/>
          <w:lang w:val="es-MX"/>
        </w:rPr>
        <w:t>Asunto: Agradecimiento por Servicios Prestados</w:t>
      </w:r>
    </w:p>
    <w:p w:rsidR="00F249DD" w:rsidRPr="00E767BC" w:rsidRDefault="00F249DD" w:rsidP="00E767BC">
      <w:pPr>
        <w:ind w:right="720"/>
        <w:jc w:val="both"/>
        <w:rPr>
          <w:rFonts w:ascii="Verdana" w:hAnsi="Verdana"/>
          <w:sz w:val="16"/>
          <w:szCs w:val="16"/>
          <w:lang w:val="es-MX"/>
        </w:rPr>
      </w:pPr>
    </w:p>
    <w:p w:rsidR="00F249DD" w:rsidRPr="00E767BC" w:rsidRDefault="00F249DD" w:rsidP="00E767BC">
      <w:pPr>
        <w:ind w:left="720" w:right="720"/>
        <w:jc w:val="both"/>
        <w:rPr>
          <w:rFonts w:ascii="Verdana" w:hAnsi="Verdana"/>
          <w:sz w:val="16"/>
          <w:szCs w:val="16"/>
          <w:lang w:val="es-MX"/>
        </w:rPr>
      </w:pPr>
      <w:r w:rsidRPr="00E767BC">
        <w:rPr>
          <w:rFonts w:ascii="Verdana" w:hAnsi="Verdana"/>
          <w:sz w:val="16"/>
          <w:szCs w:val="16"/>
          <w:lang w:val="es-MX"/>
        </w:rPr>
        <w:t xml:space="preserve">1. Es criterio del Consejo que usted es un hombre de honor leal, veraz y honesto y que sus cualidades profesionales están enmarcadas dentro de los parámetros que exige la carrera militar, por lo cual usted llegó a ser un Coronel de la República. </w:t>
      </w:r>
    </w:p>
    <w:p w:rsidR="00F249DD" w:rsidRPr="00E767BC" w:rsidRDefault="00F249DD" w:rsidP="00E767BC">
      <w:pPr>
        <w:ind w:left="720" w:right="720"/>
        <w:jc w:val="both"/>
        <w:rPr>
          <w:rFonts w:ascii="Verdana" w:hAnsi="Verdana"/>
          <w:sz w:val="16"/>
          <w:szCs w:val="16"/>
          <w:lang w:val="es-MX"/>
        </w:rPr>
      </w:pPr>
    </w:p>
    <w:p w:rsidR="00F249DD" w:rsidRPr="00E767BC" w:rsidRDefault="00F249DD" w:rsidP="00E767BC">
      <w:pPr>
        <w:ind w:left="720" w:right="720"/>
        <w:jc w:val="both"/>
        <w:rPr>
          <w:rFonts w:ascii="Verdana" w:hAnsi="Verdana"/>
          <w:sz w:val="16"/>
          <w:szCs w:val="16"/>
          <w:lang w:val="es-MX"/>
        </w:rPr>
      </w:pPr>
      <w:r w:rsidRPr="00E767BC">
        <w:rPr>
          <w:rFonts w:ascii="Verdana" w:hAnsi="Verdana"/>
          <w:sz w:val="16"/>
          <w:szCs w:val="16"/>
          <w:lang w:val="es-MX"/>
        </w:rPr>
        <w:t xml:space="preserve">2. Lamentablemente la Institución debe seguir un procedimiento de selección normado por las Leyes y Reglamentos que permite escoger a quienes dentro de un grupo humano presentan ciertas características que marcan diferencias. </w:t>
      </w:r>
    </w:p>
    <w:p w:rsidR="00F249DD" w:rsidRPr="00E767BC" w:rsidRDefault="00F249DD" w:rsidP="00E767BC">
      <w:pPr>
        <w:ind w:left="720" w:right="720"/>
        <w:jc w:val="both"/>
        <w:rPr>
          <w:rFonts w:ascii="Verdana" w:hAnsi="Verdana"/>
          <w:sz w:val="16"/>
          <w:szCs w:val="16"/>
          <w:lang w:val="es-MX"/>
        </w:rPr>
      </w:pPr>
    </w:p>
    <w:p w:rsidR="00F249DD" w:rsidRPr="00E767BC" w:rsidRDefault="00F249DD" w:rsidP="00E767BC">
      <w:pPr>
        <w:ind w:left="720" w:right="720"/>
        <w:jc w:val="both"/>
        <w:rPr>
          <w:rFonts w:ascii="Verdana" w:hAnsi="Verdana"/>
          <w:sz w:val="16"/>
          <w:szCs w:val="16"/>
          <w:lang w:val="es-MX"/>
        </w:rPr>
      </w:pPr>
      <w:r w:rsidRPr="00E767BC">
        <w:rPr>
          <w:rFonts w:ascii="Verdana" w:hAnsi="Verdana"/>
          <w:sz w:val="16"/>
          <w:szCs w:val="16"/>
          <w:lang w:val="es-MX"/>
        </w:rPr>
        <w:t>3. Por lo expuesto me permito a nombre del Consejo de Oficiales Generales de la Fuerza Terrestre, agradecer sus valiosos servicios a la Institución y hacer votos para que la vida le depare mejores oportunidades en la condición de Oficial en Servicio Pasivo. Adicionalmente, me permito recordarle que la Fuerza Terrestre siempre estará lista a proporcionarle el apoyo que usted requiera, porque usted sigue siendo parte de ella</w:t>
      </w:r>
      <w:r w:rsidRPr="00840A0C">
        <w:rPr>
          <w:rFonts w:ascii="Verdana" w:hAnsi="Verdana"/>
          <w:sz w:val="16"/>
          <w:szCs w:val="16"/>
          <w:vertAlign w:val="superscript"/>
          <w:lang w:val="es-MX"/>
        </w:rPr>
        <w:footnoteReference w:id="33"/>
      </w:r>
      <w:r>
        <w:rPr>
          <w:rFonts w:ascii="Verdana" w:hAnsi="Verdana"/>
          <w:sz w:val="16"/>
          <w:szCs w:val="16"/>
          <w:lang w:val="es-MX"/>
        </w:rPr>
        <w:t>.</w:t>
      </w:r>
      <w:r w:rsidRPr="00E767BC">
        <w:rPr>
          <w:rFonts w:ascii="Verdana" w:hAnsi="Verdana"/>
          <w:sz w:val="16"/>
          <w:szCs w:val="16"/>
          <w:lang w:val="es-MX"/>
        </w:rPr>
        <w:t xml:space="preserve">  </w:t>
      </w:r>
    </w:p>
    <w:p w:rsidR="00F249DD" w:rsidRPr="00803C8C" w:rsidRDefault="00F249DD" w:rsidP="00803C8C">
      <w:pPr>
        <w:jc w:val="both"/>
        <w:rPr>
          <w:rFonts w:ascii="Verdana" w:hAnsi="Verdana"/>
          <w:lang w:val="es-MX"/>
        </w:rPr>
      </w:pPr>
    </w:p>
    <w:p w:rsidR="00F249DD" w:rsidRPr="007325F3" w:rsidRDefault="00F249DD" w:rsidP="00120F89">
      <w:pPr>
        <w:numPr>
          <w:ilvl w:val="0"/>
          <w:numId w:val="3"/>
        </w:numPr>
        <w:ind w:left="0" w:firstLine="0"/>
        <w:jc w:val="both"/>
        <w:rPr>
          <w:rFonts w:ascii="Verdana" w:hAnsi="Verdana"/>
          <w:sz w:val="20"/>
          <w:szCs w:val="20"/>
          <w:lang w:val="es-CR"/>
        </w:rPr>
      </w:pPr>
      <w:r w:rsidRPr="007325F3">
        <w:rPr>
          <w:rFonts w:ascii="Verdana" w:hAnsi="Verdana"/>
          <w:sz w:val="20"/>
          <w:szCs w:val="20"/>
          <w:lang w:val="es-MX"/>
        </w:rPr>
        <w:t xml:space="preserve">El 15 de diciembre de 2000 el señor Mejía Idrovo solicitó al Comandante General de la Fuerza Terrestre y Presidente del Consejo de </w:t>
      </w:r>
      <w:r>
        <w:rPr>
          <w:rFonts w:ascii="Verdana" w:hAnsi="Verdana"/>
          <w:sz w:val="20"/>
          <w:szCs w:val="20"/>
          <w:lang w:val="es-MX"/>
        </w:rPr>
        <w:t xml:space="preserve">Oficiales </w:t>
      </w:r>
      <w:r w:rsidRPr="007325F3">
        <w:rPr>
          <w:rFonts w:ascii="Verdana" w:hAnsi="Verdana"/>
          <w:sz w:val="20"/>
          <w:szCs w:val="20"/>
          <w:lang w:val="es-MX"/>
        </w:rPr>
        <w:t>Generales que reconsideraran su decisión de negarle el ascenso al grado, pidiendo aclaración de las razones y motivos</w:t>
      </w:r>
      <w:r w:rsidRPr="007325F3">
        <w:rPr>
          <w:rStyle w:val="Smbolodenotaalpie"/>
          <w:lang w:val="es-MX"/>
        </w:rPr>
        <w:footnoteReference w:id="34"/>
      </w:r>
      <w:r w:rsidRPr="007325F3">
        <w:rPr>
          <w:rFonts w:ascii="Verdana" w:hAnsi="Verdana"/>
          <w:sz w:val="20"/>
          <w:szCs w:val="20"/>
          <w:lang w:val="es-MX"/>
        </w:rPr>
        <w:t>.  El 26 de diciembre de 2000</w:t>
      </w:r>
      <w:r w:rsidRPr="007325F3">
        <w:rPr>
          <w:rFonts w:ascii="Verdana" w:hAnsi="Verdana"/>
          <w:sz w:val="20"/>
          <w:szCs w:val="20"/>
          <w:lang w:val="es-CR"/>
        </w:rPr>
        <w:t xml:space="preserve"> el señor Mejía Idrovo recibió el memorando N-251-JEMFT </w:t>
      </w:r>
      <w:r w:rsidRPr="007325F3">
        <w:rPr>
          <w:rFonts w:ascii="Verdana" w:hAnsi="Verdana"/>
          <w:sz w:val="20"/>
          <w:szCs w:val="20"/>
          <w:lang w:val="es-MX"/>
        </w:rPr>
        <w:t xml:space="preserve">del Consejo de </w:t>
      </w:r>
      <w:r>
        <w:rPr>
          <w:rFonts w:ascii="Verdana" w:hAnsi="Verdana"/>
          <w:sz w:val="20"/>
          <w:szCs w:val="20"/>
          <w:lang w:val="es-MX"/>
        </w:rPr>
        <w:t xml:space="preserve">Oficiales </w:t>
      </w:r>
      <w:r w:rsidRPr="007325F3">
        <w:rPr>
          <w:rFonts w:ascii="Verdana" w:hAnsi="Verdana"/>
          <w:sz w:val="20"/>
          <w:szCs w:val="20"/>
          <w:lang w:val="es-MX"/>
        </w:rPr>
        <w:t xml:space="preserve">Generales, mediante el cual se le informó </w:t>
      </w:r>
      <w:r w:rsidRPr="007325F3">
        <w:rPr>
          <w:rFonts w:ascii="Verdana" w:hAnsi="Verdana"/>
          <w:sz w:val="20"/>
          <w:szCs w:val="20"/>
          <w:lang w:val="es-CR"/>
        </w:rPr>
        <w:t xml:space="preserve">que “[e]n atención a su solicitud, </w:t>
      </w:r>
      <w:r>
        <w:rPr>
          <w:rFonts w:ascii="Verdana" w:hAnsi="Verdana"/>
          <w:sz w:val="20"/>
          <w:szCs w:val="20"/>
          <w:lang w:val="es-CR"/>
        </w:rPr>
        <w:t>[…]</w:t>
      </w:r>
      <w:r w:rsidRPr="007325F3">
        <w:rPr>
          <w:rFonts w:ascii="Verdana" w:hAnsi="Verdana"/>
          <w:sz w:val="20"/>
          <w:szCs w:val="20"/>
          <w:lang w:val="es-CR"/>
        </w:rPr>
        <w:t xml:space="preserve"> ha[ce] conocer a usted, señor Coronel, que el Consejo de</w:t>
      </w:r>
      <w:r>
        <w:rPr>
          <w:rFonts w:ascii="Verdana" w:hAnsi="Verdana"/>
          <w:sz w:val="20"/>
          <w:szCs w:val="20"/>
          <w:lang w:val="es-CR"/>
        </w:rPr>
        <w:t xml:space="preserve"> Oficiales</w:t>
      </w:r>
      <w:r w:rsidRPr="007325F3">
        <w:rPr>
          <w:rFonts w:ascii="Verdana" w:hAnsi="Verdana"/>
          <w:sz w:val="20"/>
          <w:szCs w:val="20"/>
          <w:lang w:val="es-CR"/>
        </w:rPr>
        <w:t xml:space="preserve"> Generales de la Fuerza Terrestre, en sesión llevada a cabo el 26 de diciembre del 2000, resolvió ratificar su pronunciamiento inicial y consideró NO FAVORABLE su ascenso al inmediato grado superior”</w:t>
      </w:r>
      <w:r w:rsidRPr="007325F3">
        <w:rPr>
          <w:rStyle w:val="Smbolodenotaalpie"/>
          <w:lang w:val="es-MX"/>
        </w:rPr>
        <w:footnoteReference w:id="35"/>
      </w:r>
      <w:r w:rsidRPr="007325F3">
        <w:rPr>
          <w:rFonts w:ascii="Verdana" w:hAnsi="Verdana"/>
          <w:sz w:val="20"/>
          <w:szCs w:val="20"/>
          <w:lang w:val="es-MX"/>
        </w:rPr>
        <w:t xml:space="preserve">.  </w:t>
      </w:r>
    </w:p>
    <w:p w:rsidR="00F249DD" w:rsidRPr="007325F3" w:rsidRDefault="00F249DD" w:rsidP="00803C8C">
      <w:pPr>
        <w:jc w:val="both"/>
        <w:rPr>
          <w:rFonts w:ascii="Verdana" w:hAnsi="Verdana"/>
          <w:b/>
          <w:bCs/>
          <w:sz w:val="20"/>
          <w:szCs w:val="20"/>
          <w:lang w:val="es-MX"/>
        </w:rPr>
      </w:pPr>
    </w:p>
    <w:p w:rsidR="00F249DD" w:rsidRPr="007325F3" w:rsidRDefault="00F249DD" w:rsidP="00BD79C8">
      <w:pPr>
        <w:numPr>
          <w:ilvl w:val="0"/>
          <w:numId w:val="3"/>
        </w:numPr>
        <w:ind w:left="0" w:firstLine="0"/>
        <w:jc w:val="both"/>
        <w:rPr>
          <w:rFonts w:ascii="Verdana" w:hAnsi="Verdana"/>
          <w:b/>
          <w:bCs/>
          <w:sz w:val="20"/>
          <w:szCs w:val="20"/>
          <w:lang w:val="es-MX"/>
        </w:rPr>
      </w:pPr>
      <w:r w:rsidRPr="007325F3">
        <w:rPr>
          <w:rFonts w:ascii="Verdana" w:hAnsi="Verdana"/>
          <w:sz w:val="20"/>
          <w:szCs w:val="20"/>
          <w:lang w:val="es-MX"/>
        </w:rPr>
        <w:t>El 30 de enero de 2001 el Presidente</w:t>
      </w:r>
      <w:r>
        <w:rPr>
          <w:rFonts w:ascii="Verdana" w:hAnsi="Verdana"/>
          <w:sz w:val="20"/>
          <w:szCs w:val="20"/>
          <w:lang w:val="es-MX"/>
        </w:rPr>
        <w:t xml:space="preserve"> </w:t>
      </w:r>
      <w:r w:rsidRPr="00FC3247">
        <w:rPr>
          <w:rFonts w:ascii="Verdana" w:hAnsi="Verdana"/>
          <w:sz w:val="20"/>
          <w:szCs w:val="20"/>
          <w:lang w:val="es-MX"/>
        </w:rPr>
        <w:t>Constitucional de la República del Ecuador</w:t>
      </w:r>
      <w:r w:rsidRPr="007325F3">
        <w:rPr>
          <w:rFonts w:ascii="Verdana" w:hAnsi="Verdana"/>
          <w:sz w:val="20"/>
          <w:szCs w:val="20"/>
          <w:lang w:val="es-MX"/>
        </w:rPr>
        <w:t xml:space="preserve"> expidió el Decreto Ejecutivo No.</w:t>
      </w:r>
      <w:r>
        <w:rPr>
          <w:rFonts w:ascii="Verdana" w:hAnsi="Verdana"/>
          <w:sz w:val="20"/>
          <w:szCs w:val="20"/>
          <w:lang w:val="es-MX"/>
        </w:rPr>
        <w:t xml:space="preserve"> 1185 </w:t>
      </w:r>
      <w:r w:rsidRPr="00FC3247">
        <w:rPr>
          <w:rFonts w:ascii="Verdana" w:hAnsi="Verdana"/>
          <w:sz w:val="20"/>
          <w:szCs w:val="20"/>
          <w:lang w:val="es-MX"/>
        </w:rPr>
        <w:t xml:space="preserve">en el </w:t>
      </w:r>
      <w:r>
        <w:rPr>
          <w:rFonts w:ascii="Verdana" w:hAnsi="Verdana"/>
          <w:sz w:val="20"/>
          <w:szCs w:val="20"/>
          <w:lang w:val="es-MX"/>
        </w:rPr>
        <w:t>cual se establece</w:t>
      </w:r>
      <w:r w:rsidRPr="00FC3247">
        <w:rPr>
          <w:rFonts w:ascii="Verdana" w:hAnsi="Verdana"/>
          <w:sz w:val="20"/>
          <w:szCs w:val="20"/>
          <w:lang w:val="es-MX"/>
        </w:rPr>
        <w:t xml:space="preserve"> que</w:t>
      </w:r>
      <w:r w:rsidRPr="007325F3">
        <w:rPr>
          <w:rFonts w:ascii="Verdana" w:hAnsi="Verdana"/>
          <w:sz w:val="20"/>
          <w:szCs w:val="20"/>
          <w:lang w:val="es-MX"/>
        </w:rPr>
        <w:t xml:space="preserve"> el señor Mejía Idrovo “dejar</w:t>
      </w:r>
      <w:r>
        <w:rPr>
          <w:rFonts w:ascii="Verdana" w:hAnsi="Verdana"/>
          <w:sz w:val="20"/>
          <w:szCs w:val="20"/>
          <w:lang w:val="es-MX"/>
        </w:rPr>
        <w:t>á</w:t>
      </w:r>
      <w:r w:rsidRPr="007325F3">
        <w:rPr>
          <w:rFonts w:ascii="Verdana" w:hAnsi="Verdana"/>
          <w:sz w:val="20"/>
          <w:szCs w:val="20"/>
          <w:lang w:val="es-MX"/>
        </w:rPr>
        <w:t xml:space="preserve"> de constar en la Fuerza Terrestre, a partir del 15 de enero de 2001”</w:t>
      </w:r>
      <w:r w:rsidRPr="007325F3">
        <w:rPr>
          <w:rStyle w:val="Smbolodenotaalpie"/>
          <w:lang w:val="es-MX"/>
        </w:rPr>
        <w:footnoteReference w:id="36"/>
      </w:r>
      <w:r>
        <w:rPr>
          <w:rFonts w:ascii="Verdana" w:hAnsi="Verdana"/>
          <w:sz w:val="20"/>
          <w:szCs w:val="20"/>
          <w:lang w:val="es-MX"/>
        </w:rPr>
        <w:t xml:space="preserve">.  </w:t>
      </w:r>
      <w:r w:rsidRPr="007325F3">
        <w:rPr>
          <w:rFonts w:ascii="Verdana" w:hAnsi="Verdana"/>
          <w:sz w:val="20"/>
          <w:szCs w:val="20"/>
          <w:lang w:val="es-MX"/>
        </w:rPr>
        <w:t xml:space="preserve">El 18 de julio de 2001 a solicitud del Ministro de Defensa Nacional, el Presidente expidió el Decreto Ejecutivo No. 1680, mediante el </w:t>
      </w:r>
      <w:r w:rsidRPr="007325F3">
        <w:rPr>
          <w:rFonts w:ascii="Verdana" w:hAnsi="Verdana"/>
          <w:sz w:val="20"/>
          <w:szCs w:val="20"/>
          <w:lang w:val="es-MX"/>
        </w:rPr>
        <w:lastRenderedPageBreak/>
        <w:t xml:space="preserve">cual dio de baja al señor Mejía Idrovo, según el artículo </w:t>
      </w:r>
      <w:r w:rsidRPr="000E08CA">
        <w:rPr>
          <w:rFonts w:ascii="Verdana" w:hAnsi="Verdana"/>
          <w:sz w:val="20"/>
          <w:szCs w:val="20"/>
          <w:lang w:val="es-MX"/>
        </w:rPr>
        <w:t>76 literal j</w:t>
      </w:r>
      <w:r w:rsidRPr="000E08CA">
        <w:rPr>
          <w:rStyle w:val="Smbolodenotaalpie"/>
          <w:lang w:val="es-MX"/>
        </w:rPr>
        <w:footnoteReference w:id="37"/>
      </w:r>
      <w:r w:rsidRPr="007325F3">
        <w:rPr>
          <w:rFonts w:ascii="Verdana" w:hAnsi="Verdana"/>
          <w:sz w:val="20"/>
          <w:szCs w:val="20"/>
          <w:lang w:val="es-MX"/>
        </w:rPr>
        <w:t xml:space="preserve"> de la Ley de Personal de las Fuerzas Armadas</w:t>
      </w:r>
      <w:r w:rsidRPr="007325F3">
        <w:rPr>
          <w:rStyle w:val="Smbolodenotaalpie"/>
          <w:lang w:val="es-MX"/>
        </w:rPr>
        <w:footnoteReference w:id="38"/>
      </w:r>
      <w:r w:rsidRPr="007325F3">
        <w:rPr>
          <w:rFonts w:ascii="Verdana" w:hAnsi="Verdana"/>
          <w:sz w:val="20"/>
          <w:szCs w:val="20"/>
          <w:lang w:val="es-MX"/>
        </w:rPr>
        <w:t xml:space="preserve">.  </w:t>
      </w:r>
    </w:p>
    <w:p w:rsidR="00F249DD" w:rsidRPr="007325F3" w:rsidRDefault="00F249DD" w:rsidP="00803C8C">
      <w:pPr>
        <w:ind w:left="720" w:right="738" w:hanging="720"/>
        <w:rPr>
          <w:rFonts w:ascii="Verdana" w:hAnsi="Verdana"/>
          <w:i/>
          <w:iCs/>
          <w:sz w:val="20"/>
          <w:szCs w:val="20"/>
          <w:u w:val="single"/>
          <w:lang w:val="es-MX"/>
        </w:rPr>
      </w:pPr>
    </w:p>
    <w:p w:rsidR="00F249DD" w:rsidRPr="007325F3" w:rsidRDefault="00F249DD" w:rsidP="00803C8C">
      <w:pPr>
        <w:ind w:firstLine="720"/>
        <w:jc w:val="both"/>
        <w:rPr>
          <w:rFonts w:ascii="Verdana" w:hAnsi="Verdana"/>
          <w:i/>
          <w:iCs/>
          <w:sz w:val="20"/>
          <w:szCs w:val="20"/>
          <w:lang w:val="es-MX"/>
        </w:rPr>
      </w:pPr>
      <w:r w:rsidRPr="007325F3">
        <w:rPr>
          <w:rFonts w:ascii="Verdana" w:hAnsi="Verdana"/>
          <w:i/>
          <w:iCs/>
          <w:sz w:val="20"/>
          <w:szCs w:val="20"/>
          <w:lang w:val="es-MX"/>
        </w:rPr>
        <w:t>b) Recursos de Amparo ante el Tribunal Contencioso Administrativo</w:t>
      </w:r>
    </w:p>
    <w:p w:rsidR="00F249DD" w:rsidRPr="007325F3" w:rsidRDefault="00F249DD" w:rsidP="00803C8C">
      <w:pPr>
        <w:jc w:val="both"/>
        <w:rPr>
          <w:rFonts w:ascii="Verdana" w:hAnsi="Verdana"/>
          <w:i/>
          <w:iCs/>
          <w:sz w:val="20"/>
          <w:szCs w:val="20"/>
          <w:highlight w:val="yellow"/>
          <w:lang w:val="es-MX"/>
        </w:rPr>
      </w:pPr>
    </w:p>
    <w:p w:rsidR="00F249DD" w:rsidRDefault="00F249DD" w:rsidP="00803C8C">
      <w:pPr>
        <w:numPr>
          <w:ilvl w:val="0"/>
          <w:numId w:val="3"/>
        </w:numPr>
        <w:ind w:left="0" w:firstLine="0"/>
        <w:jc w:val="both"/>
        <w:rPr>
          <w:rFonts w:ascii="Verdana" w:hAnsi="Verdana"/>
          <w:sz w:val="20"/>
          <w:szCs w:val="20"/>
          <w:lang w:val="es-MX"/>
        </w:rPr>
      </w:pPr>
      <w:r w:rsidRPr="007325F3">
        <w:rPr>
          <w:rFonts w:ascii="Verdana" w:hAnsi="Verdana"/>
          <w:sz w:val="20"/>
          <w:szCs w:val="20"/>
          <w:lang w:val="es-MX"/>
        </w:rPr>
        <w:t>El señor Mejía Idrovo interpuso ante el Tribunal Contencioso Administrativo de Quito un recurso de amparo, mediante el cual solicitó que se dejara sin efecto los Decretos No. 1185 y  No. 1680 de disponibilidad y baja</w:t>
      </w:r>
      <w:r>
        <w:rPr>
          <w:rStyle w:val="Refdenotaalpie"/>
          <w:rFonts w:ascii="Verdana" w:hAnsi="Verdana"/>
          <w:sz w:val="20"/>
          <w:szCs w:val="20"/>
          <w:lang w:val="es-MX"/>
        </w:rPr>
        <w:footnoteReference w:id="39"/>
      </w:r>
      <w:r w:rsidRPr="007325F3">
        <w:rPr>
          <w:rFonts w:ascii="Verdana" w:hAnsi="Verdana"/>
          <w:sz w:val="20"/>
          <w:szCs w:val="20"/>
          <w:lang w:val="es-MX"/>
        </w:rPr>
        <w:t xml:space="preserve">. La Segunda Sala del Tribunal Contencioso Administrativo conoció </w:t>
      </w:r>
      <w:r>
        <w:rPr>
          <w:rFonts w:ascii="Verdana" w:hAnsi="Verdana"/>
          <w:sz w:val="20"/>
          <w:szCs w:val="20"/>
          <w:lang w:val="es-MX"/>
        </w:rPr>
        <w:t xml:space="preserve">de </w:t>
      </w:r>
      <w:r w:rsidRPr="007325F3">
        <w:rPr>
          <w:rFonts w:ascii="Verdana" w:hAnsi="Verdana"/>
          <w:sz w:val="20"/>
          <w:szCs w:val="20"/>
          <w:lang w:val="es-MX"/>
        </w:rPr>
        <w:t>la acción</w:t>
      </w:r>
      <w:r>
        <w:rPr>
          <w:rFonts w:ascii="Verdana" w:hAnsi="Verdana"/>
          <w:sz w:val="20"/>
          <w:szCs w:val="20"/>
          <w:lang w:val="es-MX"/>
        </w:rPr>
        <w:t xml:space="preserve"> y </w:t>
      </w:r>
      <w:r w:rsidRPr="007325F3">
        <w:rPr>
          <w:rFonts w:ascii="Verdana" w:hAnsi="Verdana"/>
          <w:sz w:val="20"/>
          <w:szCs w:val="20"/>
          <w:lang w:val="es-MX"/>
        </w:rPr>
        <w:t>el 28 de junio de 2001</w:t>
      </w:r>
      <w:r w:rsidRPr="007325F3">
        <w:rPr>
          <w:rFonts w:ascii="Verdana" w:hAnsi="Verdana"/>
          <w:sz w:val="20"/>
          <w:szCs w:val="20"/>
          <w:u w:val="single"/>
          <w:lang w:val="es-MX"/>
        </w:rPr>
        <w:t xml:space="preserve"> </w:t>
      </w:r>
      <w:r>
        <w:rPr>
          <w:rFonts w:ascii="Verdana" w:hAnsi="Verdana"/>
          <w:sz w:val="20"/>
          <w:szCs w:val="20"/>
          <w:lang w:val="es-MX"/>
        </w:rPr>
        <w:t>declaró</w:t>
      </w:r>
      <w:r w:rsidRPr="007325F3">
        <w:rPr>
          <w:rFonts w:ascii="Verdana" w:hAnsi="Verdana"/>
          <w:sz w:val="20"/>
          <w:szCs w:val="20"/>
          <w:lang w:val="es-MX"/>
        </w:rPr>
        <w:t xml:space="preserve"> la a</w:t>
      </w:r>
      <w:r>
        <w:rPr>
          <w:rFonts w:ascii="Verdana" w:hAnsi="Verdana"/>
          <w:sz w:val="20"/>
          <w:szCs w:val="20"/>
          <w:lang w:val="es-MX"/>
        </w:rPr>
        <w:t xml:space="preserve">cción de amparo inadmisible por </w:t>
      </w:r>
      <w:r w:rsidRPr="007325F3">
        <w:rPr>
          <w:rFonts w:ascii="Verdana" w:hAnsi="Verdana"/>
          <w:sz w:val="20"/>
          <w:szCs w:val="20"/>
          <w:lang w:val="es-MX"/>
        </w:rPr>
        <w:t>considera</w:t>
      </w:r>
      <w:r>
        <w:rPr>
          <w:rFonts w:ascii="Verdana" w:hAnsi="Verdana"/>
          <w:sz w:val="20"/>
          <w:szCs w:val="20"/>
          <w:lang w:val="es-MX"/>
        </w:rPr>
        <w:t xml:space="preserve">r que </w:t>
      </w:r>
      <w:r w:rsidRPr="007325F3">
        <w:rPr>
          <w:rFonts w:ascii="Verdana" w:hAnsi="Verdana"/>
          <w:sz w:val="20"/>
          <w:szCs w:val="20"/>
          <w:lang w:val="es-MX"/>
        </w:rPr>
        <w:t xml:space="preserve">la demanda </w:t>
      </w:r>
      <w:r>
        <w:rPr>
          <w:rFonts w:ascii="Verdana" w:hAnsi="Verdana"/>
          <w:sz w:val="20"/>
          <w:szCs w:val="20"/>
          <w:lang w:val="es-MX"/>
        </w:rPr>
        <w:t xml:space="preserve">era </w:t>
      </w:r>
      <w:r w:rsidRPr="007325F3">
        <w:rPr>
          <w:rFonts w:ascii="Verdana" w:hAnsi="Verdana"/>
          <w:sz w:val="20"/>
          <w:szCs w:val="20"/>
          <w:lang w:val="es-MX"/>
        </w:rPr>
        <w:t xml:space="preserve">incompleta al haberse recurrido únicamente los </w:t>
      </w:r>
      <w:r>
        <w:rPr>
          <w:rFonts w:ascii="Verdana" w:hAnsi="Verdana"/>
          <w:sz w:val="20"/>
          <w:szCs w:val="20"/>
          <w:lang w:val="es-MX"/>
        </w:rPr>
        <w:t>d</w:t>
      </w:r>
      <w:r w:rsidRPr="007325F3">
        <w:rPr>
          <w:rFonts w:ascii="Verdana" w:hAnsi="Verdana"/>
          <w:sz w:val="20"/>
          <w:szCs w:val="20"/>
          <w:lang w:val="es-MX"/>
        </w:rPr>
        <w:t xml:space="preserve">ecretos </w:t>
      </w:r>
      <w:r>
        <w:rPr>
          <w:rFonts w:ascii="Verdana" w:hAnsi="Verdana"/>
          <w:sz w:val="20"/>
          <w:szCs w:val="20"/>
          <w:lang w:val="es-MX"/>
        </w:rPr>
        <w:t>e</w:t>
      </w:r>
      <w:r w:rsidRPr="007325F3">
        <w:rPr>
          <w:rFonts w:ascii="Verdana" w:hAnsi="Verdana"/>
          <w:sz w:val="20"/>
          <w:szCs w:val="20"/>
          <w:lang w:val="es-MX"/>
        </w:rPr>
        <w:t xml:space="preserve">jecutivos y no demandar los actos ejecutados por el Consejo de </w:t>
      </w:r>
      <w:r>
        <w:rPr>
          <w:rFonts w:ascii="Verdana" w:hAnsi="Verdana"/>
          <w:sz w:val="20"/>
          <w:szCs w:val="20"/>
          <w:lang w:val="es-MX"/>
        </w:rPr>
        <w:t xml:space="preserve">Oficiales </w:t>
      </w:r>
      <w:r w:rsidRPr="007325F3">
        <w:rPr>
          <w:rFonts w:ascii="Verdana" w:hAnsi="Verdana"/>
          <w:sz w:val="20"/>
          <w:szCs w:val="20"/>
          <w:lang w:val="es-MX"/>
        </w:rPr>
        <w:t>Generales</w:t>
      </w:r>
      <w:r w:rsidRPr="007325F3">
        <w:rPr>
          <w:rStyle w:val="Refdenotaalpie"/>
          <w:rFonts w:ascii="Verdana" w:hAnsi="Verdana"/>
          <w:sz w:val="20"/>
          <w:szCs w:val="20"/>
          <w:lang w:val="es-MX"/>
        </w:rPr>
        <w:footnoteReference w:id="40"/>
      </w:r>
      <w:r w:rsidRPr="007325F3">
        <w:rPr>
          <w:rFonts w:ascii="Verdana" w:hAnsi="Verdana"/>
          <w:sz w:val="20"/>
          <w:szCs w:val="20"/>
          <w:lang w:val="es-MX"/>
        </w:rPr>
        <w:t xml:space="preserve">. </w:t>
      </w:r>
      <w:r w:rsidRPr="008D48E7">
        <w:rPr>
          <w:rFonts w:ascii="Verdana" w:hAnsi="Verdana"/>
          <w:sz w:val="20"/>
          <w:szCs w:val="20"/>
          <w:lang w:val="es-MX"/>
        </w:rPr>
        <w:t>El 9 de julio de 2001 el señor Mejía Idrovo apeló el fallo ante el Tribunal Constitucional</w:t>
      </w:r>
      <w:r w:rsidRPr="001733A5">
        <w:rPr>
          <w:rFonts w:ascii="Verdana" w:hAnsi="Verdana"/>
          <w:sz w:val="20"/>
          <w:szCs w:val="20"/>
          <w:lang w:val="es-MX"/>
        </w:rPr>
        <w:t xml:space="preserve">.  </w:t>
      </w:r>
      <w:r w:rsidRPr="00FC3247">
        <w:rPr>
          <w:rFonts w:ascii="Verdana" w:hAnsi="Verdana"/>
          <w:sz w:val="20"/>
          <w:szCs w:val="20"/>
          <w:lang w:val="es-MX"/>
        </w:rPr>
        <w:t>El 19 de octubre de 2001</w:t>
      </w:r>
      <w:r w:rsidRPr="001733A5">
        <w:rPr>
          <w:rFonts w:ascii="Verdana" w:hAnsi="Verdana"/>
          <w:sz w:val="20"/>
          <w:szCs w:val="20"/>
          <w:lang w:val="es-MX"/>
        </w:rPr>
        <w:t xml:space="preserve"> el Tribunal resolvió “confirmar la resolución venida en grado</w:t>
      </w:r>
      <w:r w:rsidRPr="007325F3">
        <w:rPr>
          <w:rFonts w:ascii="Verdana" w:hAnsi="Verdana"/>
          <w:sz w:val="20"/>
          <w:szCs w:val="20"/>
          <w:lang w:val="es-MX"/>
        </w:rPr>
        <w:t xml:space="preserve"> y por lo tanto, inadmitir la acción de amparo propuesta por el señor Coronel de Estado Mayor José Alfredo Mejía”, </w:t>
      </w:r>
      <w:r w:rsidRPr="00A402E2">
        <w:rPr>
          <w:rFonts w:ascii="Verdana" w:hAnsi="Verdana"/>
          <w:sz w:val="20"/>
          <w:szCs w:val="20"/>
          <w:lang w:val="es-MX"/>
        </w:rPr>
        <w:t xml:space="preserve">porque </w:t>
      </w:r>
      <w:r w:rsidRPr="007325F3">
        <w:rPr>
          <w:rFonts w:ascii="Verdana" w:hAnsi="Verdana"/>
          <w:sz w:val="20"/>
          <w:szCs w:val="20"/>
          <w:lang w:val="es-MX"/>
        </w:rPr>
        <w:t>el peticionario equivocó la vía legal para que el decreto ejecutivo sea suspendido en sus efectos</w:t>
      </w:r>
      <w:r w:rsidRPr="007325F3">
        <w:rPr>
          <w:rStyle w:val="Refdenotaalpie"/>
          <w:rFonts w:ascii="Verdana" w:hAnsi="Verdana"/>
          <w:sz w:val="20"/>
          <w:szCs w:val="20"/>
          <w:lang w:val="es-MX"/>
        </w:rPr>
        <w:footnoteReference w:id="41"/>
      </w:r>
      <w:r>
        <w:rPr>
          <w:rFonts w:ascii="Verdana" w:hAnsi="Verdana"/>
          <w:sz w:val="20"/>
          <w:szCs w:val="20"/>
          <w:lang w:val="es-MX"/>
        </w:rPr>
        <w:t>.</w:t>
      </w:r>
    </w:p>
    <w:p w:rsidR="00F249DD" w:rsidRPr="005E60E5" w:rsidRDefault="00F249DD" w:rsidP="00120F89">
      <w:pPr>
        <w:jc w:val="both"/>
        <w:rPr>
          <w:rFonts w:ascii="Verdana" w:hAnsi="Verdana"/>
          <w:sz w:val="20"/>
          <w:szCs w:val="20"/>
          <w:lang w:val="es-MX"/>
        </w:rPr>
      </w:pPr>
    </w:p>
    <w:p w:rsidR="00F249DD" w:rsidRPr="007325F3" w:rsidRDefault="00F249DD" w:rsidP="00803C8C">
      <w:pPr>
        <w:ind w:firstLine="720"/>
        <w:jc w:val="both"/>
        <w:rPr>
          <w:rFonts w:ascii="Verdana" w:hAnsi="Verdana"/>
          <w:i/>
          <w:iCs/>
          <w:sz w:val="20"/>
          <w:szCs w:val="20"/>
          <w:lang w:val="es-MX"/>
        </w:rPr>
      </w:pPr>
      <w:r w:rsidRPr="007325F3">
        <w:rPr>
          <w:rFonts w:ascii="Verdana" w:hAnsi="Verdana"/>
          <w:i/>
          <w:iCs/>
          <w:sz w:val="20"/>
          <w:szCs w:val="20"/>
          <w:lang w:val="es-MX"/>
        </w:rPr>
        <w:t xml:space="preserve">c) </w:t>
      </w:r>
      <w:r w:rsidRPr="007325F3">
        <w:rPr>
          <w:rFonts w:ascii="Verdana" w:hAnsi="Verdana"/>
          <w:i/>
          <w:iCs/>
          <w:sz w:val="20"/>
          <w:szCs w:val="20"/>
          <w:lang w:val="es-MX"/>
        </w:rPr>
        <w:tab/>
        <w:t>Procedimiento ante el Tribunal Constitucional por Acción de Inconstitucionalidad</w:t>
      </w:r>
    </w:p>
    <w:p w:rsidR="00F249DD" w:rsidRPr="007325F3" w:rsidRDefault="00F249DD" w:rsidP="00120F89">
      <w:pPr>
        <w:jc w:val="both"/>
        <w:rPr>
          <w:rFonts w:ascii="Verdana" w:hAnsi="Verdana"/>
          <w:sz w:val="20"/>
          <w:szCs w:val="20"/>
          <w:lang w:val="es-MX"/>
        </w:rPr>
      </w:pPr>
    </w:p>
    <w:p w:rsidR="00F249DD" w:rsidRPr="00C855E7" w:rsidRDefault="00F249DD" w:rsidP="00BD79C8">
      <w:pPr>
        <w:numPr>
          <w:ilvl w:val="0"/>
          <w:numId w:val="3"/>
        </w:numPr>
        <w:ind w:left="0" w:firstLine="0"/>
        <w:jc w:val="both"/>
        <w:rPr>
          <w:rFonts w:ascii="Verdana" w:hAnsi="Verdana"/>
          <w:sz w:val="20"/>
          <w:szCs w:val="20"/>
          <w:lang w:val="es-MX"/>
        </w:rPr>
      </w:pPr>
      <w:r w:rsidRPr="00C855E7">
        <w:rPr>
          <w:rFonts w:ascii="Verdana" w:hAnsi="Verdana"/>
          <w:sz w:val="20"/>
          <w:szCs w:val="20"/>
          <w:lang w:val="es-MX"/>
        </w:rPr>
        <w:t xml:space="preserve">El </w:t>
      </w:r>
      <w:r w:rsidRPr="00FC3247">
        <w:rPr>
          <w:rFonts w:ascii="Verdana" w:hAnsi="Verdana"/>
          <w:sz w:val="20"/>
          <w:szCs w:val="20"/>
          <w:lang w:val="es-MX"/>
        </w:rPr>
        <w:t>4 de octubre de 2001</w:t>
      </w:r>
      <w:r w:rsidRPr="006D0813">
        <w:rPr>
          <w:rFonts w:ascii="Verdana" w:hAnsi="Verdana"/>
          <w:sz w:val="20"/>
          <w:szCs w:val="20"/>
          <w:lang w:val="es-MX"/>
        </w:rPr>
        <w:t xml:space="preserve"> el</w:t>
      </w:r>
      <w:r w:rsidRPr="00C855E7">
        <w:rPr>
          <w:rFonts w:ascii="Verdana" w:hAnsi="Verdana"/>
          <w:sz w:val="20"/>
          <w:szCs w:val="20"/>
          <w:lang w:val="es-MX"/>
        </w:rPr>
        <w:t xml:space="preserve"> señor Mejía Idrovo presentó un recurso de inconstitucionalidad ante el Tribunal Constitucional con </w:t>
      </w:r>
      <w:r>
        <w:rPr>
          <w:rFonts w:ascii="Verdana" w:hAnsi="Verdana"/>
          <w:sz w:val="20"/>
          <w:szCs w:val="20"/>
          <w:lang w:val="es-MX"/>
        </w:rPr>
        <w:t xml:space="preserve">el Informe de Procedibilidad </w:t>
      </w:r>
      <w:r w:rsidRPr="00C855E7">
        <w:rPr>
          <w:rFonts w:ascii="Verdana" w:hAnsi="Verdana"/>
          <w:sz w:val="20"/>
          <w:szCs w:val="20"/>
          <w:lang w:val="es-MX"/>
        </w:rPr>
        <w:t>de la Defensoría del Pueblo</w:t>
      </w:r>
      <w:r w:rsidRPr="00C855E7">
        <w:rPr>
          <w:rStyle w:val="Refdenotaalpie"/>
          <w:rFonts w:ascii="Verdana" w:hAnsi="Verdana"/>
          <w:sz w:val="20"/>
          <w:szCs w:val="20"/>
          <w:lang w:val="es-MX"/>
        </w:rPr>
        <w:footnoteReference w:id="42"/>
      </w:r>
      <w:r w:rsidRPr="00C855E7">
        <w:rPr>
          <w:rFonts w:ascii="Verdana" w:hAnsi="Verdana"/>
          <w:sz w:val="20"/>
          <w:szCs w:val="20"/>
          <w:lang w:val="es-MX"/>
        </w:rPr>
        <w:t xml:space="preserve">, mediante el cual solicitó, </w:t>
      </w:r>
      <w:r w:rsidRPr="00C855E7">
        <w:rPr>
          <w:rFonts w:ascii="Verdana" w:hAnsi="Verdana"/>
          <w:i/>
          <w:sz w:val="20"/>
          <w:szCs w:val="20"/>
          <w:lang w:val="es-MX"/>
        </w:rPr>
        <w:t>inter alia,</w:t>
      </w:r>
      <w:r w:rsidRPr="00C855E7">
        <w:rPr>
          <w:rFonts w:ascii="Verdana" w:hAnsi="Verdana"/>
          <w:sz w:val="20"/>
          <w:szCs w:val="20"/>
          <w:lang w:val="es-MX"/>
        </w:rPr>
        <w:t xml:space="preserve"> que se declarara la inconstitucionalidad e ilegalidad de los Decretos Ejecutivos de disponibilidad y baja (Nros. 1185 y 1680), se ordenara su reincorporación a las Fuerzas Armadas Permanentes y su ascenso a General de Brigada con fecha 21 de diciembre de 2000, fecha desde la cual gozaría de todos los honores, remuneraciones y derechos</w:t>
      </w:r>
      <w:r>
        <w:rPr>
          <w:rFonts w:ascii="Verdana" w:hAnsi="Verdana"/>
          <w:sz w:val="20"/>
          <w:szCs w:val="20"/>
          <w:lang w:val="es-MX"/>
        </w:rPr>
        <w:t xml:space="preserve"> reglamentarios</w:t>
      </w:r>
      <w:r w:rsidRPr="00C855E7">
        <w:rPr>
          <w:rFonts w:ascii="Verdana" w:hAnsi="Verdana"/>
          <w:sz w:val="20"/>
          <w:szCs w:val="20"/>
          <w:lang w:val="es-MX"/>
        </w:rPr>
        <w:t xml:space="preserve"> establecidos en la legislación vigente, a fin de que se le repare el daño que se le causó con las violaciones constitucionales, legales y reglamentarias.  En dicho recurso alegó que el inciso j</w:t>
      </w:r>
      <w:r w:rsidRPr="00D30075">
        <w:rPr>
          <w:rFonts w:ascii="Verdana" w:hAnsi="Verdana"/>
          <w:sz w:val="20"/>
          <w:szCs w:val="20"/>
          <w:lang w:val="es-MX"/>
        </w:rPr>
        <w:t>)</w:t>
      </w:r>
      <w:r w:rsidRPr="00C855E7">
        <w:rPr>
          <w:rFonts w:ascii="Verdana" w:hAnsi="Verdana"/>
          <w:sz w:val="20"/>
          <w:szCs w:val="20"/>
          <w:lang w:val="es-MX"/>
        </w:rPr>
        <w:t xml:space="preserve"> del artículo 76 de la Ley de Personal de las Fuerzas Armadas se utilizó “arbitrariamente”. Finalmente, alegó que los trámites violaron </w:t>
      </w:r>
      <w:r w:rsidRPr="00D30075">
        <w:rPr>
          <w:rFonts w:ascii="Verdana" w:hAnsi="Verdana"/>
          <w:sz w:val="20"/>
          <w:szCs w:val="20"/>
          <w:lang w:val="es-MX"/>
        </w:rPr>
        <w:t xml:space="preserve">las </w:t>
      </w:r>
      <w:r w:rsidRPr="00C855E7">
        <w:rPr>
          <w:rFonts w:ascii="Verdana" w:hAnsi="Verdana"/>
          <w:sz w:val="20"/>
          <w:szCs w:val="20"/>
          <w:lang w:val="es-MX"/>
        </w:rPr>
        <w:t xml:space="preserve">garantías dispuestas en los artículos 3.2, 6, 23.3, 23.26, 23.27, 24.12 y 24.13, 35 y 186 de la Constitución Política de la República del Ecuador; los artículos 76, 91, 92, 101. 105, 106, 127, </w:t>
      </w:r>
      <w:r>
        <w:rPr>
          <w:rFonts w:ascii="Verdana" w:hAnsi="Verdana"/>
          <w:sz w:val="20"/>
          <w:szCs w:val="20"/>
          <w:lang w:val="es-MX"/>
        </w:rPr>
        <w:t xml:space="preserve">y </w:t>
      </w:r>
      <w:r w:rsidRPr="00C855E7">
        <w:rPr>
          <w:rFonts w:ascii="Verdana" w:hAnsi="Verdana"/>
          <w:sz w:val="20"/>
          <w:szCs w:val="20"/>
          <w:lang w:val="es-MX"/>
        </w:rPr>
        <w:t>128 de la Ley de Personal de</w:t>
      </w:r>
      <w:r>
        <w:rPr>
          <w:rFonts w:ascii="Verdana" w:hAnsi="Verdana"/>
          <w:sz w:val="20"/>
          <w:szCs w:val="20"/>
          <w:lang w:val="es-MX"/>
        </w:rPr>
        <w:t xml:space="preserve"> l</w:t>
      </w:r>
      <w:r w:rsidRPr="00C855E7">
        <w:rPr>
          <w:rFonts w:ascii="Verdana" w:hAnsi="Verdana"/>
          <w:sz w:val="20"/>
          <w:szCs w:val="20"/>
          <w:lang w:val="es-MX"/>
        </w:rPr>
        <w:t>as Fuerzas Armadas y el artículo 37 y el capítulo X del Reglamento del Consejo de Oficiales Generales de las Fuerzas Armadas</w:t>
      </w:r>
      <w:r w:rsidRPr="00C855E7">
        <w:rPr>
          <w:rStyle w:val="Refdenotaalpie"/>
          <w:rFonts w:ascii="Verdana" w:hAnsi="Verdana"/>
          <w:sz w:val="20"/>
          <w:szCs w:val="20"/>
          <w:lang w:val="es-MX"/>
        </w:rPr>
        <w:footnoteReference w:id="43"/>
      </w:r>
      <w:r w:rsidRPr="00C855E7">
        <w:rPr>
          <w:rFonts w:ascii="Verdana" w:hAnsi="Verdana"/>
          <w:sz w:val="20"/>
          <w:szCs w:val="20"/>
          <w:lang w:val="es-MX"/>
        </w:rPr>
        <w:t>.</w:t>
      </w:r>
    </w:p>
    <w:p w:rsidR="00F249DD" w:rsidRPr="007325F3" w:rsidRDefault="00F249DD" w:rsidP="00120F89">
      <w:pPr>
        <w:jc w:val="both"/>
        <w:rPr>
          <w:rFonts w:ascii="Verdana" w:hAnsi="Verdana"/>
          <w:sz w:val="20"/>
          <w:szCs w:val="20"/>
          <w:lang w:val="es-MX"/>
        </w:rPr>
      </w:pPr>
    </w:p>
    <w:p w:rsidR="00F249DD" w:rsidRDefault="00F249DD" w:rsidP="00120F89">
      <w:pPr>
        <w:numPr>
          <w:ilvl w:val="0"/>
          <w:numId w:val="3"/>
        </w:numPr>
        <w:ind w:left="0" w:firstLine="0"/>
        <w:jc w:val="both"/>
        <w:rPr>
          <w:rFonts w:ascii="Verdana" w:hAnsi="Verdana"/>
          <w:sz w:val="20"/>
          <w:szCs w:val="20"/>
          <w:lang w:val="es-MX"/>
        </w:rPr>
      </w:pPr>
      <w:r w:rsidRPr="007325F3">
        <w:rPr>
          <w:rFonts w:ascii="Verdana" w:hAnsi="Verdana"/>
          <w:sz w:val="20"/>
          <w:szCs w:val="20"/>
          <w:lang w:val="es-MX"/>
        </w:rPr>
        <w:t xml:space="preserve">El 12 de marzo del 2002 </w:t>
      </w:r>
      <w:r>
        <w:rPr>
          <w:rFonts w:ascii="Verdana" w:hAnsi="Verdana"/>
          <w:sz w:val="20"/>
          <w:szCs w:val="20"/>
          <w:lang w:val="es-MX"/>
        </w:rPr>
        <w:t>la</w:t>
      </w:r>
      <w:r w:rsidRPr="007325F3">
        <w:rPr>
          <w:rFonts w:ascii="Verdana" w:hAnsi="Verdana"/>
          <w:sz w:val="20"/>
          <w:szCs w:val="20"/>
          <w:lang w:val="es-MX"/>
        </w:rPr>
        <w:t xml:space="preserve"> Sala Plena</w:t>
      </w:r>
      <w:r>
        <w:rPr>
          <w:rFonts w:ascii="Verdana" w:hAnsi="Verdana"/>
          <w:sz w:val="20"/>
          <w:szCs w:val="20"/>
          <w:lang w:val="es-MX"/>
        </w:rPr>
        <w:t xml:space="preserve"> del Tribunal Constitucional </w:t>
      </w:r>
      <w:r w:rsidRPr="007325F3">
        <w:rPr>
          <w:rFonts w:ascii="Verdana" w:hAnsi="Verdana"/>
          <w:sz w:val="20"/>
          <w:szCs w:val="20"/>
          <w:lang w:val="es-MX"/>
        </w:rPr>
        <w:t xml:space="preserve">admitió la demanda y declaró </w:t>
      </w:r>
      <w:r>
        <w:rPr>
          <w:rFonts w:ascii="Verdana" w:hAnsi="Verdana"/>
          <w:sz w:val="20"/>
          <w:szCs w:val="20"/>
          <w:lang w:val="es-MX"/>
        </w:rPr>
        <w:t xml:space="preserve">en lo conducente: </w:t>
      </w:r>
    </w:p>
    <w:p w:rsidR="00F249DD" w:rsidRDefault="00F249DD" w:rsidP="00120F89">
      <w:pPr>
        <w:jc w:val="both"/>
        <w:rPr>
          <w:rFonts w:ascii="Verdana" w:hAnsi="Verdana"/>
          <w:sz w:val="20"/>
          <w:szCs w:val="20"/>
          <w:lang w:val="es-MX"/>
        </w:rPr>
      </w:pPr>
    </w:p>
    <w:p w:rsidR="00F249DD" w:rsidRPr="007325F3" w:rsidRDefault="00F249DD" w:rsidP="00A72FB3">
      <w:pPr>
        <w:pStyle w:val="Textonotapie"/>
        <w:ind w:left="720" w:right="9"/>
        <w:jc w:val="both"/>
        <w:rPr>
          <w:rFonts w:ascii="Verdana" w:hAnsi="Verdana"/>
          <w:sz w:val="16"/>
          <w:szCs w:val="16"/>
          <w:lang w:val="es-MX"/>
        </w:rPr>
      </w:pPr>
      <w:r w:rsidRPr="007325F3">
        <w:rPr>
          <w:rFonts w:ascii="Verdana" w:hAnsi="Verdana"/>
          <w:sz w:val="16"/>
          <w:szCs w:val="16"/>
          <w:lang w:val="es-MX"/>
        </w:rPr>
        <w:t>1.  Declarar la inconstitucionalidad por el fondo de los Decretos Ejecutivos Nro. 1185 de 15 de enero del 2001 y 1680 de 18 de julio del 2001, publicados en la Orden General Nro.</w:t>
      </w:r>
      <w:r>
        <w:rPr>
          <w:rFonts w:ascii="Verdana" w:hAnsi="Verdana"/>
          <w:sz w:val="16"/>
          <w:szCs w:val="16"/>
          <w:lang w:val="es-MX"/>
        </w:rPr>
        <w:t xml:space="preserve"> 031 de 31 de enero de 2002 y en la Orden General Nro.</w:t>
      </w:r>
      <w:r w:rsidRPr="007325F3">
        <w:rPr>
          <w:rFonts w:ascii="Verdana" w:hAnsi="Verdana"/>
          <w:sz w:val="16"/>
          <w:szCs w:val="16"/>
          <w:lang w:val="es-MX"/>
        </w:rPr>
        <w:t xml:space="preserve"> 133 de 20 de julio del </w:t>
      </w:r>
      <w:r w:rsidRPr="00137A26">
        <w:rPr>
          <w:rFonts w:ascii="Verdana" w:hAnsi="Verdana"/>
          <w:sz w:val="16"/>
          <w:szCs w:val="16"/>
          <w:lang w:val="es-MX"/>
        </w:rPr>
        <w:t xml:space="preserve">2001; </w:t>
      </w:r>
    </w:p>
    <w:p w:rsidR="00F249DD" w:rsidRDefault="00F249DD" w:rsidP="00A72FB3">
      <w:pPr>
        <w:ind w:left="720"/>
        <w:jc w:val="both"/>
        <w:rPr>
          <w:rFonts w:ascii="Verdana" w:hAnsi="Verdana"/>
          <w:sz w:val="16"/>
          <w:szCs w:val="16"/>
          <w:lang w:val="es-MX"/>
        </w:rPr>
      </w:pPr>
    </w:p>
    <w:p w:rsidR="00F249DD" w:rsidRDefault="00F249DD" w:rsidP="00A72FB3">
      <w:pPr>
        <w:ind w:left="720"/>
        <w:jc w:val="both"/>
        <w:rPr>
          <w:rFonts w:ascii="Verdana" w:hAnsi="Verdana"/>
          <w:sz w:val="20"/>
          <w:szCs w:val="20"/>
          <w:lang w:val="es-MX"/>
        </w:rPr>
      </w:pPr>
      <w:r w:rsidRPr="007325F3">
        <w:rPr>
          <w:rFonts w:ascii="Verdana" w:hAnsi="Verdana"/>
          <w:sz w:val="16"/>
          <w:szCs w:val="16"/>
          <w:lang w:val="es-MX"/>
        </w:rPr>
        <w:t xml:space="preserve">2.  Disponer la reparación de los daños causados al Crnl. De Ems., en servicio pasivo, José </w:t>
      </w:r>
      <w:r w:rsidRPr="0045110A">
        <w:rPr>
          <w:rFonts w:ascii="Verdana" w:hAnsi="Verdana"/>
          <w:sz w:val="16"/>
          <w:szCs w:val="16"/>
          <w:lang w:val="es-MX"/>
        </w:rPr>
        <w:t>Alfredo Mejía Idrovo;</w:t>
      </w:r>
      <w:r w:rsidRPr="0045110A">
        <w:rPr>
          <w:rStyle w:val="Refdenotaalpie"/>
          <w:rFonts w:ascii="Verdana" w:hAnsi="Verdana"/>
          <w:sz w:val="20"/>
          <w:szCs w:val="20"/>
          <w:lang w:val="es-MX"/>
        </w:rPr>
        <w:footnoteReference w:id="44"/>
      </w:r>
      <w:r>
        <w:rPr>
          <w:rFonts w:ascii="Verdana" w:hAnsi="Verdana"/>
          <w:sz w:val="16"/>
          <w:szCs w:val="16"/>
          <w:lang w:val="es-MX"/>
        </w:rPr>
        <w:t xml:space="preserve"> </w:t>
      </w:r>
    </w:p>
    <w:p w:rsidR="00F249DD" w:rsidRDefault="00F249DD" w:rsidP="00120F89">
      <w:pPr>
        <w:jc w:val="both"/>
        <w:rPr>
          <w:rFonts w:ascii="Verdana" w:hAnsi="Verdana"/>
          <w:sz w:val="20"/>
          <w:szCs w:val="20"/>
          <w:lang w:val="es-MX"/>
        </w:rPr>
      </w:pPr>
    </w:p>
    <w:p w:rsidR="00F249DD" w:rsidRPr="007325F3" w:rsidRDefault="00F249DD" w:rsidP="00120F89">
      <w:pPr>
        <w:numPr>
          <w:ilvl w:val="0"/>
          <w:numId w:val="3"/>
        </w:numPr>
        <w:ind w:left="0" w:firstLine="0"/>
        <w:jc w:val="both"/>
        <w:rPr>
          <w:rFonts w:ascii="Verdana" w:hAnsi="Verdana"/>
          <w:sz w:val="20"/>
          <w:szCs w:val="20"/>
          <w:lang w:val="es-MX"/>
        </w:rPr>
      </w:pPr>
      <w:r>
        <w:rPr>
          <w:rFonts w:ascii="Verdana" w:hAnsi="Verdana"/>
          <w:sz w:val="20"/>
          <w:szCs w:val="20"/>
          <w:lang w:val="es-MX"/>
        </w:rPr>
        <w:t>Además, el Tribunal Constitucional</w:t>
      </w:r>
      <w:r w:rsidRPr="007325F3">
        <w:rPr>
          <w:rFonts w:ascii="Verdana" w:hAnsi="Verdana"/>
          <w:sz w:val="20"/>
          <w:szCs w:val="20"/>
          <w:lang w:val="es-MX"/>
        </w:rPr>
        <w:t>, entre otros</w:t>
      </w:r>
      <w:r>
        <w:rPr>
          <w:rFonts w:ascii="Verdana" w:hAnsi="Verdana"/>
          <w:sz w:val="20"/>
          <w:szCs w:val="20"/>
          <w:lang w:val="es-MX"/>
        </w:rPr>
        <w:t xml:space="preserve"> aspectos</w:t>
      </w:r>
      <w:r w:rsidRPr="007325F3">
        <w:rPr>
          <w:rFonts w:ascii="Verdana" w:hAnsi="Verdana"/>
          <w:sz w:val="20"/>
          <w:szCs w:val="20"/>
          <w:lang w:val="es-MX"/>
        </w:rPr>
        <w:t xml:space="preserve">, señaló que: </w:t>
      </w:r>
    </w:p>
    <w:p w:rsidR="00F249DD" w:rsidRPr="00803C8C" w:rsidRDefault="00F249DD" w:rsidP="00803C8C">
      <w:pPr>
        <w:jc w:val="both"/>
        <w:rPr>
          <w:rFonts w:ascii="Verdana" w:hAnsi="Verdana"/>
          <w:lang w:val="es-MX"/>
        </w:rPr>
      </w:pPr>
    </w:p>
    <w:p w:rsidR="00F249DD" w:rsidRPr="00803C8C" w:rsidRDefault="00F249DD" w:rsidP="00803C8C">
      <w:pPr>
        <w:autoSpaceDE w:val="0"/>
        <w:ind w:left="720" w:right="720"/>
        <w:jc w:val="both"/>
        <w:rPr>
          <w:rFonts w:ascii="Verdana" w:hAnsi="Verdana"/>
          <w:sz w:val="16"/>
          <w:szCs w:val="16"/>
          <w:lang w:val="es-MX"/>
        </w:rPr>
      </w:pPr>
      <w:r>
        <w:rPr>
          <w:rFonts w:ascii="Verdana" w:hAnsi="Verdana"/>
          <w:sz w:val="16"/>
          <w:szCs w:val="16"/>
          <w:lang w:val="es-MX"/>
        </w:rPr>
        <w:t>[…]</w:t>
      </w:r>
      <w:r w:rsidRPr="00803C8C">
        <w:rPr>
          <w:rFonts w:ascii="Verdana" w:hAnsi="Verdana"/>
          <w:sz w:val="16"/>
          <w:szCs w:val="16"/>
          <w:lang w:val="es-MX"/>
        </w:rPr>
        <w:t xml:space="preserve"> tanto la Constitución como el Estatuto Jurídico de la Función Ejecutiva disponen que las resoluciones sean claramente motivadas.  La doctrina considera que las decisiones de los órganos del Estado deben expresar los fundamentos de hecho y de derecho que concurren para aplicar, normas, determinar su legitimidad, justificar los valores de apreciación sobre el mérito y la razonabilidad. […] En el caso </w:t>
      </w:r>
      <w:r w:rsidRPr="00803C8C">
        <w:rPr>
          <w:rFonts w:ascii="Verdana" w:hAnsi="Verdana"/>
          <w:i/>
          <w:iCs/>
          <w:sz w:val="16"/>
          <w:szCs w:val="16"/>
          <w:lang w:val="es-MX"/>
        </w:rPr>
        <w:t>sub judice</w:t>
      </w:r>
      <w:r w:rsidRPr="00803C8C">
        <w:rPr>
          <w:rFonts w:ascii="Verdana" w:hAnsi="Verdana"/>
          <w:sz w:val="16"/>
          <w:szCs w:val="16"/>
          <w:lang w:val="es-MX"/>
        </w:rPr>
        <w:t xml:space="preserve"> no se ha dado esta motivación lo que significa una violación a la referida norma constitucional;</w:t>
      </w:r>
    </w:p>
    <w:p w:rsidR="00F249DD" w:rsidRPr="00803C8C" w:rsidRDefault="00F249DD" w:rsidP="00803C8C">
      <w:pPr>
        <w:autoSpaceDE w:val="0"/>
        <w:ind w:left="720" w:right="720"/>
        <w:jc w:val="both"/>
        <w:rPr>
          <w:rFonts w:ascii="Verdana" w:hAnsi="Verdana"/>
          <w:sz w:val="16"/>
          <w:szCs w:val="16"/>
          <w:lang w:val="es-MX"/>
        </w:rPr>
      </w:pPr>
    </w:p>
    <w:p w:rsidR="00F249DD" w:rsidRDefault="00F249DD" w:rsidP="00803C8C">
      <w:pPr>
        <w:autoSpaceDE w:val="0"/>
        <w:ind w:left="720" w:right="720"/>
        <w:jc w:val="both"/>
        <w:rPr>
          <w:rFonts w:ascii="Verdana" w:hAnsi="Verdana"/>
          <w:sz w:val="16"/>
          <w:szCs w:val="16"/>
          <w:lang w:val="es-MX"/>
        </w:rPr>
      </w:pPr>
      <w:r>
        <w:rPr>
          <w:rFonts w:ascii="Verdana" w:hAnsi="Verdana"/>
          <w:sz w:val="16"/>
          <w:szCs w:val="16"/>
          <w:lang w:val="es-MX"/>
        </w:rPr>
        <w:t>[…]</w:t>
      </w:r>
      <w:r w:rsidRPr="00803C8C">
        <w:rPr>
          <w:rFonts w:ascii="Verdana" w:hAnsi="Verdana"/>
          <w:sz w:val="16"/>
          <w:szCs w:val="16"/>
          <w:lang w:val="es-MX"/>
        </w:rPr>
        <w:t xml:space="preserve"> la Constitución de la República en el artículo 186, inciso segundo, señala: “Se garantizan la estabilidad y profesionalidad de los miembros de la fuerza pública. No se los podrá privar de sus grados, honores ni pensiones sino por las causas y en la forma previstas por la ley”. En el presente caso no se ha observado este precepto, pues en la disponibilidad y en la baja del Oficial accionante hay elementos de subjetividad que salen del marco legal; la discrecionalidad tiene sus límites en las disposiciones establecidas por el ordenamiento jurídico, en este caso la delimitación lo hace la propia Ley de Personal de las Fuerzas Armadas, las cuales determinan los requisitos y las condiciones para el ascenso a un grado superior. Este Tribunal considera que las normas de la Ley de Personal favorecían el ascenso del señor Crnl. de Ems. José Mejía Idrovo. Si en base de esta normativa se dio el ascenso de otros Oficiales Superiores, el no haber procedido en igual forma con el ciudadano reclamante viola el derecho a la igualdad de las personas ante la ley […];</w:t>
      </w:r>
    </w:p>
    <w:p w:rsidR="00F249DD" w:rsidRPr="00803C8C" w:rsidRDefault="00F249DD" w:rsidP="00803C8C">
      <w:pPr>
        <w:autoSpaceDE w:val="0"/>
        <w:ind w:left="720" w:right="720"/>
        <w:jc w:val="both"/>
        <w:rPr>
          <w:rFonts w:ascii="Verdana" w:hAnsi="Verdana"/>
          <w:sz w:val="16"/>
          <w:szCs w:val="16"/>
          <w:lang w:val="es-MX"/>
        </w:rPr>
      </w:pPr>
    </w:p>
    <w:p w:rsidR="00F249DD" w:rsidRPr="00803C8C" w:rsidRDefault="00F249DD" w:rsidP="00803C8C">
      <w:pPr>
        <w:autoSpaceDE w:val="0"/>
        <w:ind w:left="720" w:right="720"/>
        <w:jc w:val="both"/>
        <w:rPr>
          <w:rFonts w:ascii="Verdana" w:hAnsi="Verdana"/>
          <w:sz w:val="16"/>
          <w:szCs w:val="16"/>
          <w:lang w:val="es-MX"/>
        </w:rPr>
      </w:pPr>
      <w:r>
        <w:rPr>
          <w:rFonts w:ascii="Verdana" w:hAnsi="Verdana"/>
          <w:sz w:val="16"/>
          <w:szCs w:val="16"/>
          <w:lang w:val="es-MX"/>
        </w:rPr>
        <w:t>[…]</w:t>
      </w:r>
      <w:r w:rsidRPr="00803C8C">
        <w:rPr>
          <w:rFonts w:ascii="Verdana" w:hAnsi="Verdana"/>
          <w:sz w:val="16"/>
          <w:szCs w:val="16"/>
          <w:lang w:val="es-MX"/>
        </w:rPr>
        <w:t xml:space="preserve"> una de las pretensiones del actor es que este Tribunal declare la ilegalidad de los decretos impugnados; como es sabido la acción de inconstitucionalidad no comprende la ilegalidad en que pueda incurrir una norma jurídica, en éste caso los decretos impugnados, la declaratoria de ilegalidad corresponde a los Tribunales de lo Contencioso Administrativo. Por otro lado, la declaratoria de inconstitucionalidad suspende los efectos de la normativa jurídica cuestionada, pero como la misma Constitución establece en el artículo 278 esta declaratoria no tiene efecto retroactivo;</w:t>
      </w:r>
    </w:p>
    <w:p w:rsidR="00F249DD" w:rsidRPr="00803C8C" w:rsidRDefault="00F249DD" w:rsidP="00803C8C">
      <w:pPr>
        <w:autoSpaceDE w:val="0"/>
        <w:ind w:left="720" w:right="720"/>
        <w:jc w:val="both"/>
        <w:rPr>
          <w:rFonts w:ascii="Verdana" w:hAnsi="Verdana"/>
          <w:sz w:val="16"/>
          <w:szCs w:val="16"/>
          <w:lang w:val="es-MX"/>
        </w:rPr>
      </w:pPr>
    </w:p>
    <w:p w:rsidR="00F249DD" w:rsidRDefault="00F249DD" w:rsidP="00803C8C">
      <w:pPr>
        <w:autoSpaceDE w:val="0"/>
        <w:ind w:left="720" w:right="720"/>
        <w:jc w:val="both"/>
        <w:rPr>
          <w:rFonts w:ascii="Verdana" w:hAnsi="Verdana"/>
          <w:sz w:val="16"/>
          <w:szCs w:val="16"/>
          <w:lang w:val="es-MX"/>
        </w:rPr>
      </w:pPr>
      <w:r>
        <w:rPr>
          <w:rFonts w:ascii="Verdana" w:hAnsi="Verdana"/>
          <w:sz w:val="16"/>
          <w:szCs w:val="16"/>
          <w:lang w:val="es-MX"/>
        </w:rPr>
        <w:t>[…]</w:t>
      </w:r>
      <w:r w:rsidRPr="00803C8C">
        <w:rPr>
          <w:rFonts w:ascii="Verdana" w:hAnsi="Verdana"/>
          <w:sz w:val="16"/>
          <w:szCs w:val="16"/>
          <w:lang w:val="es-MX"/>
        </w:rPr>
        <w:t xml:space="preserve"> </w:t>
      </w:r>
      <w:r>
        <w:rPr>
          <w:rFonts w:ascii="Verdana" w:hAnsi="Verdana"/>
          <w:sz w:val="16"/>
          <w:szCs w:val="16"/>
          <w:lang w:val="es-MX"/>
        </w:rPr>
        <w:t xml:space="preserve"> </w:t>
      </w:r>
      <w:r w:rsidRPr="00803C8C">
        <w:rPr>
          <w:rFonts w:ascii="Verdana" w:hAnsi="Verdana"/>
          <w:sz w:val="16"/>
          <w:szCs w:val="16"/>
          <w:lang w:val="es-MX"/>
        </w:rPr>
        <w:t xml:space="preserve">finalmente, en el presente caso, los decretos de disponibilidad y de baja de un oficial de las Fuerzas Armadas encuentran su antecedente inmediato en las resoluciones adoptadas por el Consejo de Oficiales Generales de la Fuerza Terrestre, que les sirven de fundamento, por lo que tales resoluciones también están vinculadas a los dos </w:t>
      </w:r>
      <w:r>
        <w:rPr>
          <w:rFonts w:ascii="Verdana" w:hAnsi="Verdana"/>
          <w:sz w:val="16"/>
          <w:szCs w:val="16"/>
          <w:lang w:val="es-MX"/>
        </w:rPr>
        <w:t>d</w:t>
      </w:r>
      <w:r w:rsidRPr="00803C8C">
        <w:rPr>
          <w:rFonts w:ascii="Verdana" w:hAnsi="Verdana"/>
          <w:sz w:val="16"/>
          <w:szCs w:val="16"/>
          <w:lang w:val="es-MX"/>
        </w:rPr>
        <w:t>ecretos [Presidenciales] impugnados de inconstitucionalidad.</w:t>
      </w:r>
      <w:r w:rsidRPr="00803C8C">
        <w:rPr>
          <w:rStyle w:val="Smbolodenotaalpie"/>
          <w:sz w:val="16"/>
          <w:szCs w:val="16"/>
          <w:lang w:val="es-MX"/>
        </w:rPr>
        <w:footnoteReference w:id="45"/>
      </w:r>
      <w:r w:rsidRPr="00803C8C">
        <w:rPr>
          <w:rFonts w:ascii="Verdana" w:hAnsi="Verdana"/>
          <w:sz w:val="16"/>
          <w:szCs w:val="16"/>
          <w:lang w:val="es-MX"/>
        </w:rPr>
        <w:t xml:space="preserve"> </w:t>
      </w:r>
    </w:p>
    <w:p w:rsidR="00F249DD" w:rsidRDefault="00F249DD" w:rsidP="00803C8C">
      <w:pPr>
        <w:autoSpaceDE w:val="0"/>
        <w:ind w:left="720" w:right="720"/>
        <w:jc w:val="both"/>
        <w:rPr>
          <w:rFonts w:ascii="Verdana" w:hAnsi="Verdana"/>
          <w:sz w:val="16"/>
          <w:szCs w:val="16"/>
          <w:lang w:val="es-MX"/>
        </w:rPr>
      </w:pPr>
    </w:p>
    <w:p w:rsidR="00F249DD" w:rsidRPr="00803C8C" w:rsidRDefault="00F249DD" w:rsidP="00803C8C">
      <w:pPr>
        <w:autoSpaceDE w:val="0"/>
        <w:ind w:left="720" w:right="720"/>
        <w:jc w:val="both"/>
        <w:rPr>
          <w:rStyle w:val="CitaHTML"/>
          <w:rFonts w:ascii="Verdana" w:hAnsi="Verdana"/>
          <w:b/>
          <w:bCs/>
          <w:i w:val="0"/>
          <w:iCs w:val="0"/>
          <w:sz w:val="16"/>
          <w:szCs w:val="16"/>
          <w:lang w:val="es-MX"/>
        </w:rPr>
      </w:pPr>
      <w:r>
        <w:rPr>
          <w:rFonts w:ascii="Verdana" w:hAnsi="Verdana"/>
          <w:sz w:val="16"/>
          <w:szCs w:val="16"/>
          <w:lang w:val="es-MX"/>
        </w:rPr>
        <w:t>[…]</w:t>
      </w:r>
    </w:p>
    <w:p w:rsidR="00F249DD" w:rsidRPr="00803C8C" w:rsidRDefault="00F249DD" w:rsidP="00803C8C">
      <w:pPr>
        <w:autoSpaceDE w:val="0"/>
        <w:jc w:val="both"/>
        <w:rPr>
          <w:rFonts w:ascii="Verdana" w:hAnsi="Verdana"/>
          <w:b/>
          <w:bCs/>
          <w:lang w:val="es-MX"/>
        </w:rPr>
      </w:pPr>
    </w:p>
    <w:p w:rsidR="00F249DD" w:rsidRPr="007325F3" w:rsidRDefault="00F249DD" w:rsidP="00120F89">
      <w:pPr>
        <w:numPr>
          <w:ilvl w:val="0"/>
          <w:numId w:val="3"/>
        </w:numPr>
        <w:ind w:left="0" w:firstLine="0"/>
        <w:jc w:val="both"/>
        <w:rPr>
          <w:rFonts w:ascii="Verdana" w:hAnsi="Verdana"/>
          <w:sz w:val="20"/>
          <w:szCs w:val="20"/>
          <w:lang w:val="es-MX"/>
        </w:rPr>
      </w:pPr>
      <w:r w:rsidRPr="007325F3">
        <w:rPr>
          <w:rFonts w:ascii="Verdana" w:hAnsi="Verdana"/>
          <w:sz w:val="20"/>
          <w:szCs w:val="20"/>
          <w:lang w:val="es-MX"/>
        </w:rPr>
        <w:t>La Secretaría del Tribunal Constitucional indicó en oficio de 25 de marzo de 2002 que el señor Mejía Idrovo, el Presidente de la República y el Procurador General del Estado fueron notificados del fallo vía boletas dejadas en los casilleros constitucionales correspondientes</w:t>
      </w:r>
      <w:r w:rsidRPr="007325F3">
        <w:rPr>
          <w:rStyle w:val="Smbolodenotaalpie"/>
          <w:lang w:val="es-MX"/>
        </w:rPr>
        <w:footnoteReference w:id="46"/>
      </w:r>
      <w:r w:rsidRPr="007325F3">
        <w:rPr>
          <w:rFonts w:ascii="Verdana" w:hAnsi="Verdana"/>
          <w:sz w:val="20"/>
          <w:szCs w:val="20"/>
          <w:lang w:val="es-MX"/>
        </w:rPr>
        <w:t>.  Se publicó esta sentencia en el Registro Oficial N.</w:t>
      </w:r>
      <w:r>
        <w:rPr>
          <w:rFonts w:ascii="Verdana" w:hAnsi="Verdana"/>
          <w:sz w:val="20"/>
          <w:szCs w:val="20"/>
          <w:lang w:val="es-MX"/>
        </w:rPr>
        <w:t>-</w:t>
      </w:r>
      <w:r w:rsidRPr="007325F3">
        <w:rPr>
          <w:rFonts w:ascii="Verdana" w:hAnsi="Verdana"/>
          <w:sz w:val="20"/>
          <w:szCs w:val="20"/>
          <w:lang w:val="es-MX"/>
        </w:rPr>
        <w:t xml:space="preserve"> 548 el 4 de abril de 2002</w:t>
      </w:r>
      <w:r>
        <w:rPr>
          <w:rStyle w:val="Refdenotaalpie"/>
          <w:rFonts w:ascii="Verdana" w:hAnsi="Verdana"/>
          <w:sz w:val="20"/>
          <w:szCs w:val="20"/>
          <w:lang w:val="es-MX"/>
        </w:rPr>
        <w:footnoteReference w:id="47"/>
      </w:r>
      <w:r w:rsidRPr="007325F3">
        <w:rPr>
          <w:rFonts w:ascii="Verdana" w:hAnsi="Verdana"/>
          <w:sz w:val="20"/>
          <w:szCs w:val="20"/>
          <w:lang w:val="es-MX"/>
        </w:rPr>
        <w:t xml:space="preserve"> y ha sido ejecutable desde la fecha de su promulgación</w:t>
      </w:r>
      <w:r w:rsidRPr="007325F3">
        <w:rPr>
          <w:rStyle w:val="Smbolodenotaalpie"/>
          <w:lang w:val="es-MX"/>
        </w:rPr>
        <w:footnoteReference w:id="48"/>
      </w:r>
      <w:r w:rsidRPr="007325F3">
        <w:rPr>
          <w:rFonts w:ascii="Verdana" w:hAnsi="Verdana"/>
          <w:sz w:val="20"/>
          <w:szCs w:val="20"/>
          <w:lang w:val="es-MX"/>
        </w:rPr>
        <w:t xml:space="preserve">.  </w:t>
      </w:r>
    </w:p>
    <w:p w:rsidR="00F249DD" w:rsidRPr="007325F3" w:rsidRDefault="00F249DD" w:rsidP="00803C8C">
      <w:pPr>
        <w:tabs>
          <w:tab w:val="left" w:pos="0"/>
        </w:tabs>
        <w:autoSpaceDE w:val="0"/>
        <w:rPr>
          <w:rFonts w:ascii="Verdana" w:hAnsi="Verdana"/>
          <w:sz w:val="20"/>
          <w:szCs w:val="20"/>
          <w:lang w:val="es-MX"/>
        </w:rPr>
      </w:pPr>
    </w:p>
    <w:p w:rsidR="00F249DD" w:rsidRPr="007325F3" w:rsidRDefault="00F249DD" w:rsidP="00120F89">
      <w:pPr>
        <w:numPr>
          <w:ilvl w:val="0"/>
          <w:numId w:val="3"/>
        </w:numPr>
        <w:ind w:left="0" w:firstLine="0"/>
        <w:jc w:val="both"/>
        <w:rPr>
          <w:rFonts w:ascii="Verdana" w:hAnsi="Verdana"/>
          <w:sz w:val="20"/>
          <w:szCs w:val="20"/>
          <w:lang w:val="es-MX"/>
        </w:rPr>
      </w:pPr>
      <w:r w:rsidRPr="007325F3">
        <w:rPr>
          <w:rFonts w:ascii="Verdana" w:hAnsi="Verdana"/>
          <w:sz w:val="20"/>
          <w:szCs w:val="20"/>
          <w:lang w:val="es-MX"/>
        </w:rPr>
        <w:t>El 8 de abril de 2002 la Comandancia del Ejército solicitó al Presidente del Tribunal Constitucional un pronunciamiento sobre el alcance del artículo 278 de la Constitución respecto al posible reintegro del señor Mejía Idrovo a las Fuerzas Armadas y pidió una aclaratoria</w:t>
      </w:r>
      <w:r w:rsidRPr="00CD1462">
        <w:rPr>
          <w:rFonts w:ascii="Verdana" w:hAnsi="Verdana"/>
          <w:sz w:val="20"/>
          <w:szCs w:val="20"/>
          <w:lang w:val="es-MX"/>
        </w:rPr>
        <w:t xml:space="preserve"> sobre</w:t>
      </w:r>
      <w:r w:rsidRPr="007325F3">
        <w:rPr>
          <w:rFonts w:ascii="Verdana" w:hAnsi="Verdana"/>
          <w:sz w:val="20"/>
          <w:szCs w:val="20"/>
          <w:lang w:val="es-MX"/>
        </w:rPr>
        <w:t xml:space="preserve"> la reparación, manifestando que “la Institución Militar al no haber sido quien emitió los Decretos Ejecutivos </w:t>
      </w:r>
      <w:r w:rsidRPr="002E4173">
        <w:rPr>
          <w:rFonts w:ascii="Verdana" w:hAnsi="Verdana"/>
          <w:sz w:val="20"/>
          <w:szCs w:val="20"/>
          <w:lang w:val="es-MX"/>
        </w:rPr>
        <w:t>[</w:t>
      </w:r>
      <w:r w:rsidRPr="007325F3">
        <w:rPr>
          <w:rFonts w:ascii="Verdana" w:hAnsi="Verdana"/>
          <w:sz w:val="20"/>
          <w:szCs w:val="20"/>
          <w:lang w:val="es-MX"/>
        </w:rPr>
        <w:t>mencionados</w:t>
      </w:r>
      <w:r w:rsidRPr="002E4173">
        <w:rPr>
          <w:rFonts w:ascii="Verdana" w:hAnsi="Verdana"/>
          <w:sz w:val="20"/>
          <w:szCs w:val="20"/>
          <w:lang w:val="es-MX"/>
        </w:rPr>
        <w:t>]</w:t>
      </w:r>
      <w:r w:rsidRPr="007325F3">
        <w:rPr>
          <w:rFonts w:ascii="Verdana" w:hAnsi="Verdana"/>
          <w:sz w:val="20"/>
          <w:szCs w:val="20"/>
          <w:lang w:val="es-MX"/>
        </w:rPr>
        <w:t>, no causó ni ha causado ningún daño al Oficial Superior”</w:t>
      </w:r>
      <w:r w:rsidRPr="007325F3">
        <w:rPr>
          <w:rStyle w:val="Smbolodenotaalpie"/>
          <w:lang w:val="es-MX"/>
        </w:rPr>
        <w:footnoteReference w:id="49"/>
      </w:r>
      <w:r w:rsidRPr="007325F3">
        <w:rPr>
          <w:rFonts w:ascii="Verdana" w:hAnsi="Verdana"/>
          <w:sz w:val="20"/>
          <w:szCs w:val="20"/>
          <w:lang w:val="es-MX"/>
        </w:rPr>
        <w:t xml:space="preserve">. </w:t>
      </w:r>
      <w:r>
        <w:rPr>
          <w:rFonts w:ascii="Verdana" w:hAnsi="Verdana"/>
          <w:sz w:val="20"/>
          <w:szCs w:val="20"/>
          <w:lang w:val="es-MX"/>
        </w:rPr>
        <w:t xml:space="preserve">El señor </w:t>
      </w:r>
      <w:r w:rsidRPr="007325F3">
        <w:rPr>
          <w:rFonts w:ascii="Verdana" w:hAnsi="Verdana"/>
          <w:sz w:val="20"/>
          <w:szCs w:val="20"/>
          <w:lang w:val="es-MX"/>
        </w:rPr>
        <w:t>Mejía Idrovo</w:t>
      </w:r>
      <w:r>
        <w:rPr>
          <w:rFonts w:ascii="Verdana" w:hAnsi="Verdana"/>
          <w:sz w:val="20"/>
          <w:szCs w:val="20"/>
          <w:lang w:val="es-MX"/>
        </w:rPr>
        <w:t xml:space="preserve"> alegó que</w:t>
      </w:r>
      <w:r w:rsidRPr="007325F3">
        <w:rPr>
          <w:rFonts w:ascii="Verdana" w:hAnsi="Verdana"/>
          <w:sz w:val="20"/>
          <w:szCs w:val="20"/>
          <w:lang w:val="es-MX"/>
        </w:rPr>
        <w:t xml:space="preserve"> </w:t>
      </w:r>
      <w:r>
        <w:rPr>
          <w:rFonts w:ascii="Verdana" w:hAnsi="Verdana"/>
          <w:sz w:val="20"/>
          <w:szCs w:val="20"/>
          <w:lang w:val="es-MX"/>
        </w:rPr>
        <w:t xml:space="preserve">conoció </w:t>
      </w:r>
      <w:r>
        <w:rPr>
          <w:rFonts w:ascii="Verdana" w:hAnsi="Verdana"/>
          <w:sz w:val="20"/>
          <w:szCs w:val="20"/>
          <w:lang w:val="es-CR"/>
        </w:rPr>
        <w:t>“</w:t>
      </w:r>
      <w:r w:rsidRPr="00C00B52">
        <w:rPr>
          <w:rFonts w:ascii="Verdana" w:hAnsi="Verdana"/>
          <w:sz w:val="20"/>
          <w:szCs w:val="20"/>
          <w:lang w:val="es-CR"/>
        </w:rPr>
        <w:t>extraoficialmente que ha</w:t>
      </w:r>
      <w:r>
        <w:rPr>
          <w:rFonts w:ascii="Verdana" w:hAnsi="Verdana"/>
          <w:sz w:val="20"/>
          <w:szCs w:val="20"/>
          <w:lang w:val="es-CR"/>
        </w:rPr>
        <w:t>[bía</w:t>
      </w:r>
      <w:r w:rsidRPr="00C00B52">
        <w:rPr>
          <w:rFonts w:ascii="Verdana" w:hAnsi="Verdana"/>
          <w:sz w:val="20"/>
          <w:szCs w:val="20"/>
          <w:lang w:val="es-CR"/>
        </w:rPr>
        <w:t>] presentado una petición de aclaración de forma ilegal e injusta f</w:t>
      </w:r>
      <w:r>
        <w:rPr>
          <w:rFonts w:ascii="Verdana" w:hAnsi="Verdana"/>
          <w:sz w:val="20"/>
          <w:szCs w:val="20"/>
          <w:lang w:val="es-CR"/>
        </w:rPr>
        <w:t>uera del término de ley, por lo que [manifestó que</w:t>
      </w:r>
      <w:r w:rsidRPr="00C00B52">
        <w:rPr>
          <w:rFonts w:ascii="Verdana" w:hAnsi="Verdana"/>
          <w:sz w:val="20"/>
          <w:szCs w:val="20"/>
          <w:lang w:val="es-CR"/>
        </w:rPr>
        <w:t xml:space="preserve">] </w:t>
      </w:r>
      <w:r>
        <w:rPr>
          <w:rFonts w:ascii="Verdana" w:hAnsi="Verdana"/>
          <w:sz w:val="20"/>
          <w:szCs w:val="20"/>
          <w:lang w:val="es-CR"/>
        </w:rPr>
        <w:t>se pretend[ía</w:t>
      </w:r>
      <w:r w:rsidRPr="00C00B52">
        <w:rPr>
          <w:rFonts w:ascii="Verdana" w:hAnsi="Verdana"/>
          <w:sz w:val="20"/>
          <w:szCs w:val="20"/>
          <w:lang w:val="es-CR"/>
        </w:rPr>
        <w:t>]  crear incidentes que en materia constitucional no está permitido”</w:t>
      </w:r>
      <w:r w:rsidRPr="00C00B52">
        <w:rPr>
          <w:rStyle w:val="Smbolodenotaalpie"/>
          <w:lang w:val="es-MX"/>
        </w:rPr>
        <w:footnoteReference w:id="50"/>
      </w:r>
      <w:r>
        <w:rPr>
          <w:rFonts w:ascii="Verdana" w:hAnsi="Verdana"/>
          <w:sz w:val="20"/>
          <w:szCs w:val="20"/>
          <w:lang w:val="es-MX"/>
        </w:rPr>
        <w:t xml:space="preserve">. Según la presunta víctima </w:t>
      </w:r>
      <w:r>
        <w:rPr>
          <w:rFonts w:ascii="Verdana" w:hAnsi="Verdana"/>
          <w:sz w:val="20"/>
          <w:szCs w:val="20"/>
          <w:lang w:val="es-CR"/>
        </w:rPr>
        <w:t xml:space="preserve">solicitó </w:t>
      </w:r>
      <w:r w:rsidRPr="007325F3">
        <w:rPr>
          <w:rFonts w:ascii="Verdana" w:hAnsi="Verdana"/>
          <w:sz w:val="20"/>
          <w:szCs w:val="20"/>
          <w:lang w:val="es-MX"/>
        </w:rPr>
        <w:t>que no se admitiera la petición de los representantes de la Comandancia del Ejército y que volviera “por derecho y justicia a la misma situación anterior al dictado de los Decretos; esto es al servicio activo y efectivo en el grado de Coronel de Estado Mayor y calificado por el Consejo de Generales para ser ascendido al grado de General de Brigada de conformidad a la Ley de Personal de las Fuerzas Armadas Ecuatorianas</w:t>
      </w:r>
      <w:r w:rsidRPr="00A25E47">
        <w:rPr>
          <w:rFonts w:ascii="Verdana" w:hAnsi="Verdana"/>
          <w:sz w:val="20"/>
          <w:szCs w:val="20"/>
          <w:lang w:val="es-MX"/>
        </w:rPr>
        <w:t xml:space="preserve">”. </w:t>
      </w:r>
    </w:p>
    <w:p w:rsidR="00F249DD" w:rsidRPr="007325F3" w:rsidRDefault="00F249DD" w:rsidP="00803C8C">
      <w:pPr>
        <w:autoSpaceDE w:val="0"/>
        <w:rPr>
          <w:rFonts w:ascii="Verdana" w:hAnsi="Verdana"/>
          <w:sz w:val="20"/>
          <w:szCs w:val="20"/>
          <w:lang w:val="es-MX"/>
        </w:rPr>
      </w:pPr>
    </w:p>
    <w:p w:rsidR="00F249DD" w:rsidRPr="007325F3" w:rsidRDefault="00F249DD" w:rsidP="00120F89">
      <w:pPr>
        <w:numPr>
          <w:ilvl w:val="0"/>
          <w:numId w:val="3"/>
        </w:numPr>
        <w:ind w:left="0" w:firstLine="0"/>
        <w:jc w:val="both"/>
        <w:rPr>
          <w:rFonts w:ascii="Verdana" w:hAnsi="Verdana"/>
          <w:sz w:val="20"/>
          <w:szCs w:val="20"/>
          <w:lang w:val="es-MX"/>
        </w:rPr>
      </w:pPr>
      <w:r w:rsidRPr="007325F3">
        <w:rPr>
          <w:rFonts w:ascii="Verdana" w:hAnsi="Verdana"/>
          <w:sz w:val="20"/>
          <w:szCs w:val="20"/>
          <w:lang w:val="es-MX"/>
        </w:rPr>
        <w:t>El 30 de mayo de 2002</w:t>
      </w:r>
      <w:r>
        <w:rPr>
          <w:rFonts w:ascii="Verdana" w:hAnsi="Verdana"/>
          <w:sz w:val="20"/>
          <w:szCs w:val="20"/>
          <w:lang w:val="es-MX"/>
        </w:rPr>
        <w:t xml:space="preserve"> </w:t>
      </w:r>
      <w:r w:rsidRPr="007325F3">
        <w:rPr>
          <w:rFonts w:ascii="Verdana" w:hAnsi="Verdana"/>
          <w:sz w:val="20"/>
          <w:szCs w:val="20"/>
          <w:lang w:val="es-MX"/>
        </w:rPr>
        <w:t xml:space="preserve">el Presidente del Tribunal Constitucional emitió una Resolución en la que estableció que la </w:t>
      </w:r>
      <w:r>
        <w:rPr>
          <w:rFonts w:ascii="Verdana" w:hAnsi="Verdana"/>
          <w:sz w:val="20"/>
          <w:szCs w:val="20"/>
          <w:lang w:val="es-MX"/>
        </w:rPr>
        <w:t>decisión</w:t>
      </w:r>
      <w:r w:rsidRPr="007325F3">
        <w:rPr>
          <w:rFonts w:ascii="Verdana" w:hAnsi="Verdana"/>
          <w:sz w:val="20"/>
          <w:szCs w:val="20"/>
          <w:lang w:val="es-MX"/>
        </w:rPr>
        <w:t xml:space="preserve"> del Pleno del Tribunal Constitucional entró en vigencia desde su publicación en el Registro Oficial, “dejando sin efecto el acto declarado inconstitucional” y dispuso “el cumplimiento inmediato de la Resolución […], esto es, que se le reparen los daños causados al señor Coronel de E.M. en servicio pasivo José Alfredo Mejía Idrovo, mas, por el efecto irretroactivo de la Resolución, el accionante no debe ser reintegrado a las Fuerzas Armadas”</w:t>
      </w:r>
      <w:r w:rsidRPr="007325F3">
        <w:rPr>
          <w:rStyle w:val="Smbolodenotaalpie"/>
          <w:lang w:val="es-MX"/>
        </w:rPr>
        <w:footnoteReference w:id="51"/>
      </w:r>
      <w:r w:rsidRPr="007325F3">
        <w:rPr>
          <w:rFonts w:ascii="Verdana" w:hAnsi="Verdana"/>
          <w:sz w:val="20"/>
          <w:szCs w:val="20"/>
          <w:lang w:val="es-MX"/>
        </w:rPr>
        <w:t xml:space="preserve">. </w:t>
      </w:r>
      <w:r w:rsidRPr="007325F3">
        <w:rPr>
          <w:rFonts w:ascii="Verdana" w:hAnsi="Verdana"/>
          <w:sz w:val="20"/>
          <w:szCs w:val="20"/>
          <w:lang w:val="es-CR"/>
        </w:rPr>
        <w:t>Según alega la presunta víctima se enteró de la decisión del Presidente del Tribunal Constitucional, sin indicar cuándo, a través de la visita del expediente con ocasión de su insistencia en que el fallo fuera ejecutado</w:t>
      </w:r>
      <w:r w:rsidRPr="00C855E7">
        <w:rPr>
          <w:rStyle w:val="Smbolodenotaalpie"/>
        </w:rPr>
        <w:footnoteReference w:id="52"/>
      </w:r>
      <w:r w:rsidRPr="00C855E7">
        <w:rPr>
          <w:rFonts w:ascii="Verdana" w:hAnsi="Verdana"/>
          <w:sz w:val="20"/>
          <w:szCs w:val="20"/>
          <w:lang w:val="es-CR"/>
        </w:rPr>
        <w:t xml:space="preserve">. </w:t>
      </w:r>
    </w:p>
    <w:p w:rsidR="00F249DD" w:rsidRPr="007325F3" w:rsidRDefault="00F249DD" w:rsidP="00803C8C">
      <w:pPr>
        <w:autoSpaceDE w:val="0"/>
        <w:rPr>
          <w:rFonts w:ascii="Verdana" w:hAnsi="Verdana"/>
          <w:sz w:val="20"/>
          <w:szCs w:val="20"/>
          <w:lang w:val="es-MX"/>
        </w:rPr>
      </w:pPr>
    </w:p>
    <w:p w:rsidR="00F249DD" w:rsidRPr="007325F3" w:rsidRDefault="00F249DD" w:rsidP="00120F89">
      <w:pPr>
        <w:numPr>
          <w:ilvl w:val="0"/>
          <w:numId w:val="3"/>
        </w:numPr>
        <w:ind w:left="0" w:firstLine="0"/>
        <w:jc w:val="both"/>
        <w:rPr>
          <w:rFonts w:ascii="Verdana" w:hAnsi="Verdana"/>
          <w:sz w:val="20"/>
          <w:szCs w:val="20"/>
          <w:lang w:val="es-MX"/>
        </w:rPr>
      </w:pPr>
      <w:r w:rsidRPr="007325F3">
        <w:rPr>
          <w:rFonts w:ascii="Verdana" w:hAnsi="Verdana"/>
          <w:sz w:val="20"/>
          <w:szCs w:val="20"/>
          <w:lang w:val="es-MX"/>
        </w:rPr>
        <w:t>La presunta víctima presentó una serie de escritos dirigidos al Presidente</w:t>
      </w:r>
      <w:r>
        <w:rPr>
          <w:rFonts w:ascii="Verdana" w:hAnsi="Verdana"/>
          <w:sz w:val="20"/>
          <w:szCs w:val="20"/>
          <w:lang w:val="es-MX"/>
        </w:rPr>
        <w:t>,</w:t>
      </w:r>
      <w:r w:rsidRPr="007325F3">
        <w:rPr>
          <w:rFonts w:ascii="Verdana" w:hAnsi="Verdana"/>
          <w:sz w:val="20"/>
          <w:szCs w:val="20"/>
          <w:lang w:val="es-MX"/>
        </w:rPr>
        <w:t xml:space="preserve"> </w:t>
      </w:r>
      <w:r>
        <w:rPr>
          <w:rFonts w:ascii="Verdana" w:hAnsi="Verdana"/>
          <w:sz w:val="20"/>
          <w:szCs w:val="20"/>
          <w:lang w:val="es-MX"/>
        </w:rPr>
        <w:t>al Tribunal Constitucional y</w:t>
      </w:r>
      <w:r w:rsidRPr="007325F3">
        <w:rPr>
          <w:rFonts w:ascii="Verdana" w:hAnsi="Verdana"/>
          <w:sz w:val="20"/>
          <w:szCs w:val="20"/>
          <w:lang w:val="es-MX"/>
        </w:rPr>
        <w:t xml:space="preserve"> al Pleno del</w:t>
      </w:r>
      <w:r>
        <w:rPr>
          <w:rFonts w:ascii="Verdana" w:hAnsi="Verdana"/>
          <w:sz w:val="20"/>
          <w:szCs w:val="20"/>
          <w:lang w:val="es-MX"/>
        </w:rPr>
        <w:t xml:space="preserve"> mismo</w:t>
      </w:r>
      <w:r w:rsidRPr="007325F3">
        <w:rPr>
          <w:rFonts w:ascii="Verdana" w:hAnsi="Verdana"/>
          <w:sz w:val="20"/>
          <w:szCs w:val="20"/>
          <w:lang w:val="es-MX"/>
        </w:rPr>
        <w:t xml:space="preserve"> Tribunal</w:t>
      </w:r>
      <w:r>
        <w:rPr>
          <w:rFonts w:ascii="Verdana" w:hAnsi="Verdana"/>
          <w:sz w:val="20"/>
          <w:szCs w:val="20"/>
          <w:lang w:val="es-MX"/>
        </w:rPr>
        <w:t xml:space="preserve"> a efectos de que se diera</w:t>
      </w:r>
      <w:r w:rsidRPr="007325F3">
        <w:rPr>
          <w:rFonts w:ascii="Verdana" w:hAnsi="Verdana"/>
          <w:sz w:val="20"/>
          <w:szCs w:val="20"/>
          <w:lang w:val="es-MX"/>
        </w:rPr>
        <w:t xml:space="preserve"> cumplimiento a la decisión </w:t>
      </w:r>
      <w:r>
        <w:rPr>
          <w:rFonts w:ascii="Verdana" w:hAnsi="Verdana"/>
          <w:sz w:val="20"/>
          <w:szCs w:val="20"/>
          <w:lang w:val="es-MX"/>
        </w:rPr>
        <w:t xml:space="preserve">del Pleno </w:t>
      </w:r>
      <w:r w:rsidRPr="007325F3">
        <w:rPr>
          <w:rFonts w:ascii="Verdana" w:hAnsi="Verdana"/>
          <w:sz w:val="20"/>
          <w:szCs w:val="20"/>
          <w:lang w:val="es-MX"/>
        </w:rPr>
        <w:t>de 12 de marzo de 2002</w:t>
      </w:r>
      <w:r w:rsidRPr="007325F3">
        <w:rPr>
          <w:rStyle w:val="Smbolodenotaalpie"/>
          <w:lang w:val="es-MX"/>
        </w:rPr>
        <w:footnoteReference w:id="53"/>
      </w:r>
      <w:r w:rsidRPr="007325F3">
        <w:rPr>
          <w:rFonts w:ascii="Verdana" w:hAnsi="Verdana"/>
          <w:sz w:val="20"/>
          <w:szCs w:val="20"/>
          <w:lang w:val="es-MX"/>
        </w:rPr>
        <w:t xml:space="preserve">. En razón de los escritos presentados por el señor Mejía </w:t>
      </w:r>
      <w:r w:rsidRPr="007325F3">
        <w:rPr>
          <w:rFonts w:ascii="Verdana" w:hAnsi="Verdana"/>
          <w:sz w:val="20"/>
          <w:szCs w:val="20"/>
          <w:lang w:val="es-MX"/>
        </w:rPr>
        <w:lastRenderedPageBreak/>
        <w:t>Idrovo, el 20 de mayo de 2003 el Pleno del Tribunal Constitucional dispuso</w:t>
      </w:r>
      <w:r>
        <w:rPr>
          <w:rFonts w:ascii="Verdana" w:hAnsi="Verdana"/>
          <w:sz w:val="20"/>
          <w:szCs w:val="20"/>
          <w:lang w:val="es-MX"/>
        </w:rPr>
        <w:t xml:space="preserve"> </w:t>
      </w:r>
      <w:r w:rsidRPr="009C2BEC">
        <w:rPr>
          <w:rFonts w:ascii="Verdana" w:hAnsi="Verdana"/>
          <w:sz w:val="20"/>
          <w:szCs w:val="20"/>
          <w:lang w:val="es-MX"/>
        </w:rPr>
        <w:t>que</w:t>
      </w:r>
      <w:r w:rsidRPr="007325F3">
        <w:rPr>
          <w:rFonts w:ascii="Verdana" w:hAnsi="Verdana"/>
          <w:sz w:val="20"/>
          <w:szCs w:val="20"/>
          <w:lang w:val="es-MX"/>
        </w:rPr>
        <w:t xml:space="preserve"> “[e]n el caso signado con el Nro. 039-2001-TC, agréguese al expediente el escrito presentado por el Coronel José Mejía Idrovo el 22 de abril de 2003. En lo principal, las partes estén a la resolución del Pleno del Tribunal Constitucional de 12 de marzo de 2002, notificada el 25 de los mismos mes y año. Ninguna Providencia posterior puede modificar la resolución mencionada”</w:t>
      </w:r>
      <w:r w:rsidRPr="007325F3">
        <w:rPr>
          <w:rStyle w:val="Smbolodenotaalpie"/>
          <w:lang w:val="es-MX"/>
        </w:rPr>
        <w:footnoteReference w:id="54"/>
      </w:r>
      <w:r w:rsidRPr="007325F3">
        <w:rPr>
          <w:rFonts w:ascii="Verdana" w:hAnsi="Verdana"/>
          <w:sz w:val="20"/>
          <w:szCs w:val="20"/>
          <w:lang w:val="es-MX"/>
        </w:rPr>
        <w:t>.</w:t>
      </w:r>
    </w:p>
    <w:p w:rsidR="00F249DD" w:rsidRPr="007325F3" w:rsidRDefault="00F249DD" w:rsidP="00803C8C">
      <w:pPr>
        <w:ind w:left="720" w:right="738" w:hanging="720"/>
        <w:rPr>
          <w:rFonts w:ascii="Verdana" w:hAnsi="Verdana"/>
          <w:i/>
          <w:iCs/>
          <w:sz w:val="20"/>
          <w:szCs w:val="20"/>
        </w:rPr>
      </w:pPr>
    </w:p>
    <w:p w:rsidR="00F249DD" w:rsidRPr="007325F3" w:rsidRDefault="00F249DD" w:rsidP="00803C8C">
      <w:pPr>
        <w:autoSpaceDE w:val="0"/>
        <w:autoSpaceDN w:val="0"/>
        <w:adjustRightInd w:val="0"/>
        <w:ind w:right="720" w:firstLine="720"/>
        <w:rPr>
          <w:rFonts w:ascii="Verdana" w:hAnsi="Verdana"/>
          <w:i/>
          <w:iCs/>
          <w:sz w:val="20"/>
          <w:szCs w:val="20"/>
          <w:lang w:val="es-ES"/>
        </w:rPr>
      </w:pPr>
      <w:r w:rsidRPr="007325F3">
        <w:rPr>
          <w:rFonts w:ascii="Verdana" w:hAnsi="Verdana"/>
          <w:i/>
          <w:iCs/>
          <w:sz w:val="20"/>
          <w:szCs w:val="20"/>
          <w:lang w:val="es-MX"/>
        </w:rPr>
        <w:t>d)  Acción</w:t>
      </w:r>
      <w:r w:rsidRPr="007325F3">
        <w:rPr>
          <w:rFonts w:ascii="Verdana" w:hAnsi="Verdana"/>
          <w:i/>
          <w:iCs/>
          <w:sz w:val="20"/>
          <w:szCs w:val="20"/>
          <w:lang w:val="es-ES"/>
        </w:rPr>
        <w:t xml:space="preserve"> de Incumplimiento ante la Corte Constitucional </w:t>
      </w:r>
    </w:p>
    <w:p w:rsidR="00F249DD" w:rsidRPr="007325F3" w:rsidRDefault="00F249DD" w:rsidP="00803C8C">
      <w:pPr>
        <w:autoSpaceDE w:val="0"/>
        <w:autoSpaceDN w:val="0"/>
        <w:adjustRightInd w:val="0"/>
        <w:ind w:right="720"/>
        <w:jc w:val="both"/>
        <w:rPr>
          <w:rFonts w:ascii="Verdana" w:hAnsi="Verdana"/>
          <w:sz w:val="20"/>
          <w:szCs w:val="20"/>
          <w:lang w:val="es-ES"/>
        </w:rPr>
      </w:pPr>
    </w:p>
    <w:p w:rsidR="00F249DD" w:rsidRPr="007325F3" w:rsidRDefault="00F249DD" w:rsidP="00120F89">
      <w:pPr>
        <w:numPr>
          <w:ilvl w:val="0"/>
          <w:numId w:val="3"/>
        </w:numPr>
        <w:ind w:left="0" w:firstLine="0"/>
        <w:jc w:val="both"/>
        <w:rPr>
          <w:rFonts w:ascii="Verdana" w:hAnsi="Verdana"/>
          <w:sz w:val="20"/>
          <w:szCs w:val="20"/>
          <w:lang w:val="es-MX"/>
        </w:rPr>
      </w:pPr>
      <w:r w:rsidRPr="007325F3">
        <w:rPr>
          <w:rFonts w:ascii="Verdana" w:hAnsi="Verdana"/>
          <w:sz w:val="20"/>
          <w:szCs w:val="20"/>
          <w:lang w:val="es-MX"/>
        </w:rPr>
        <w:t>El 22 de abril de 2009 el señor Mejía Idrovo interpuso ante la Corte Constitu</w:t>
      </w:r>
      <w:r>
        <w:rPr>
          <w:rFonts w:ascii="Verdana" w:hAnsi="Verdana"/>
          <w:sz w:val="20"/>
          <w:szCs w:val="20"/>
          <w:lang w:val="es-MX"/>
        </w:rPr>
        <w:t>cional del Ecuador una acción por</w:t>
      </w:r>
      <w:r w:rsidRPr="007325F3">
        <w:rPr>
          <w:rFonts w:ascii="Verdana" w:hAnsi="Verdana"/>
          <w:sz w:val="20"/>
          <w:szCs w:val="20"/>
          <w:lang w:val="es-MX"/>
        </w:rPr>
        <w:t xml:space="preserve"> incumplimiento de la Resolución del Tribunal Constitucional de 12 de marzo de 2002 en contra del Comandante General del Ejército</w:t>
      </w:r>
      <w:r w:rsidRPr="007325F3">
        <w:rPr>
          <w:rStyle w:val="Refdenotaalpie"/>
          <w:rFonts w:ascii="Verdana" w:hAnsi="Verdana"/>
          <w:sz w:val="20"/>
          <w:szCs w:val="20"/>
          <w:lang w:val="es-MX"/>
        </w:rPr>
        <w:footnoteReference w:id="55"/>
      </w:r>
      <w:r w:rsidRPr="007325F3">
        <w:rPr>
          <w:rFonts w:ascii="Verdana" w:hAnsi="Verdana"/>
          <w:sz w:val="20"/>
          <w:szCs w:val="20"/>
          <w:lang w:val="es-MX"/>
        </w:rPr>
        <w:t xml:space="preserve">. </w:t>
      </w:r>
    </w:p>
    <w:p w:rsidR="00F249DD" w:rsidRPr="007325F3" w:rsidRDefault="00F249DD" w:rsidP="00803C8C">
      <w:pPr>
        <w:autoSpaceDE w:val="0"/>
        <w:autoSpaceDN w:val="0"/>
        <w:adjustRightInd w:val="0"/>
        <w:ind w:right="720"/>
        <w:rPr>
          <w:rFonts w:ascii="Verdana" w:hAnsi="Verdana"/>
          <w:sz w:val="20"/>
          <w:szCs w:val="20"/>
          <w:lang w:val="es-MX"/>
        </w:rPr>
      </w:pPr>
    </w:p>
    <w:p w:rsidR="00F249DD" w:rsidRPr="0038569E" w:rsidRDefault="00F249DD" w:rsidP="00120F89">
      <w:pPr>
        <w:numPr>
          <w:ilvl w:val="0"/>
          <w:numId w:val="3"/>
        </w:numPr>
        <w:ind w:left="0" w:firstLine="0"/>
        <w:jc w:val="both"/>
        <w:rPr>
          <w:rFonts w:ascii="Verdana" w:hAnsi="Verdana"/>
          <w:sz w:val="20"/>
          <w:szCs w:val="20"/>
          <w:lang w:val="es-MX"/>
        </w:rPr>
      </w:pPr>
      <w:r w:rsidRPr="0038569E">
        <w:rPr>
          <w:rFonts w:ascii="Verdana" w:hAnsi="Verdana"/>
          <w:sz w:val="20"/>
          <w:szCs w:val="20"/>
          <w:lang w:val="es-MX"/>
        </w:rPr>
        <w:t>El 8 de octubre de 2009 la Corte Constitucional se pronunció sobre la acción por incumplimiento interpuesta por el señor Mejía Idrovo, disponiendo que:</w:t>
      </w:r>
    </w:p>
    <w:p w:rsidR="00F249DD" w:rsidRDefault="00F249DD" w:rsidP="0038569E">
      <w:pPr>
        <w:jc w:val="both"/>
        <w:rPr>
          <w:rFonts w:ascii="Verdana" w:hAnsi="Verdana"/>
          <w:lang w:val="es-MX"/>
        </w:rPr>
      </w:pPr>
    </w:p>
    <w:p w:rsidR="00F249DD" w:rsidRPr="0038569E" w:rsidRDefault="00F249DD" w:rsidP="0038569E">
      <w:pPr>
        <w:ind w:left="720" w:right="720"/>
        <w:jc w:val="both"/>
        <w:rPr>
          <w:rFonts w:ascii="Verdana" w:hAnsi="Verdana"/>
          <w:sz w:val="16"/>
          <w:szCs w:val="16"/>
          <w:lang w:val="es-MX"/>
        </w:rPr>
      </w:pPr>
      <w:r w:rsidRPr="0038569E">
        <w:rPr>
          <w:rFonts w:ascii="Verdana" w:hAnsi="Verdana"/>
          <w:sz w:val="16"/>
          <w:szCs w:val="16"/>
          <w:lang w:val="es-MX"/>
        </w:rPr>
        <w:t>La declaratoria de inconstitucionalidad trae como resultado la expulsión de la norma o instrumento jurídico catalogado como tal (inconstitucional), por lo que desde ese momento en adelante no producirá ningún tipo de efectos; sin embargo, por regla general, los efectos producidos durante el lapso comprendido entre la emergencia de la norma y su declaratoria de inconstitucionalidad, existen y no podrían ser ignoradas a no ser que se traten de efectos cuya inobservancia puede devenir a que las cosas regresen a su estado anterior. De esa manera, existen casos cuyos efectos son de tal naturaleza que es imposible retrotraerse al estado anterior; por su parte, existen otros cas</w:t>
      </w:r>
      <w:r>
        <w:rPr>
          <w:rFonts w:ascii="Verdana" w:hAnsi="Verdana"/>
          <w:sz w:val="16"/>
          <w:szCs w:val="16"/>
          <w:lang w:val="es-MX"/>
        </w:rPr>
        <w:t>os</w:t>
      </w:r>
      <w:r w:rsidRPr="0038569E">
        <w:rPr>
          <w:rFonts w:ascii="Verdana" w:hAnsi="Verdana"/>
          <w:sz w:val="16"/>
          <w:szCs w:val="16"/>
          <w:lang w:val="es-MX"/>
        </w:rPr>
        <w:t xml:space="preserve"> cuyos efectos son de naturaleza tal que podrían retrotraerse al estado anterior.</w:t>
      </w:r>
    </w:p>
    <w:p w:rsidR="00F249DD" w:rsidRPr="0038569E" w:rsidRDefault="00F249DD" w:rsidP="0038569E">
      <w:pPr>
        <w:ind w:left="720" w:right="720"/>
        <w:jc w:val="both"/>
        <w:rPr>
          <w:rFonts w:ascii="Verdana" w:hAnsi="Verdana"/>
          <w:sz w:val="16"/>
          <w:szCs w:val="16"/>
          <w:lang w:val="es-MX"/>
        </w:rPr>
      </w:pPr>
    </w:p>
    <w:p w:rsidR="00F249DD" w:rsidRPr="0038569E" w:rsidRDefault="00F249DD" w:rsidP="0038569E">
      <w:pPr>
        <w:ind w:left="720" w:right="720"/>
        <w:jc w:val="both"/>
        <w:rPr>
          <w:rFonts w:ascii="Verdana" w:hAnsi="Verdana"/>
          <w:sz w:val="16"/>
          <w:szCs w:val="16"/>
          <w:lang w:val="es-MX"/>
        </w:rPr>
      </w:pPr>
      <w:r w:rsidRPr="0038569E">
        <w:rPr>
          <w:rFonts w:ascii="Verdana" w:hAnsi="Verdana"/>
          <w:sz w:val="16"/>
          <w:szCs w:val="16"/>
          <w:lang w:val="es-MX"/>
        </w:rPr>
        <w:t>En lo que tiene relación con el caso que no</w:t>
      </w:r>
      <w:r>
        <w:rPr>
          <w:rFonts w:ascii="Verdana" w:hAnsi="Verdana"/>
          <w:sz w:val="16"/>
          <w:szCs w:val="16"/>
          <w:lang w:val="es-MX"/>
        </w:rPr>
        <w:t>s</w:t>
      </w:r>
      <w:r w:rsidRPr="0038569E">
        <w:rPr>
          <w:rFonts w:ascii="Verdana" w:hAnsi="Verdana"/>
          <w:sz w:val="16"/>
          <w:szCs w:val="16"/>
          <w:lang w:val="es-MX"/>
        </w:rPr>
        <w:t xml:space="preserve"> ocupa, no cabe duda de la inconstitucionalidad de los decretos presidenciales, los que dieron paso a la declaración de disponibilidad y baja del oficial de las Fuerzas Armadas que, en este caso en concreto, desempeña el rol de accionante; sin embargo, la naturaleza de ese caso es aquella cuyos efectos no pueden ser ignorados y retrotraídos al estado anterior, debido a que es materialmente imposible retrotraer al estado original la situación del accionante, pues dicha posibilidad no depende de la mera voluntad o querer humano, sino de las limitaciones fácticas del mundo real.</w:t>
      </w:r>
    </w:p>
    <w:p w:rsidR="00F249DD" w:rsidRPr="0038569E" w:rsidRDefault="00F249DD" w:rsidP="0038569E">
      <w:pPr>
        <w:ind w:left="720" w:right="720"/>
        <w:jc w:val="both"/>
        <w:rPr>
          <w:rFonts w:ascii="Verdana" w:hAnsi="Verdana"/>
          <w:sz w:val="16"/>
          <w:szCs w:val="16"/>
          <w:lang w:val="es-MX"/>
        </w:rPr>
      </w:pPr>
    </w:p>
    <w:p w:rsidR="00F249DD" w:rsidRPr="0038569E" w:rsidRDefault="00F249DD" w:rsidP="0038569E">
      <w:pPr>
        <w:ind w:left="720" w:right="720"/>
        <w:jc w:val="both"/>
        <w:rPr>
          <w:rFonts w:ascii="Verdana" w:hAnsi="Verdana"/>
          <w:sz w:val="16"/>
          <w:szCs w:val="16"/>
          <w:lang w:val="es-MX"/>
        </w:rPr>
      </w:pPr>
      <w:r w:rsidRPr="0038569E">
        <w:rPr>
          <w:rFonts w:ascii="Verdana" w:hAnsi="Verdana"/>
          <w:sz w:val="16"/>
          <w:szCs w:val="16"/>
          <w:lang w:val="es-MX"/>
        </w:rPr>
        <w:t>Por lo tanto, es físicamente imposible retrotraerse en el tiempo, imaginando que los hechos vuelven a su estado original, pues eso implicaría desconocer e invalidar todo tipo de hecho o acto que emergió o tuvo vida a lo largo del lapso entre la promulgación de los Decretos Presidenciales y el momento actual, es decir: los mandatos, las órdenes y las decisiones tomadas en la Fuerza Terrestre y por aquellos funcionarios militares que desempeñaron las labores correspondientes en ausencia del accionante, aunque dicha ausencia haya obedecido a cu</w:t>
      </w:r>
      <w:r>
        <w:rPr>
          <w:rFonts w:ascii="Verdana" w:hAnsi="Verdana"/>
          <w:sz w:val="16"/>
          <w:szCs w:val="16"/>
          <w:lang w:val="es-MX"/>
        </w:rPr>
        <w:t>estiones ajenas a su voluntad</w:t>
      </w:r>
      <w:r>
        <w:rPr>
          <w:rStyle w:val="Refdenotaalpie"/>
          <w:rFonts w:ascii="Verdana" w:hAnsi="Verdana"/>
          <w:sz w:val="16"/>
          <w:szCs w:val="16"/>
          <w:lang w:val="es-MX"/>
        </w:rPr>
        <w:footnoteReference w:id="56"/>
      </w:r>
      <w:r>
        <w:rPr>
          <w:rFonts w:ascii="Verdana" w:hAnsi="Verdana"/>
          <w:sz w:val="16"/>
          <w:szCs w:val="16"/>
          <w:lang w:val="es-MX"/>
        </w:rPr>
        <w:t>.</w:t>
      </w:r>
    </w:p>
    <w:p w:rsidR="00F249DD" w:rsidRDefault="00F249DD" w:rsidP="0038569E">
      <w:pPr>
        <w:jc w:val="both"/>
        <w:rPr>
          <w:rFonts w:ascii="Verdana" w:hAnsi="Verdana"/>
          <w:lang w:val="es-MX"/>
        </w:rPr>
      </w:pPr>
    </w:p>
    <w:p w:rsidR="00F249DD" w:rsidRPr="00BF5D64" w:rsidRDefault="00F249DD" w:rsidP="00120F89">
      <w:pPr>
        <w:jc w:val="both"/>
        <w:rPr>
          <w:rFonts w:ascii="Verdana" w:hAnsi="Verdana"/>
          <w:sz w:val="20"/>
          <w:szCs w:val="20"/>
          <w:lang w:val="es-MX"/>
        </w:rPr>
      </w:pPr>
      <w:r>
        <w:rPr>
          <w:rFonts w:ascii="Verdana" w:hAnsi="Verdana"/>
          <w:sz w:val="20"/>
          <w:szCs w:val="20"/>
          <w:lang w:val="es-MX"/>
        </w:rPr>
        <w:t>Por tanto, dispuso</w:t>
      </w:r>
      <w:r w:rsidRPr="00BF5D64">
        <w:rPr>
          <w:rFonts w:ascii="Verdana" w:hAnsi="Verdana"/>
          <w:sz w:val="20"/>
          <w:szCs w:val="20"/>
          <w:lang w:val="es-MX"/>
        </w:rPr>
        <w:t xml:space="preserve"> que:</w:t>
      </w:r>
    </w:p>
    <w:p w:rsidR="00F249DD" w:rsidRPr="00803C8C" w:rsidRDefault="00F249DD" w:rsidP="00803C8C">
      <w:pPr>
        <w:tabs>
          <w:tab w:val="num" w:pos="1080"/>
        </w:tabs>
        <w:autoSpaceDE w:val="0"/>
        <w:autoSpaceDN w:val="0"/>
        <w:adjustRightInd w:val="0"/>
        <w:jc w:val="both"/>
        <w:rPr>
          <w:rFonts w:ascii="Verdana" w:hAnsi="Verdana"/>
          <w:lang w:val="es-MX"/>
        </w:rPr>
      </w:pPr>
    </w:p>
    <w:p w:rsidR="00F249DD" w:rsidRPr="00803C8C" w:rsidRDefault="00F249DD" w:rsidP="00BD79C8">
      <w:pPr>
        <w:numPr>
          <w:ilvl w:val="1"/>
          <w:numId w:val="2"/>
        </w:numPr>
        <w:tabs>
          <w:tab w:val="clear" w:pos="1440"/>
          <w:tab w:val="num" w:pos="1350"/>
        </w:tabs>
        <w:autoSpaceDE w:val="0"/>
        <w:autoSpaceDN w:val="0"/>
        <w:adjustRightInd w:val="0"/>
        <w:ind w:left="720" w:right="720" w:firstLine="0"/>
        <w:jc w:val="both"/>
        <w:rPr>
          <w:rFonts w:ascii="Verdana" w:hAnsi="Verdana"/>
          <w:sz w:val="16"/>
          <w:szCs w:val="16"/>
          <w:lang w:val="es-MX"/>
        </w:rPr>
      </w:pPr>
      <w:r w:rsidRPr="00803C8C">
        <w:rPr>
          <w:rFonts w:ascii="Verdana" w:hAnsi="Verdana"/>
          <w:sz w:val="16"/>
          <w:szCs w:val="16"/>
          <w:lang w:val="es-MX"/>
        </w:rPr>
        <w:lastRenderedPageBreak/>
        <w:t xml:space="preserve">La reincorporación del accionante a la situación profesional que ostentaba dentro de la Fuerza Terrestre, a la fecha inmediatamente anterior a la expedición de los </w:t>
      </w:r>
      <w:r>
        <w:rPr>
          <w:rFonts w:ascii="Verdana" w:hAnsi="Verdana"/>
          <w:sz w:val="16"/>
          <w:szCs w:val="16"/>
          <w:lang w:val="es-MX"/>
        </w:rPr>
        <w:t>d</w:t>
      </w:r>
      <w:r w:rsidRPr="00803C8C">
        <w:rPr>
          <w:rFonts w:ascii="Verdana" w:hAnsi="Verdana"/>
          <w:sz w:val="16"/>
          <w:szCs w:val="16"/>
          <w:lang w:val="es-MX"/>
        </w:rPr>
        <w:t xml:space="preserve">ecretos </w:t>
      </w:r>
      <w:r>
        <w:rPr>
          <w:rFonts w:ascii="Verdana" w:hAnsi="Verdana"/>
          <w:sz w:val="16"/>
          <w:szCs w:val="16"/>
          <w:lang w:val="es-MX"/>
        </w:rPr>
        <w:t>e</w:t>
      </w:r>
      <w:r w:rsidRPr="00803C8C">
        <w:rPr>
          <w:rFonts w:ascii="Verdana" w:hAnsi="Verdana"/>
          <w:sz w:val="16"/>
          <w:szCs w:val="16"/>
          <w:lang w:val="es-MX"/>
        </w:rPr>
        <w:t>jecutivos declarados inconstitucionales.</w:t>
      </w:r>
    </w:p>
    <w:p w:rsidR="00F249DD" w:rsidRPr="00803C8C" w:rsidRDefault="00F249DD" w:rsidP="00803C8C">
      <w:pPr>
        <w:autoSpaceDE w:val="0"/>
        <w:autoSpaceDN w:val="0"/>
        <w:adjustRightInd w:val="0"/>
        <w:ind w:left="720" w:right="720"/>
        <w:jc w:val="both"/>
        <w:rPr>
          <w:rFonts w:ascii="Verdana" w:hAnsi="Verdana"/>
          <w:sz w:val="16"/>
          <w:szCs w:val="16"/>
          <w:lang w:val="es-MX"/>
        </w:rPr>
      </w:pPr>
    </w:p>
    <w:p w:rsidR="00F249DD" w:rsidRPr="00803C8C" w:rsidRDefault="00F249DD" w:rsidP="00BD79C8">
      <w:pPr>
        <w:numPr>
          <w:ilvl w:val="1"/>
          <w:numId w:val="2"/>
        </w:numPr>
        <w:tabs>
          <w:tab w:val="clear" w:pos="1440"/>
          <w:tab w:val="num" w:pos="1350"/>
        </w:tabs>
        <w:autoSpaceDE w:val="0"/>
        <w:autoSpaceDN w:val="0"/>
        <w:adjustRightInd w:val="0"/>
        <w:ind w:left="720" w:right="720" w:firstLine="0"/>
        <w:jc w:val="both"/>
        <w:rPr>
          <w:rFonts w:ascii="Verdana" w:hAnsi="Verdana"/>
          <w:sz w:val="16"/>
          <w:szCs w:val="16"/>
          <w:lang w:val="es-MX"/>
        </w:rPr>
      </w:pPr>
      <w:r w:rsidRPr="00803C8C">
        <w:rPr>
          <w:rFonts w:ascii="Verdana" w:hAnsi="Verdana"/>
          <w:sz w:val="16"/>
          <w:szCs w:val="16"/>
          <w:lang w:val="es-MX"/>
        </w:rPr>
        <w:t>El reconocimiento de sus derechos patrimoniales consistentes en el pago de todos los emolumentos que le corresponden de acuerdo con las normas legales y reglamentarias aplicables y que haya dejado de percibir desde la declaratoria de inconstitucionalidad, hasta la fecha de su efectiva reincorporación a las mismas;</w:t>
      </w:r>
    </w:p>
    <w:p w:rsidR="00F249DD" w:rsidRPr="00803C8C" w:rsidRDefault="00F249DD" w:rsidP="00803C8C">
      <w:pPr>
        <w:autoSpaceDE w:val="0"/>
        <w:autoSpaceDN w:val="0"/>
        <w:adjustRightInd w:val="0"/>
        <w:ind w:left="720" w:right="720"/>
        <w:jc w:val="both"/>
        <w:rPr>
          <w:rFonts w:ascii="Verdana" w:hAnsi="Verdana"/>
          <w:sz w:val="16"/>
          <w:szCs w:val="16"/>
          <w:lang w:val="es-MX"/>
        </w:rPr>
      </w:pPr>
    </w:p>
    <w:p w:rsidR="00F249DD" w:rsidRPr="0095453E" w:rsidRDefault="00F249DD" w:rsidP="00BD79C8">
      <w:pPr>
        <w:numPr>
          <w:ilvl w:val="1"/>
          <w:numId w:val="2"/>
        </w:numPr>
        <w:tabs>
          <w:tab w:val="clear" w:pos="1440"/>
          <w:tab w:val="num" w:pos="1350"/>
        </w:tabs>
        <w:autoSpaceDE w:val="0"/>
        <w:autoSpaceDN w:val="0"/>
        <w:adjustRightInd w:val="0"/>
        <w:ind w:left="720" w:right="720" w:firstLine="0"/>
        <w:jc w:val="both"/>
        <w:rPr>
          <w:rFonts w:ascii="Verdana" w:hAnsi="Verdana"/>
          <w:sz w:val="16"/>
          <w:szCs w:val="16"/>
          <w:lang w:val="es-MX"/>
        </w:rPr>
      </w:pPr>
      <w:r w:rsidRPr="0095453E">
        <w:rPr>
          <w:rFonts w:ascii="Verdana" w:hAnsi="Verdana"/>
          <w:sz w:val="16"/>
          <w:szCs w:val="16"/>
          <w:lang w:val="es-MX"/>
        </w:rPr>
        <w:t>Impulsar las acciones administrativas y judiciales para hacer efectivo el derecho de repetición a favor del Estado, por los valores que el mismo desembolse como consecuencia del incumplimiento de la Resolución del ex-Tribunal Constitucional</w:t>
      </w:r>
      <w:r w:rsidRPr="0095453E">
        <w:rPr>
          <w:rStyle w:val="Refdenotaalpie"/>
          <w:rFonts w:ascii="Verdana" w:hAnsi="Verdana"/>
          <w:sz w:val="16"/>
          <w:szCs w:val="16"/>
          <w:lang w:val="es-MX"/>
        </w:rPr>
        <w:footnoteReference w:id="57"/>
      </w:r>
      <w:r w:rsidRPr="0095453E">
        <w:rPr>
          <w:rFonts w:ascii="Verdana" w:hAnsi="Verdana"/>
          <w:sz w:val="16"/>
          <w:szCs w:val="16"/>
          <w:lang w:val="es-MX"/>
        </w:rPr>
        <w:t xml:space="preserve">.  </w:t>
      </w:r>
    </w:p>
    <w:p w:rsidR="00F249DD" w:rsidRPr="00803C8C" w:rsidRDefault="00F249DD" w:rsidP="00A72FB3">
      <w:pPr>
        <w:autoSpaceDE w:val="0"/>
        <w:autoSpaceDN w:val="0"/>
        <w:adjustRightInd w:val="0"/>
        <w:ind w:right="720"/>
        <w:jc w:val="both"/>
        <w:rPr>
          <w:rFonts w:ascii="Verdana" w:hAnsi="Verdana"/>
          <w:lang w:val="es-MX"/>
        </w:rPr>
      </w:pPr>
    </w:p>
    <w:p w:rsidR="00F249DD" w:rsidRPr="007325F3" w:rsidRDefault="00F249DD" w:rsidP="00BD79C8">
      <w:pPr>
        <w:numPr>
          <w:ilvl w:val="0"/>
          <w:numId w:val="3"/>
        </w:numPr>
        <w:ind w:left="0" w:firstLine="0"/>
        <w:jc w:val="both"/>
        <w:rPr>
          <w:rFonts w:ascii="Verdana" w:hAnsi="Verdana"/>
          <w:sz w:val="20"/>
          <w:szCs w:val="20"/>
          <w:lang w:val="es-MX"/>
        </w:rPr>
      </w:pPr>
      <w:r w:rsidRPr="007325F3">
        <w:rPr>
          <w:rFonts w:ascii="Verdana" w:hAnsi="Verdana"/>
          <w:sz w:val="20"/>
          <w:szCs w:val="20"/>
          <w:lang w:val="es-MX"/>
        </w:rPr>
        <w:t xml:space="preserve">El 9 de noviembre de 2009 el Comandante General del Ejército remitió al Presidente de la República el proyecto de Decreto Ejecutivo para la reincorporación del señor Mejía </w:t>
      </w:r>
      <w:r>
        <w:rPr>
          <w:rFonts w:ascii="Verdana" w:hAnsi="Verdana"/>
          <w:sz w:val="20"/>
          <w:szCs w:val="20"/>
          <w:lang w:val="es-MX"/>
        </w:rPr>
        <w:t xml:space="preserve">Idrovo </w:t>
      </w:r>
      <w:r w:rsidRPr="007325F3">
        <w:rPr>
          <w:rFonts w:ascii="Verdana" w:hAnsi="Verdana"/>
          <w:sz w:val="20"/>
          <w:szCs w:val="20"/>
          <w:lang w:val="es-MX"/>
        </w:rPr>
        <w:t>al servicio activo</w:t>
      </w:r>
      <w:r>
        <w:rPr>
          <w:rFonts w:ascii="Verdana" w:hAnsi="Verdana"/>
          <w:sz w:val="20"/>
          <w:szCs w:val="20"/>
          <w:lang w:val="es-MX"/>
        </w:rPr>
        <w:t>,</w:t>
      </w:r>
      <w:r w:rsidRPr="007325F3">
        <w:rPr>
          <w:rFonts w:ascii="Verdana" w:hAnsi="Verdana"/>
          <w:sz w:val="20"/>
          <w:szCs w:val="20"/>
          <w:lang w:val="es-MX"/>
        </w:rPr>
        <w:t xml:space="preserve"> con la finalidad de dar cumplimiento a la referida sentencia</w:t>
      </w:r>
      <w:r w:rsidRPr="007325F3">
        <w:rPr>
          <w:rStyle w:val="Refdenotaalpie"/>
          <w:rFonts w:ascii="Verdana" w:hAnsi="Verdana"/>
          <w:sz w:val="20"/>
          <w:szCs w:val="20"/>
          <w:lang w:val="es-MX"/>
        </w:rPr>
        <w:footnoteReference w:id="58"/>
      </w:r>
      <w:r w:rsidRPr="007325F3">
        <w:rPr>
          <w:rFonts w:ascii="Verdana" w:hAnsi="Verdana"/>
          <w:sz w:val="20"/>
          <w:szCs w:val="20"/>
          <w:lang w:val="es-MX"/>
        </w:rPr>
        <w:t xml:space="preserve"> (</w:t>
      </w:r>
      <w:r w:rsidRPr="007325F3">
        <w:rPr>
          <w:rFonts w:ascii="Verdana" w:hAnsi="Verdana"/>
          <w:i/>
          <w:iCs/>
          <w:sz w:val="20"/>
          <w:szCs w:val="20"/>
          <w:lang w:val="es-MX"/>
        </w:rPr>
        <w:t>supra</w:t>
      </w:r>
      <w:r w:rsidRPr="007325F3">
        <w:rPr>
          <w:rFonts w:ascii="Verdana" w:hAnsi="Verdana"/>
          <w:sz w:val="20"/>
          <w:szCs w:val="20"/>
          <w:lang w:val="es-MX"/>
        </w:rPr>
        <w:t xml:space="preserve"> </w:t>
      </w:r>
      <w:r>
        <w:rPr>
          <w:rFonts w:ascii="Verdana" w:hAnsi="Verdana"/>
          <w:sz w:val="20"/>
          <w:szCs w:val="20"/>
          <w:lang w:val="es-MX"/>
        </w:rPr>
        <w:t>párr. 56</w:t>
      </w:r>
      <w:r w:rsidRPr="007325F3">
        <w:rPr>
          <w:rFonts w:ascii="Verdana" w:hAnsi="Verdana"/>
          <w:sz w:val="20"/>
          <w:szCs w:val="20"/>
          <w:lang w:val="es-MX"/>
        </w:rPr>
        <w:t xml:space="preserve">). </w:t>
      </w:r>
      <w:r w:rsidRPr="007325F3">
        <w:rPr>
          <w:rFonts w:ascii="Verdana" w:hAnsi="Verdana"/>
          <w:sz w:val="20"/>
          <w:szCs w:val="20"/>
          <w:lang w:val="es-ES"/>
        </w:rPr>
        <w:t>Mediante Decreto Ejecutivo en el Suplemento No. 504 del Registro Oficial No. 302, del 18 de octubre de 2010, el señor Mejía Idrovo fue reincorporado al servicio activo como Coronel del Ejército</w:t>
      </w:r>
      <w:r w:rsidRPr="007325F3">
        <w:rPr>
          <w:rStyle w:val="Refdenotaalpie"/>
          <w:rFonts w:ascii="Verdana" w:hAnsi="Verdana"/>
          <w:sz w:val="20"/>
          <w:szCs w:val="20"/>
          <w:lang w:val="es-ES"/>
        </w:rPr>
        <w:footnoteReference w:id="59"/>
      </w:r>
      <w:r w:rsidRPr="007325F3">
        <w:rPr>
          <w:rFonts w:ascii="Verdana" w:hAnsi="Verdana"/>
          <w:sz w:val="20"/>
          <w:szCs w:val="20"/>
          <w:lang w:val="es-ES"/>
        </w:rPr>
        <w:t>.</w:t>
      </w:r>
    </w:p>
    <w:p w:rsidR="00F249DD" w:rsidRPr="007325F3" w:rsidRDefault="00F249DD" w:rsidP="00120F89">
      <w:pPr>
        <w:autoSpaceDE w:val="0"/>
        <w:autoSpaceDN w:val="0"/>
        <w:adjustRightInd w:val="0"/>
        <w:jc w:val="both"/>
        <w:rPr>
          <w:rFonts w:ascii="Verdana" w:hAnsi="Verdana"/>
          <w:sz w:val="20"/>
          <w:szCs w:val="20"/>
          <w:lang w:val="es-MX"/>
        </w:rPr>
      </w:pPr>
    </w:p>
    <w:p w:rsidR="00F249DD" w:rsidRPr="007325F3" w:rsidRDefault="00F249DD" w:rsidP="00120F89">
      <w:pPr>
        <w:numPr>
          <w:ilvl w:val="0"/>
          <w:numId w:val="3"/>
        </w:numPr>
        <w:ind w:left="0" w:firstLine="0"/>
        <w:jc w:val="both"/>
        <w:rPr>
          <w:rFonts w:ascii="Verdana" w:hAnsi="Verdana"/>
          <w:sz w:val="20"/>
          <w:szCs w:val="20"/>
          <w:lang w:val="es-ES"/>
        </w:rPr>
      </w:pPr>
      <w:r w:rsidRPr="009C13C9">
        <w:rPr>
          <w:rFonts w:ascii="Verdana" w:hAnsi="Verdana"/>
          <w:sz w:val="20"/>
          <w:szCs w:val="20"/>
          <w:lang w:val="es-MX"/>
        </w:rPr>
        <w:t xml:space="preserve">La </w:t>
      </w:r>
      <w:r w:rsidRPr="007325F3">
        <w:rPr>
          <w:rFonts w:ascii="Verdana" w:hAnsi="Verdana"/>
          <w:sz w:val="20"/>
          <w:szCs w:val="20"/>
          <w:lang w:val="es-MX"/>
        </w:rPr>
        <w:t xml:space="preserve">presunta víctima </w:t>
      </w:r>
      <w:r w:rsidRPr="005443E7">
        <w:rPr>
          <w:rFonts w:ascii="Verdana" w:hAnsi="Verdana"/>
          <w:sz w:val="20"/>
          <w:szCs w:val="20"/>
          <w:lang w:val="es-MX"/>
        </w:rPr>
        <w:t>solicitó</w:t>
      </w:r>
      <w:r w:rsidRPr="007325F3">
        <w:rPr>
          <w:rFonts w:ascii="Verdana" w:hAnsi="Verdana"/>
          <w:sz w:val="20"/>
          <w:szCs w:val="20"/>
          <w:lang w:val="es-MX"/>
        </w:rPr>
        <w:t xml:space="preserve"> a la Corte Constitucional que aclare y amplíe la Sentencia de Incumplimiento, principalmente en lo que se refiere al ascenso a los grados inmediatos superiores de acuerdo a la Ley de Personal de las Fuerzas Armadas</w:t>
      </w:r>
      <w:r w:rsidRPr="007325F3">
        <w:rPr>
          <w:rStyle w:val="Refdenotaalpie"/>
          <w:rFonts w:ascii="Verdana" w:hAnsi="Verdana"/>
          <w:sz w:val="20"/>
          <w:szCs w:val="20"/>
          <w:lang w:val="es-MX"/>
        </w:rPr>
        <w:footnoteReference w:id="60"/>
      </w:r>
      <w:r w:rsidRPr="007325F3">
        <w:rPr>
          <w:rFonts w:ascii="Verdana" w:hAnsi="Verdana"/>
          <w:sz w:val="20"/>
          <w:szCs w:val="20"/>
          <w:lang w:val="es-MX"/>
        </w:rPr>
        <w:t>. El 11 de marzo de 201</w:t>
      </w:r>
      <w:r>
        <w:rPr>
          <w:rFonts w:ascii="Verdana" w:hAnsi="Verdana"/>
          <w:sz w:val="20"/>
          <w:szCs w:val="20"/>
          <w:lang w:val="es-MX"/>
        </w:rPr>
        <w:t>0</w:t>
      </w:r>
      <w:r w:rsidRPr="007325F3">
        <w:rPr>
          <w:rFonts w:ascii="Verdana" w:hAnsi="Verdana"/>
          <w:sz w:val="20"/>
          <w:szCs w:val="20"/>
          <w:lang w:val="es-MX"/>
        </w:rPr>
        <w:t xml:space="preserve"> la Corte Constitucional neg</w:t>
      </w:r>
      <w:r w:rsidRPr="007325F3">
        <w:rPr>
          <w:rFonts w:ascii="Verdana" w:hAnsi="Verdana"/>
          <w:sz w:val="20"/>
          <w:szCs w:val="20"/>
          <w:lang w:val="es-ES"/>
        </w:rPr>
        <w:t>ó la ampliación y aclaración solicitada y señaló que la reincorporación debe darse “en las condiciones que se encontraba al momento de la expedición de los Decretos Ejecutivos declarados inconstitucionales</w:t>
      </w:r>
      <w:r>
        <w:rPr>
          <w:rFonts w:ascii="Verdana" w:hAnsi="Verdana"/>
          <w:sz w:val="20"/>
          <w:szCs w:val="20"/>
          <w:lang w:val="es-ES"/>
        </w:rPr>
        <w:t xml:space="preserve"> </w:t>
      </w:r>
      <w:r w:rsidRPr="007325F3">
        <w:rPr>
          <w:rFonts w:ascii="Verdana" w:hAnsi="Verdana"/>
          <w:sz w:val="20"/>
          <w:szCs w:val="20"/>
          <w:lang w:val="es-ES"/>
        </w:rPr>
        <w:t>[…], es decir, su reincorporación al Grado de Coronel”</w:t>
      </w:r>
      <w:r w:rsidRPr="007325F3">
        <w:rPr>
          <w:rStyle w:val="Refdenotaalpie"/>
          <w:rFonts w:ascii="Verdana" w:hAnsi="Verdana"/>
          <w:sz w:val="20"/>
          <w:szCs w:val="20"/>
          <w:lang w:val="es-MX"/>
        </w:rPr>
        <w:footnoteReference w:id="61"/>
      </w:r>
      <w:r w:rsidRPr="007325F3">
        <w:rPr>
          <w:rFonts w:ascii="Verdana" w:hAnsi="Verdana"/>
          <w:sz w:val="20"/>
          <w:szCs w:val="20"/>
          <w:lang w:val="es-ES"/>
        </w:rPr>
        <w:t xml:space="preserve">. Asimismo, solicitó información al Ministro de Defensa Nacional y </w:t>
      </w:r>
      <w:r>
        <w:rPr>
          <w:rFonts w:ascii="Verdana" w:hAnsi="Verdana"/>
          <w:sz w:val="20"/>
          <w:szCs w:val="20"/>
          <w:lang w:val="es-ES"/>
        </w:rPr>
        <w:t>a</w:t>
      </w:r>
      <w:r w:rsidRPr="007325F3">
        <w:rPr>
          <w:rFonts w:ascii="Verdana" w:hAnsi="Verdana"/>
          <w:sz w:val="20"/>
          <w:szCs w:val="20"/>
          <w:lang w:val="es-ES"/>
        </w:rPr>
        <w:t>l Comandante General del Ejército</w:t>
      </w:r>
      <w:r>
        <w:rPr>
          <w:rFonts w:ascii="Verdana" w:hAnsi="Verdana"/>
          <w:sz w:val="20"/>
          <w:szCs w:val="20"/>
          <w:lang w:val="es-ES"/>
        </w:rPr>
        <w:t xml:space="preserve"> </w:t>
      </w:r>
      <w:r w:rsidRPr="007325F3">
        <w:rPr>
          <w:rFonts w:ascii="Verdana" w:hAnsi="Verdana"/>
          <w:sz w:val="20"/>
          <w:szCs w:val="20"/>
          <w:lang w:val="es-ES"/>
        </w:rPr>
        <w:t xml:space="preserve">sobre las acciones adoptadas para dar fiel cumplimiento </w:t>
      </w:r>
      <w:r>
        <w:rPr>
          <w:rFonts w:ascii="Verdana" w:hAnsi="Verdana"/>
          <w:sz w:val="20"/>
          <w:szCs w:val="20"/>
          <w:lang w:val="es-ES"/>
        </w:rPr>
        <w:t>a</w:t>
      </w:r>
      <w:r w:rsidRPr="007325F3">
        <w:rPr>
          <w:rFonts w:ascii="Verdana" w:hAnsi="Verdana"/>
          <w:sz w:val="20"/>
          <w:szCs w:val="20"/>
          <w:lang w:val="es-ES"/>
        </w:rPr>
        <w:t xml:space="preserve"> lo ordenado.</w:t>
      </w:r>
    </w:p>
    <w:p w:rsidR="00F249DD" w:rsidRPr="007325F3" w:rsidRDefault="00F249DD" w:rsidP="00120F89">
      <w:pPr>
        <w:autoSpaceDE w:val="0"/>
        <w:autoSpaceDN w:val="0"/>
        <w:adjustRightInd w:val="0"/>
        <w:jc w:val="both"/>
        <w:rPr>
          <w:rFonts w:ascii="Verdana" w:hAnsi="Verdana"/>
          <w:sz w:val="20"/>
          <w:szCs w:val="20"/>
          <w:lang w:val="es-MX"/>
        </w:rPr>
      </w:pPr>
    </w:p>
    <w:p w:rsidR="00F249DD" w:rsidRPr="007325F3" w:rsidRDefault="00F249DD" w:rsidP="00803C8C">
      <w:pPr>
        <w:autoSpaceDE w:val="0"/>
        <w:autoSpaceDN w:val="0"/>
        <w:adjustRightInd w:val="0"/>
        <w:ind w:firstLine="720"/>
        <w:jc w:val="both"/>
        <w:rPr>
          <w:rFonts w:ascii="Verdana" w:hAnsi="Verdana"/>
          <w:i/>
          <w:iCs/>
          <w:sz w:val="20"/>
          <w:szCs w:val="20"/>
          <w:lang w:val="es-MX"/>
        </w:rPr>
      </w:pPr>
      <w:r w:rsidRPr="007325F3">
        <w:rPr>
          <w:rFonts w:ascii="Verdana" w:hAnsi="Verdana"/>
          <w:i/>
          <w:iCs/>
          <w:sz w:val="20"/>
          <w:szCs w:val="20"/>
          <w:lang w:val="es-MX"/>
        </w:rPr>
        <w:t xml:space="preserve">e)  </w:t>
      </w:r>
      <w:r>
        <w:rPr>
          <w:rFonts w:ascii="Verdana" w:hAnsi="Verdana"/>
          <w:i/>
          <w:iCs/>
          <w:sz w:val="20"/>
          <w:szCs w:val="20"/>
          <w:lang w:val="es-MX"/>
        </w:rPr>
        <w:t>Nueva cali</w:t>
      </w:r>
      <w:r w:rsidRPr="007325F3">
        <w:rPr>
          <w:rFonts w:ascii="Verdana" w:hAnsi="Verdana"/>
          <w:i/>
          <w:iCs/>
          <w:sz w:val="20"/>
          <w:szCs w:val="20"/>
          <w:lang w:val="es-MX"/>
        </w:rPr>
        <w:t>ficación ante el Con</w:t>
      </w:r>
      <w:r>
        <w:rPr>
          <w:rFonts w:ascii="Verdana" w:hAnsi="Verdana"/>
          <w:i/>
          <w:iCs/>
          <w:sz w:val="20"/>
          <w:szCs w:val="20"/>
          <w:lang w:val="es-MX"/>
        </w:rPr>
        <w:t>s</w:t>
      </w:r>
      <w:r w:rsidRPr="007325F3">
        <w:rPr>
          <w:rFonts w:ascii="Verdana" w:hAnsi="Verdana"/>
          <w:i/>
          <w:iCs/>
          <w:sz w:val="20"/>
          <w:szCs w:val="20"/>
          <w:lang w:val="es-MX"/>
        </w:rPr>
        <w:t>ejo de Generales de las Fuerzas Armada</w:t>
      </w:r>
      <w:r>
        <w:rPr>
          <w:rFonts w:ascii="Verdana" w:hAnsi="Verdana"/>
          <w:i/>
          <w:iCs/>
          <w:sz w:val="20"/>
          <w:szCs w:val="20"/>
          <w:lang w:val="es-MX"/>
        </w:rPr>
        <w:t>s</w:t>
      </w:r>
      <w:r w:rsidRPr="007325F3">
        <w:rPr>
          <w:rFonts w:ascii="Verdana" w:hAnsi="Verdana"/>
          <w:i/>
          <w:iCs/>
          <w:sz w:val="20"/>
          <w:szCs w:val="20"/>
          <w:lang w:val="es-MX"/>
        </w:rPr>
        <w:t xml:space="preserve"> </w:t>
      </w:r>
    </w:p>
    <w:p w:rsidR="00F249DD" w:rsidRPr="007325F3" w:rsidRDefault="00F249DD" w:rsidP="00120F89">
      <w:pPr>
        <w:autoSpaceDE w:val="0"/>
        <w:autoSpaceDN w:val="0"/>
        <w:adjustRightInd w:val="0"/>
        <w:jc w:val="both"/>
        <w:rPr>
          <w:rFonts w:ascii="Verdana" w:hAnsi="Verdana"/>
          <w:sz w:val="20"/>
          <w:szCs w:val="20"/>
          <w:lang w:val="es-MX"/>
        </w:rPr>
      </w:pPr>
    </w:p>
    <w:p w:rsidR="00F249DD" w:rsidRPr="00E54456" w:rsidRDefault="00F249DD" w:rsidP="00120F89">
      <w:pPr>
        <w:numPr>
          <w:ilvl w:val="0"/>
          <w:numId w:val="3"/>
        </w:numPr>
        <w:ind w:left="0" w:firstLine="0"/>
        <w:jc w:val="both"/>
        <w:rPr>
          <w:rFonts w:ascii="Verdana" w:hAnsi="Verdana"/>
          <w:sz w:val="20"/>
          <w:szCs w:val="20"/>
          <w:lang w:val="es-ES"/>
        </w:rPr>
      </w:pPr>
      <w:r w:rsidRPr="00E54456">
        <w:rPr>
          <w:rFonts w:ascii="Verdana" w:hAnsi="Verdana"/>
          <w:sz w:val="20"/>
          <w:szCs w:val="20"/>
          <w:lang w:val="es-MX"/>
        </w:rPr>
        <w:t>El 2</w:t>
      </w:r>
      <w:r>
        <w:rPr>
          <w:rFonts w:ascii="Verdana" w:hAnsi="Verdana"/>
          <w:sz w:val="20"/>
          <w:szCs w:val="20"/>
          <w:lang w:val="es-MX"/>
        </w:rPr>
        <w:t>3</w:t>
      </w:r>
      <w:r w:rsidRPr="00E54456">
        <w:rPr>
          <w:rFonts w:ascii="Verdana" w:hAnsi="Verdana"/>
          <w:sz w:val="20"/>
          <w:szCs w:val="20"/>
          <w:lang w:val="es-MX"/>
        </w:rPr>
        <w:t xml:space="preserve"> de marzo de 2011 el Presidente del Consejo de Oficiales Generales comun</w:t>
      </w:r>
      <w:r>
        <w:rPr>
          <w:rFonts w:ascii="Verdana" w:hAnsi="Verdana"/>
          <w:sz w:val="20"/>
          <w:szCs w:val="20"/>
          <w:lang w:val="es-MX"/>
        </w:rPr>
        <w:t xml:space="preserve">icó al señor Mejía Idrovo que dicho Consejo </w:t>
      </w:r>
      <w:r w:rsidRPr="00E54456">
        <w:rPr>
          <w:rFonts w:ascii="Verdana" w:hAnsi="Verdana"/>
          <w:sz w:val="20"/>
          <w:szCs w:val="20"/>
          <w:lang w:val="es-MX"/>
        </w:rPr>
        <w:t>resolvió calificarlo como “no apto para el ascenso al grado de General de Brigada”</w:t>
      </w:r>
      <w:r w:rsidRPr="00E54456">
        <w:rPr>
          <w:rStyle w:val="Refdenotaalpie"/>
          <w:rFonts w:ascii="Verdana" w:hAnsi="Verdana"/>
          <w:sz w:val="20"/>
          <w:szCs w:val="20"/>
          <w:lang w:val="es-MX"/>
        </w:rPr>
        <w:footnoteReference w:id="62"/>
      </w:r>
      <w:r w:rsidRPr="00E54456">
        <w:rPr>
          <w:rFonts w:ascii="Verdana" w:hAnsi="Verdana"/>
          <w:sz w:val="20"/>
          <w:szCs w:val="20"/>
          <w:lang w:val="es-MX"/>
        </w:rPr>
        <w:t xml:space="preserve">, aplicando lo dispuesto en el artículo </w:t>
      </w:r>
      <w:r w:rsidRPr="007E2B8A">
        <w:rPr>
          <w:rFonts w:ascii="Verdana" w:hAnsi="Verdana"/>
          <w:sz w:val="20"/>
          <w:szCs w:val="20"/>
          <w:lang w:val="es-MX"/>
        </w:rPr>
        <w:t>76 literal f)</w:t>
      </w:r>
      <w:r w:rsidRPr="007E2B8A">
        <w:rPr>
          <w:rStyle w:val="Smbolodenotaalpie"/>
          <w:lang w:val="es-MX"/>
        </w:rPr>
        <w:footnoteReference w:id="63"/>
      </w:r>
      <w:r w:rsidRPr="00E54456">
        <w:rPr>
          <w:rFonts w:ascii="Verdana" w:hAnsi="Verdana"/>
          <w:sz w:val="20"/>
          <w:szCs w:val="20"/>
          <w:lang w:val="es-MX"/>
        </w:rPr>
        <w:t xml:space="preserve"> de la Ley de Personal. El </w:t>
      </w:r>
      <w:r w:rsidRPr="00E54456">
        <w:rPr>
          <w:rFonts w:ascii="Verdana" w:hAnsi="Verdana"/>
          <w:sz w:val="20"/>
          <w:szCs w:val="20"/>
          <w:lang w:val="es-MX"/>
        </w:rPr>
        <w:lastRenderedPageBreak/>
        <w:t>25 de marzo de 2011 el señor Me</w:t>
      </w:r>
      <w:r w:rsidRPr="00E54456">
        <w:rPr>
          <w:rFonts w:ascii="Verdana" w:hAnsi="Verdana"/>
          <w:sz w:val="20"/>
          <w:szCs w:val="20"/>
          <w:lang w:val="es-ES"/>
        </w:rPr>
        <w:t xml:space="preserve">jía Idrovo presentó </w:t>
      </w:r>
      <w:r>
        <w:rPr>
          <w:rFonts w:ascii="Verdana" w:hAnsi="Verdana"/>
          <w:sz w:val="20"/>
          <w:szCs w:val="20"/>
          <w:lang w:val="es-ES"/>
        </w:rPr>
        <w:t xml:space="preserve">un </w:t>
      </w:r>
      <w:r w:rsidRPr="00E54456">
        <w:rPr>
          <w:rFonts w:ascii="Verdana" w:hAnsi="Verdana"/>
          <w:sz w:val="20"/>
          <w:szCs w:val="20"/>
          <w:lang w:val="es-ES"/>
        </w:rPr>
        <w:t xml:space="preserve">escrito de impugnación a la resolución del Consejo de Oficiales </w:t>
      </w:r>
      <w:r w:rsidRPr="005A3625">
        <w:rPr>
          <w:rFonts w:ascii="Verdana" w:hAnsi="Verdana"/>
          <w:sz w:val="20"/>
          <w:szCs w:val="20"/>
          <w:lang w:val="es-ES"/>
        </w:rPr>
        <w:t>Generales</w:t>
      </w:r>
      <w:r>
        <w:rPr>
          <w:rStyle w:val="Refdenotaalpie"/>
          <w:rFonts w:ascii="Verdana" w:hAnsi="Verdana"/>
          <w:sz w:val="20"/>
          <w:szCs w:val="20"/>
          <w:lang w:val="es-ES"/>
        </w:rPr>
        <w:footnoteReference w:id="64"/>
      </w:r>
      <w:r>
        <w:rPr>
          <w:rFonts w:ascii="Verdana" w:hAnsi="Verdana"/>
          <w:sz w:val="20"/>
          <w:szCs w:val="20"/>
          <w:lang w:val="es-ES"/>
        </w:rPr>
        <w:t>.</w:t>
      </w:r>
      <w:r w:rsidRPr="00E54456">
        <w:rPr>
          <w:rFonts w:ascii="Verdana" w:hAnsi="Verdana"/>
          <w:sz w:val="20"/>
          <w:szCs w:val="20"/>
          <w:lang w:val="es-ES"/>
        </w:rPr>
        <w:t xml:space="preserve"> El 6 de abril de 2011 el Consejo de Oficiales Generales resolvió “negar la impugnación interpuesta por el [reclamante]</w:t>
      </w:r>
      <w:r>
        <w:rPr>
          <w:rFonts w:ascii="Verdana" w:hAnsi="Verdana"/>
          <w:sz w:val="20"/>
          <w:szCs w:val="20"/>
          <w:lang w:val="es-ES"/>
        </w:rPr>
        <w:t>, en consecuencia se ratifica</w:t>
      </w:r>
      <w:r w:rsidRPr="00E54456">
        <w:rPr>
          <w:rFonts w:ascii="Verdana" w:hAnsi="Verdana"/>
          <w:sz w:val="20"/>
          <w:szCs w:val="20"/>
          <w:lang w:val="es-ES"/>
        </w:rPr>
        <w:t xml:space="preserve"> la resolución dictada</w:t>
      </w:r>
      <w:r>
        <w:rPr>
          <w:rFonts w:ascii="Verdana" w:hAnsi="Verdana"/>
          <w:sz w:val="20"/>
          <w:szCs w:val="20"/>
          <w:lang w:val="es-ES"/>
        </w:rPr>
        <w:t xml:space="preserve"> por el Consejo de Generales</w:t>
      </w:r>
      <w:r w:rsidRPr="00E54456">
        <w:rPr>
          <w:rFonts w:ascii="Verdana" w:hAnsi="Verdana"/>
          <w:sz w:val="20"/>
          <w:szCs w:val="20"/>
          <w:lang w:val="es-ES"/>
        </w:rPr>
        <w:t xml:space="preserve"> en sesión de fecha 10 de marzo de 2011”</w:t>
      </w:r>
      <w:r w:rsidRPr="00E54456">
        <w:rPr>
          <w:rStyle w:val="Refdenotaalpie"/>
          <w:rFonts w:ascii="Verdana" w:hAnsi="Verdana"/>
          <w:sz w:val="20"/>
          <w:szCs w:val="20"/>
          <w:lang w:val="es-ES"/>
        </w:rPr>
        <w:footnoteReference w:id="65"/>
      </w:r>
      <w:r w:rsidRPr="00E54456">
        <w:rPr>
          <w:rFonts w:ascii="Verdana" w:hAnsi="Verdana"/>
          <w:sz w:val="20"/>
          <w:szCs w:val="20"/>
          <w:lang w:val="es-ES"/>
        </w:rPr>
        <w:t xml:space="preserve">. </w:t>
      </w:r>
    </w:p>
    <w:p w:rsidR="00F249DD" w:rsidRPr="007325F3" w:rsidRDefault="00F249DD" w:rsidP="00803C8C">
      <w:pPr>
        <w:ind w:right="738"/>
        <w:jc w:val="both"/>
        <w:rPr>
          <w:rFonts w:ascii="Verdana" w:hAnsi="Verdana"/>
          <w:i/>
          <w:iCs/>
          <w:sz w:val="20"/>
          <w:szCs w:val="20"/>
          <w:lang w:val="es-CR"/>
        </w:rPr>
      </w:pPr>
    </w:p>
    <w:p w:rsidR="00F249DD" w:rsidRPr="00A67766" w:rsidRDefault="00F249DD" w:rsidP="0097625B">
      <w:pPr>
        <w:pStyle w:val="Ttulo2"/>
        <w:jc w:val="both"/>
      </w:pPr>
      <w:bookmarkStart w:id="178" w:name="_Toc294626198"/>
      <w:bookmarkStart w:id="179" w:name="_Toc294633774"/>
      <w:bookmarkStart w:id="180" w:name="_Toc294634484"/>
      <w:bookmarkStart w:id="181" w:name="_Toc294635312"/>
      <w:bookmarkStart w:id="182" w:name="_Toc294862705"/>
      <w:bookmarkStart w:id="183" w:name="_Toc294862768"/>
      <w:bookmarkStart w:id="184" w:name="_Toc295380319"/>
      <w:bookmarkStart w:id="185" w:name="_Toc295394471"/>
      <w:bookmarkStart w:id="186" w:name="_Toc295394625"/>
      <w:bookmarkStart w:id="187" w:name="_Toc295986077"/>
      <w:bookmarkStart w:id="188" w:name="_Toc295986294"/>
      <w:bookmarkStart w:id="189" w:name="_Toc295986414"/>
      <w:bookmarkStart w:id="190" w:name="_Toc294623394"/>
      <w:bookmarkStart w:id="191" w:name="_Toc294623649"/>
      <w:r w:rsidRPr="00A67766">
        <w:t xml:space="preserve">Garantías </w:t>
      </w:r>
      <w:r>
        <w:t>del proceso</w:t>
      </w:r>
      <w:r w:rsidRPr="00A67766">
        <w:t xml:space="preserve"> </w:t>
      </w:r>
      <w:bookmarkEnd w:id="178"/>
      <w:bookmarkEnd w:id="179"/>
      <w:bookmarkEnd w:id="180"/>
      <w:bookmarkEnd w:id="181"/>
      <w:r w:rsidRPr="00A67766">
        <w:t xml:space="preserve">en los trámites ante </w:t>
      </w:r>
      <w:r w:rsidRPr="00A67766">
        <w:rPr>
          <w:lang w:val="es-CR"/>
        </w:rPr>
        <w:t xml:space="preserve">el Consejo de Oficiales Generales de la Fuerza Terrestre, y ante el Tribunal Constitucional </w:t>
      </w:r>
      <w:r w:rsidRPr="00A67766">
        <w:t>(Artículo 8 de la Convención Americana)</w:t>
      </w:r>
      <w:bookmarkEnd w:id="182"/>
      <w:bookmarkEnd w:id="183"/>
      <w:bookmarkEnd w:id="184"/>
      <w:bookmarkEnd w:id="185"/>
      <w:bookmarkEnd w:id="186"/>
      <w:bookmarkEnd w:id="187"/>
      <w:bookmarkEnd w:id="188"/>
      <w:bookmarkEnd w:id="189"/>
    </w:p>
    <w:bookmarkEnd w:id="190"/>
    <w:bookmarkEnd w:id="191"/>
    <w:p w:rsidR="00F249DD" w:rsidRPr="007325F3" w:rsidRDefault="00F249DD" w:rsidP="00803C8C">
      <w:pPr>
        <w:ind w:right="738"/>
        <w:jc w:val="both"/>
        <w:rPr>
          <w:rFonts w:ascii="Verdana" w:hAnsi="Verdana"/>
          <w:i/>
          <w:iCs/>
          <w:sz w:val="20"/>
          <w:szCs w:val="20"/>
          <w:lang w:val="es-CR"/>
        </w:rPr>
      </w:pPr>
    </w:p>
    <w:p w:rsidR="00F249DD" w:rsidRDefault="00F249DD" w:rsidP="00CD25E0">
      <w:pPr>
        <w:numPr>
          <w:ilvl w:val="0"/>
          <w:numId w:val="3"/>
        </w:numPr>
        <w:ind w:left="0" w:firstLine="0"/>
        <w:jc w:val="both"/>
        <w:rPr>
          <w:rFonts w:ascii="Verdana" w:hAnsi="Verdana"/>
          <w:i/>
          <w:iCs/>
          <w:sz w:val="20"/>
          <w:szCs w:val="20"/>
          <w:u w:val="single"/>
          <w:lang w:val="es-ES"/>
        </w:rPr>
      </w:pPr>
      <w:r w:rsidRPr="00E23CB0">
        <w:rPr>
          <w:rFonts w:ascii="Verdana" w:hAnsi="Verdana"/>
          <w:sz w:val="20"/>
          <w:szCs w:val="20"/>
          <w:lang w:val="es-CR"/>
        </w:rPr>
        <w:t>La Corte analizará la alegada violación de las garantías judiciales reconocidas en el artículo 8.1 de la Convención Americana. Para tales efec</w:t>
      </w:r>
      <w:r>
        <w:rPr>
          <w:rFonts w:ascii="Verdana" w:hAnsi="Verdana"/>
          <w:sz w:val="20"/>
          <w:szCs w:val="20"/>
          <w:lang w:val="es-CR"/>
        </w:rPr>
        <w:t xml:space="preserve">tos, el Tribunal </w:t>
      </w:r>
      <w:r w:rsidRPr="00A402E2">
        <w:rPr>
          <w:rFonts w:ascii="Verdana" w:hAnsi="Verdana"/>
          <w:sz w:val="20"/>
          <w:szCs w:val="20"/>
          <w:lang w:val="es-CR"/>
        </w:rPr>
        <w:t xml:space="preserve">analizará las alegadas irregularidades producidas en los trámites </w:t>
      </w:r>
      <w:r>
        <w:rPr>
          <w:rFonts w:ascii="Verdana" w:hAnsi="Verdana"/>
          <w:sz w:val="20"/>
          <w:szCs w:val="20"/>
          <w:lang w:val="es-CR"/>
        </w:rPr>
        <w:t>realizados por el</w:t>
      </w:r>
      <w:r w:rsidRPr="00A402E2">
        <w:rPr>
          <w:rFonts w:ascii="Verdana" w:hAnsi="Verdana"/>
          <w:sz w:val="20"/>
          <w:szCs w:val="20"/>
          <w:lang w:val="es-CR"/>
        </w:rPr>
        <w:t xml:space="preserve"> señor Mejía Idrovo. </w:t>
      </w:r>
    </w:p>
    <w:p w:rsidR="00F249DD" w:rsidRPr="00EB16BD" w:rsidRDefault="00F249DD" w:rsidP="00EB16BD">
      <w:pPr>
        <w:pStyle w:val="Ttulo3"/>
        <w:rPr>
          <w:lang w:val="es-CR"/>
        </w:rPr>
      </w:pPr>
      <w:bookmarkStart w:id="192" w:name="_Toc294862706"/>
      <w:bookmarkStart w:id="193" w:name="_Toc294862769"/>
      <w:bookmarkStart w:id="194" w:name="_Toc295380320"/>
      <w:bookmarkStart w:id="195" w:name="_Toc295394472"/>
      <w:bookmarkStart w:id="196" w:name="_Toc295394626"/>
      <w:bookmarkStart w:id="197" w:name="_Toc295986078"/>
      <w:bookmarkStart w:id="198" w:name="_Toc295986295"/>
      <w:bookmarkStart w:id="199" w:name="_Toc295986415"/>
      <w:r>
        <w:rPr>
          <w:lang w:val="es-CR"/>
        </w:rPr>
        <w:t>Falta de motivación</w:t>
      </w:r>
      <w:r w:rsidRPr="00EB16BD">
        <w:rPr>
          <w:lang w:val="es-CR"/>
        </w:rPr>
        <w:t xml:space="preserve"> ante el Consejo de Oficiales Generales de la Fuerza Terrestre</w:t>
      </w:r>
      <w:bookmarkEnd w:id="192"/>
      <w:bookmarkEnd w:id="193"/>
      <w:bookmarkEnd w:id="194"/>
      <w:bookmarkEnd w:id="195"/>
      <w:bookmarkEnd w:id="196"/>
      <w:bookmarkEnd w:id="197"/>
      <w:bookmarkEnd w:id="198"/>
      <w:bookmarkEnd w:id="199"/>
    </w:p>
    <w:p w:rsidR="00F249DD" w:rsidRPr="007325F3" w:rsidRDefault="00F249DD" w:rsidP="00803C8C">
      <w:pPr>
        <w:ind w:right="738"/>
        <w:rPr>
          <w:rFonts w:ascii="Verdana" w:hAnsi="Verdana"/>
          <w:i/>
          <w:iCs/>
          <w:sz w:val="20"/>
          <w:szCs w:val="20"/>
          <w:u w:val="single"/>
          <w:lang w:val="es-ES"/>
        </w:rPr>
      </w:pPr>
    </w:p>
    <w:p w:rsidR="00F249DD" w:rsidRPr="0087777F" w:rsidRDefault="00F249DD" w:rsidP="00803C8C">
      <w:pPr>
        <w:ind w:left="720" w:right="738" w:hanging="720"/>
        <w:jc w:val="both"/>
        <w:rPr>
          <w:rFonts w:ascii="Verdana" w:hAnsi="Verdana"/>
          <w:sz w:val="20"/>
          <w:szCs w:val="20"/>
          <w:lang w:val="es-CR"/>
        </w:rPr>
      </w:pPr>
      <w:r w:rsidRPr="0087777F">
        <w:rPr>
          <w:rFonts w:ascii="Verdana" w:hAnsi="Verdana"/>
          <w:bCs/>
          <w:i/>
          <w:iCs/>
          <w:sz w:val="20"/>
          <w:szCs w:val="20"/>
          <w:lang w:val="es-CR"/>
        </w:rPr>
        <w:t>Alegatos de las partes</w:t>
      </w:r>
    </w:p>
    <w:p w:rsidR="00F249DD" w:rsidRPr="007325F3" w:rsidRDefault="00F249DD" w:rsidP="00803C8C">
      <w:pPr>
        <w:ind w:right="-36"/>
        <w:jc w:val="both"/>
        <w:rPr>
          <w:rFonts w:ascii="Verdana" w:hAnsi="Verdana"/>
          <w:sz w:val="20"/>
          <w:szCs w:val="20"/>
          <w:lang w:val="es-CR"/>
        </w:rPr>
      </w:pPr>
    </w:p>
    <w:p w:rsidR="00F249DD" w:rsidRPr="007325F3" w:rsidRDefault="00F249DD" w:rsidP="00120F89">
      <w:pPr>
        <w:numPr>
          <w:ilvl w:val="0"/>
          <w:numId w:val="3"/>
        </w:numPr>
        <w:ind w:left="0" w:firstLine="0"/>
        <w:jc w:val="both"/>
        <w:rPr>
          <w:rFonts w:ascii="Verdana" w:hAnsi="Verdana"/>
          <w:sz w:val="20"/>
          <w:szCs w:val="20"/>
          <w:lang w:val="es-CR"/>
        </w:rPr>
      </w:pPr>
      <w:r w:rsidRPr="00553488">
        <w:rPr>
          <w:rFonts w:ascii="Verdana" w:hAnsi="Verdana"/>
          <w:sz w:val="20"/>
          <w:szCs w:val="20"/>
          <w:lang w:val="es-CR"/>
        </w:rPr>
        <w:t>Los representantes</w:t>
      </w:r>
      <w:r w:rsidRPr="007325F3">
        <w:rPr>
          <w:rFonts w:ascii="Verdana" w:hAnsi="Verdana"/>
          <w:sz w:val="20"/>
          <w:szCs w:val="20"/>
          <w:lang w:val="es-CR"/>
        </w:rPr>
        <w:t xml:space="preserve"> argumentaron que las comunicaciones de las autoridades estatales deben ser motivadas, ya que de lo contrario se viola el debido proceso de la presunta víctima, quien no puede ejercer su defensa debidamente. Para justificar su posición, citaron el artículo 24 inciso 13 de la Constitución Política vigente al momento de los hechos</w:t>
      </w:r>
      <w:r w:rsidRPr="007325F3">
        <w:rPr>
          <w:rStyle w:val="Smbolodenotaalpie"/>
        </w:rPr>
        <w:footnoteReference w:id="66"/>
      </w:r>
      <w:r w:rsidRPr="007325F3">
        <w:rPr>
          <w:rFonts w:ascii="Verdana" w:hAnsi="Verdana"/>
          <w:sz w:val="20"/>
          <w:szCs w:val="20"/>
          <w:lang w:val="es-CR"/>
        </w:rPr>
        <w:t xml:space="preserve"> y el literal “a” del anexo “A”</w:t>
      </w:r>
      <w:r w:rsidRPr="007325F3">
        <w:rPr>
          <w:rStyle w:val="Smbolodenotaalpie"/>
        </w:rPr>
        <w:footnoteReference w:id="67"/>
      </w:r>
      <w:r w:rsidRPr="007325F3">
        <w:rPr>
          <w:rFonts w:ascii="Verdana" w:hAnsi="Verdana"/>
          <w:sz w:val="20"/>
          <w:szCs w:val="20"/>
          <w:lang w:val="es-CR"/>
        </w:rPr>
        <w:t xml:space="preserve"> del Reglamento Consejo de</w:t>
      </w:r>
      <w:r>
        <w:rPr>
          <w:rFonts w:ascii="Verdana" w:hAnsi="Verdana"/>
          <w:sz w:val="20"/>
          <w:szCs w:val="20"/>
          <w:lang w:val="es-CR"/>
        </w:rPr>
        <w:t xml:space="preserve"> </w:t>
      </w:r>
      <w:r w:rsidRPr="007325F3">
        <w:rPr>
          <w:rFonts w:ascii="Verdana" w:hAnsi="Verdana"/>
          <w:sz w:val="20"/>
          <w:szCs w:val="20"/>
          <w:lang w:val="es-CR"/>
        </w:rPr>
        <w:t>Oficiales Generales</w:t>
      </w:r>
      <w:r>
        <w:rPr>
          <w:rFonts w:ascii="Verdana" w:hAnsi="Verdana"/>
          <w:sz w:val="20"/>
          <w:szCs w:val="20"/>
          <w:lang w:val="es-CR"/>
        </w:rPr>
        <w:t>, sin que dichas alegaciones las vincularan con la presunta violación de algún artículo de la Convención. Por su parte, l</w:t>
      </w:r>
      <w:r w:rsidRPr="007325F3">
        <w:rPr>
          <w:rFonts w:ascii="Verdana" w:hAnsi="Verdana"/>
          <w:sz w:val="20"/>
          <w:szCs w:val="20"/>
          <w:lang w:val="es-CR"/>
        </w:rPr>
        <w:t xml:space="preserve">a Comisión no se </w:t>
      </w:r>
      <w:r>
        <w:rPr>
          <w:rFonts w:ascii="Verdana" w:hAnsi="Verdana"/>
          <w:sz w:val="20"/>
          <w:szCs w:val="20"/>
          <w:lang w:val="es-CR"/>
        </w:rPr>
        <w:t xml:space="preserve">pronunció sobre </w:t>
      </w:r>
      <w:r w:rsidRPr="007325F3">
        <w:rPr>
          <w:rFonts w:ascii="Verdana" w:hAnsi="Verdana"/>
          <w:sz w:val="20"/>
          <w:szCs w:val="20"/>
          <w:lang w:val="es-CR"/>
        </w:rPr>
        <w:t xml:space="preserve">los trámites realizados frente al Consejo de </w:t>
      </w:r>
      <w:r>
        <w:rPr>
          <w:rFonts w:ascii="Verdana" w:hAnsi="Verdana"/>
          <w:sz w:val="20"/>
          <w:szCs w:val="20"/>
          <w:lang w:val="es-CR"/>
        </w:rPr>
        <w:t xml:space="preserve">Oficiales </w:t>
      </w:r>
      <w:r w:rsidRPr="007325F3">
        <w:rPr>
          <w:rFonts w:ascii="Verdana" w:hAnsi="Verdana"/>
          <w:sz w:val="20"/>
          <w:szCs w:val="20"/>
          <w:lang w:val="es-CR"/>
        </w:rPr>
        <w:t>Generales.</w:t>
      </w:r>
    </w:p>
    <w:p w:rsidR="00F249DD" w:rsidRPr="00E32399" w:rsidRDefault="00F249DD" w:rsidP="00120F89">
      <w:pPr>
        <w:jc w:val="both"/>
        <w:rPr>
          <w:rFonts w:ascii="Verdana" w:hAnsi="Verdana"/>
          <w:sz w:val="20"/>
          <w:szCs w:val="20"/>
          <w:lang w:val="es-CR"/>
        </w:rPr>
      </w:pPr>
    </w:p>
    <w:p w:rsidR="00F249DD" w:rsidRDefault="00F249DD">
      <w:pPr>
        <w:numPr>
          <w:ilvl w:val="0"/>
          <w:numId w:val="3"/>
        </w:numPr>
        <w:ind w:left="0" w:firstLine="0"/>
        <w:jc w:val="both"/>
        <w:rPr>
          <w:rFonts w:ascii="Verdana" w:hAnsi="Verdana"/>
          <w:sz w:val="20"/>
          <w:szCs w:val="20"/>
          <w:lang w:val="es-CR"/>
        </w:rPr>
      </w:pPr>
      <w:r w:rsidRPr="007325F3">
        <w:rPr>
          <w:rFonts w:ascii="Verdana" w:hAnsi="Verdana"/>
          <w:sz w:val="20"/>
          <w:szCs w:val="20"/>
          <w:lang w:val="es-CR"/>
        </w:rPr>
        <w:t xml:space="preserve">Por su parte, el Estado alegó que el 26 de diciembre de 2000 el señor Mejía Idrovo recibió del </w:t>
      </w:r>
      <w:r>
        <w:rPr>
          <w:rFonts w:ascii="Verdana" w:hAnsi="Verdana"/>
          <w:sz w:val="20"/>
          <w:szCs w:val="20"/>
          <w:lang w:val="es-CR"/>
        </w:rPr>
        <w:t>Consejo de Oficiales Generales</w:t>
      </w:r>
      <w:r w:rsidRPr="007325F3">
        <w:rPr>
          <w:rFonts w:ascii="Verdana" w:hAnsi="Verdana"/>
          <w:sz w:val="20"/>
          <w:szCs w:val="20"/>
          <w:lang w:val="es-CR"/>
        </w:rPr>
        <w:t xml:space="preserve"> la resolución motivada de no ascenso basada en la normativa militar terrestre en criterios técnicos de análisis jerárquico. Señaló, además</w:t>
      </w:r>
      <w:r>
        <w:rPr>
          <w:rFonts w:ascii="Verdana" w:hAnsi="Verdana"/>
          <w:sz w:val="20"/>
          <w:szCs w:val="20"/>
          <w:lang w:val="es-CR"/>
        </w:rPr>
        <w:t>, que en todo momento se respetó</w:t>
      </w:r>
      <w:r w:rsidRPr="007325F3">
        <w:rPr>
          <w:rFonts w:ascii="Verdana" w:hAnsi="Verdana"/>
          <w:sz w:val="20"/>
          <w:szCs w:val="20"/>
          <w:lang w:val="es-CR"/>
        </w:rPr>
        <w:t xml:space="preserve"> el debido proceso y quedó a salvo el derecho de petición y reclamo del señor Mejía Idrovo. </w:t>
      </w:r>
    </w:p>
    <w:p w:rsidR="00F249DD" w:rsidRDefault="00F249DD" w:rsidP="00120F89">
      <w:pPr>
        <w:jc w:val="both"/>
        <w:rPr>
          <w:rFonts w:ascii="Verdana" w:hAnsi="Verdana"/>
          <w:sz w:val="20"/>
          <w:szCs w:val="20"/>
          <w:lang w:val="es-CR"/>
        </w:rPr>
      </w:pPr>
    </w:p>
    <w:p w:rsidR="00F249DD" w:rsidRDefault="00F249DD" w:rsidP="008A4217">
      <w:pPr>
        <w:jc w:val="both"/>
        <w:rPr>
          <w:rFonts w:ascii="Verdana" w:hAnsi="Verdana"/>
          <w:i/>
          <w:iCs/>
          <w:sz w:val="20"/>
          <w:szCs w:val="20"/>
          <w:lang w:val="es-CR"/>
        </w:rPr>
      </w:pPr>
      <w:r w:rsidRPr="00411E0D">
        <w:rPr>
          <w:rFonts w:ascii="Verdana" w:hAnsi="Verdana"/>
          <w:i/>
          <w:iCs/>
          <w:sz w:val="20"/>
          <w:szCs w:val="20"/>
          <w:lang w:val="es-CR"/>
        </w:rPr>
        <w:t>Consideraciones de la Corte</w:t>
      </w:r>
    </w:p>
    <w:p w:rsidR="00F249DD" w:rsidRPr="00E32399" w:rsidRDefault="00F249DD" w:rsidP="00120F89">
      <w:pPr>
        <w:jc w:val="both"/>
        <w:rPr>
          <w:rFonts w:ascii="Verdana" w:hAnsi="Verdana"/>
          <w:sz w:val="20"/>
          <w:szCs w:val="20"/>
          <w:lang w:val="es-CR"/>
        </w:rPr>
      </w:pPr>
    </w:p>
    <w:p w:rsidR="00F249DD" w:rsidRPr="007E2B8A" w:rsidRDefault="00F249DD" w:rsidP="00120F89">
      <w:pPr>
        <w:numPr>
          <w:ilvl w:val="0"/>
          <w:numId w:val="3"/>
        </w:numPr>
        <w:ind w:left="0" w:firstLine="0"/>
        <w:jc w:val="both"/>
        <w:rPr>
          <w:rFonts w:ascii="Verdana" w:hAnsi="Verdana"/>
          <w:sz w:val="20"/>
          <w:szCs w:val="20"/>
          <w:lang w:val="es-AR"/>
        </w:rPr>
      </w:pPr>
      <w:r>
        <w:rPr>
          <w:rFonts w:ascii="Verdana" w:hAnsi="Verdana"/>
          <w:sz w:val="20"/>
          <w:szCs w:val="20"/>
          <w:lang w:val="es-CR"/>
        </w:rPr>
        <w:t>Respecto la alegada falta de motivación, la Corte</w:t>
      </w:r>
      <w:r w:rsidRPr="00CD1462">
        <w:rPr>
          <w:rFonts w:ascii="Verdana" w:hAnsi="Verdana"/>
          <w:sz w:val="20"/>
          <w:szCs w:val="20"/>
          <w:lang w:val="es-CR"/>
        </w:rPr>
        <w:t xml:space="preserve"> observa</w:t>
      </w:r>
      <w:r>
        <w:rPr>
          <w:rFonts w:ascii="Verdana" w:hAnsi="Verdana"/>
          <w:sz w:val="20"/>
          <w:szCs w:val="20"/>
          <w:lang w:val="es-CR"/>
        </w:rPr>
        <w:t xml:space="preserve"> que </w:t>
      </w:r>
      <w:r w:rsidRPr="00D020E0">
        <w:rPr>
          <w:rFonts w:ascii="Verdana" w:hAnsi="Verdana"/>
          <w:sz w:val="20"/>
          <w:szCs w:val="20"/>
          <w:lang w:val="es-AR"/>
        </w:rPr>
        <w:t xml:space="preserve">el Tribunal Constitucional en su fallo de 12 de marzo de 2002, estableció en relación con decisiones del Consejo de Oficiales Generales que “no se ha dado [la] motivación lo que significa una violación a la […] norma constitucional”. Al respecto, el artículo 24.13 de la Constitución Política dispone: […] “Las resoluciones de los poderes </w:t>
      </w:r>
      <w:r w:rsidRPr="007E2B8A">
        <w:rPr>
          <w:rFonts w:ascii="Verdana" w:hAnsi="Verdana"/>
          <w:sz w:val="20"/>
          <w:szCs w:val="20"/>
          <w:lang w:val="es-AR"/>
        </w:rPr>
        <w:t xml:space="preserve">públicos deben ser motivadas”. </w:t>
      </w:r>
    </w:p>
    <w:p w:rsidR="00F249DD" w:rsidRPr="007E2B8A" w:rsidRDefault="00F249DD" w:rsidP="00120F89">
      <w:pPr>
        <w:jc w:val="both"/>
        <w:rPr>
          <w:rFonts w:ascii="Verdana" w:hAnsi="Verdana"/>
          <w:sz w:val="20"/>
          <w:szCs w:val="20"/>
          <w:lang w:val="es-AR"/>
        </w:rPr>
      </w:pPr>
    </w:p>
    <w:p w:rsidR="00F249DD" w:rsidRDefault="00F249DD">
      <w:pPr>
        <w:numPr>
          <w:ilvl w:val="0"/>
          <w:numId w:val="3"/>
        </w:numPr>
        <w:ind w:left="0" w:firstLine="0"/>
        <w:jc w:val="both"/>
        <w:rPr>
          <w:rFonts w:ascii="Verdana" w:hAnsi="Verdana"/>
          <w:sz w:val="20"/>
          <w:szCs w:val="20"/>
          <w:lang w:val="es-MX"/>
        </w:rPr>
      </w:pPr>
      <w:r>
        <w:rPr>
          <w:rFonts w:ascii="Verdana" w:hAnsi="Verdana"/>
          <w:sz w:val="20"/>
          <w:szCs w:val="20"/>
          <w:lang w:val="es-AR"/>
        </w:rPr>
        <w:t xml:space="preserve">Dado que el Tribunal Constitucional en su sentencia se pronunció sobre la falta de motivación de las decisiones del Consejo de Oficiales Generales, esta Corte considera que dicha omisión fue reconocida y subsanada en la jurisdicción interna. Además, cabe señalar que </w:t>
      </w:r>
      <w:r w:rsidRPr="007E2B8A">
        <w:rPr>
          <w:rFonts w:ascii="Verdana" w:hAnsi="Verdana"/>
          <w:sz w:val="20"/>
          <w:szCs w:val="20"/>
          <w:lang w:val="es-AR"/>
        </w:rPr>
        <w:t xml:space="preserve">ni la Comisión en la demanda, ni los representantes en su escrito de solicitudes y argumentos alegaron </w:t>
      </w:r>
      <w:r>
        <w:rPr>
          <w:rFonts w:ascii="Verdana" w:hAnsi="Verdana"/>
          <w:sz w:val="20"/>
          <w:szCs w:val="20"/>
          <w:lang w:val="es-AR"/>
        </w:rPr>
        <w:t xml:space="preserve">expresamente </w:t>
      </w:r>
      <w:r w:rsidRPr="007E2B8A">
        <w:rPr>
          <w:rFonts w:ascii="Verdana" w:hAnsi="Verdana"/>
          <w:sz w:val="20"/>
          <w:szCs w:val="20"/>
          <w:lang w:val="es-AR"/>
        </w:rPr>
        <w:t xml:space="preserve">la violación del artículo 8 </w:t>
      </w:r>
      <w:r w:rsidRPr="007E2B8A">
        <w:rPr>
          <w:rFonts w:ascii="Verdana" w:hAnsi="Verdana"/>
          <w:sz w:val="20"/>
          <w:szCs w:val="20"/>
          <w:lang w:val="es-MX"/>
        </w:rPr>
        <w:t>de la Convención por la falta de motivación en las decisiones emitidas por el Consejo de Oficiales Generales en diciembre de 2001</w:t>
      </w:r>
      <w:r w:rsidRPr="007E2B8A">
        <w:rPr>
          <w:rFonts w:ascii="Verdana" w:hAnsi="Verdana"/>
          <w:sz w:val="20"/>
          <w:szCs w:val="20"/>
          <w:lang w:val="es-AR"/>
        </w:rPr>
        <w:t>.</w:t>
      </w:r>
    </w:p>
    <w:p w:rsidR="00F249DD" w:rsidRPr="007325F3" w:rsidRDefault="00F249DD" w:rsidP="007133D8">
      <w:pPr>
        <w:jc w:val="both"/>
        <w:rPr>
          <w:rFonts w:ascii="Verdana" w:hAnsi="Verdana"/>
          <w:strike/>
          <w:sz w:val="20"/>
          <w:szCs w:val="20"/>
          <w:lang w:val="es-ES"/>
        </w:rPr>
      </w:pPr>
    </w:p>
    <w:p w:rsidR="00F249DD" w:rsidRPr="00E32399" w:rsidRDefault="00F249DD" w:rsidP="00A42DFB">
      <w:pPr>
        <w:pStyle w:val="Ttulo3"/>
        <w:rPr>
          <w:lang w:val="es-AR"/>
        </w:rPr>
      </w:pPr>
      <w:bookmarkStart w:id="200" w:name="_Toc294626200"/>
      <w:bookmarkStart w:id="201" w:name="_Toc294633776"/>
      <w:bookmarkStart w:id="202" w:name="_Toc294634486"/>
      <w:bookmarkStart w:id="203" w:name="_Toc294635314"/>
      <w:bookmarkStart w:id="204" w:name="_Toc294862707"/>
      <w:bookmarkStart w:id="205" w:name="_Toc294862770"/>
      <w:bookmarkStart w:id="206" w:name="_Toc295380321"/>
      <w:bookmarkStart w:id="207" w:name="_Toc295394473"/>
      <w:bookmarkStart w:id="208" w:name="_Toc295394627"/>
      <w:bookmarkStart w:id="209" w:name="_Toc295986079"/>
      <w:bookmarkStart w:id="210" w:name="_Toc295986296"/>
      <w:bookmarkStart w:id="211" w:name="_Toc295986416"/>
      <w:r>
        <w:rPr>
          <w:lang w:val="es-AR"/>
        </w:rPr>
        <w:t>Irregularidades</w:t>
      </w:r>
      <w:r w:rsidRPr="00E32399">
        <w:rPr>
          <w:lang w:val="es-AR"/>
        </w:rPr>
        <w:t xml:space="preserve"> en el trámite ante el Tribunal Constitucional</w:t>
      </w:r>
      <w:bookmarkEnd w:id="200"/>
      <w:bookmarkEnd w:id="201"/>
      <w:bookmarkEnd w:id="202"/>
      <w:bookmarkEnd w:id="203"/>
      <w:bookmarkEnd w:id="204"/>
      <w:bookmarkEnd w:id="205"/>
      <w:bookmarkEnd w:id="206"/>
      <w:bookmarkEnd w:id="207"/>
      <w:bookmarkEnd w:id="208"/>
      <w:bookmarkEnd w:id="209"/>
      <w:bookmarkEnd w:id="210"/>
      <w:bookmarkEnd w:id="211"/>
    </w:p>
    <w:p w:rsidR="00F249DD" w:rsidRPr="00E32399" w:rsidRDefault="00F249DD" w:rsidP="0087777F">
      <w:pPr>
        <w:ind w:right="738"/>
        <w:rPr>
          <w:rFonts w:ascii="Verdana" w:hAnsi="Verdana"/>
          <w:i/>
          <w:iCs/>
          <w:sz w:val="20"/>
          <w:szCs w:val="20"/>
          <w:u w:val="single"/>
          <w:lang w:val="es-AR"/>
        </w:rPr>
      </w:pPr>
    </w:p>
    <w:p w:rsidR="00F249DD" w:rsidRPr="00E32399" w:rsidRDefault="00F249DD" w:rsidP="0087777F">
      <w:pPr>
        <w:ind w:left="720" w:right="738" w:hanging="720"/>
        <w:jc w:val="both"/>
        <w:rPr>
          <w:rFonts w:ascii="Verdana" w:hAnsi="Verdana"/>
          <w:sz w:val="20"/>
          <w:szCs w:val="20"/>
          <w:lang w:val="es-AR"/>
        </w:rPr>
      </w:pPr>
      <w:r w:rsidRPr="00E32399">
        <w:rPr>
          <w:rFonts w:ascii="Verdana" w:hAnsi="Verdana"/>
          <w:bCs/>
          <w:i/>
          <w:iCs/>
          <w:sz w:val="20"/>
          <w:szCs w:val="20"/>
          <w:lang w:val="es-AR"/>
        </w:rPr>
        <w:t>Alegatos de las partes</w:t>
      </w:r>
    </w:p>
    <w:p w:rsidR="00F249DD" w:rsidRPr="00E32399" w:rsidRDefault="00F249DD" w:rsidP="00120F89">
      <w:pPr>
        <w:jc w:val="both"/>
        <w:rPr>
          <w:rFonts w:ascii="Verdana" w:hAnsi="Verdana"/>
          <w:sz w:val="20"/>
          <w:szCs w:val="20"/>
          <w:lang w:val="es-AR"/>
        </w:rPr>
      </w:pPr>
    </w:p>
    <w:p w:rsidR="00F249DD" w:rsidRPr="00C65EE5" w:rsidRDefault="00F249DD" w:rsidP="00120F89">
      <w:pPr>
        <w:numPr>
          <w:ilvl w:val="0"/>
          <w:numId w:val="3"/>
        </w:numPr>
        <w:ind w:left="0" w:firstLine="0"/>
        <w:jc w:val="both"/>
        <w:rPr>
          <w:rFonts w:ascii="Verdana" w:hAnsi="Verdana"/>
          <w:sz w:val="20"/>
          <w:szCs w:val="20"/>
          <w:lang w:val="es-AR"/>
        </w:rPr>
      </w:pPr>
      <w:r w:rsidRPr="00C65EE5">
        <w:rPr>
          <w:rFonts w:ascii="Verdana" w:hAnsi="Verdana"/>
          <w:sz w:val="20"/>
          <w:szCs w:val="20"/>
          <w:lang w:val="es-AR"/>
        </w:rPr>
        <w:t xml:space="preserve">La Comisión Interamericana manifestó que la Resolución del Presidente del Tribunal Constitucional de 30 de mayo de 2002 violentó el derecho interno ya que ésta no fue notificada al señor Mejía Idrovo ni fue solicitada por una parte competente dentro del plazo establecido por la ley.  Esto generó un procedimiento no previsto por la legislación ecuatoriana en contravención con las garantías del artículo 8 de la Convención. </w:t>
      </w:r>
    </w:p>
    <w:p w:rsidR="00F249DD" w:rsidRPr="007325F3" w:rsidRDefault="00F249DD" w:rsidP="00120F89">
      <w:pPr>
        <w:jc w:val="both"/>
        <w:rPr>
          <w:rFonts w:ascii="Verdana" w:hAnsi="Verdana"/>
          <w:sz w:val="20"/>
          <w:szCs w:val="20"/>
          <w:lang w:val="es-CR"/>
        </w:rPr>
      </w:pPr>
    </w:p>
    <w:p w:rsidR="00F249DD" w:rsidRPr="00EA549D" w:rsidRDefault="00F249DD">
      <w:pPr>
        <w:numPr>
          <w:ilvl w:val="0"/>
          <w:numId w:val="3"/>
        </w:numPr>
        <w:ind w:left="0" w:firstLine="0"/>
        <w:jc w:val="both"/>
        <w:rPr>
          <w:rFonts w:ascii="Verdana" w:hAnsi="Verdana"/>
          <w:sz w:val="20"/>
          <w:szCs w:val="20"/>
          <w:highlight w:val="yellow"/>
          <w:lang w:val="es-CR"/>
        </w:rPr>
      </w:pPr>
      <w:r w:rsidRPr="00EA549D">
        <w:rPr>
          <w:rFonts w:ascii="Verdana" w:hAnsi="Verdana"/>
          <w:sz w:val="20"/>
          <w:szCs w:val="20"/>
          <w:highlight w:val="yellow"/>
          <w:lang w:val="es-CR"/>
        </w:rPr>
        <w:t xml:space="preserve">Los representantes al igual que la Comisión solicitaron a la Corte que declare la responsabilidad internacional del Estado por la violación del artículo 8.1 de la Convención, ya que el Presidente del Tribunal Constitucional, pese a que la petición de aclaración fue presentada de forma extemporánea y por una persona ajena al proceso, excediendo su competencia emitió la resolución del 30 de mayo de 2002, la cual no fue notificada a la presunta víctima, lo que impidió su derecho a ser escuchado.  </w:t>
      </w:r>
    </w:p>
    <w:p w:rsidR="00F249DD" w:rsidRPr="007325F3" w:rsidRDefault="00F249DD" w:rsidP="00120F89">
      <w:pPr>
        <w:jc w:val="both"/>
        <w:rPr>
          <w:rFonts w:ascii="Verdana" w:hAnsi="Verdana"/>
          <w:sz w:val="20"/>
          <w:szCs w:val="20"/>
          <w:lang w:val="es-CR"/>
        </w:rPr>
      </w:pPr>
    </w:p>
    <w:p w:rsidR="00F249DD" w:rsidRDefault="00F249DD">
      <w:pPr>
        <w:numPr>
          <w:ilvl w:val="0"/>
          <w:numId w:val="3"/>
        </w:numPr>
        <w:ind w:left="0" w:firstLine="0"/>
        <w:jc w:val="both"/>
        <w:rPr>
          <w:rFonts w:ascii="Verdana" w:hAnsi="Verdana"/>
          <w:sz w:val="20"/>
          <w:szCs w:val="20"/>
          <w:lang w:val="es-CR"/>
        </w:rPr>
      </w:pPr>
      <w:r w:rsidRPr="0017783C">
        <w:rPr>
          <w:rFonts w:ascii="Verdana" w:hAnsi="Verdana"/>
          <w:sz w:val="20"/>
          <w:szCs w:val="20"/>
          <w:lang w:val="es-CR"/>
        </w:rPr>
        <w:t>El Estado en la audiencia pública manifestó que en virtud de los escritos presentados por el señor Comandante de la Fuerza Terrestre, para cumplir con la resolución correspondiente de este caso, el Presidente del Tribunal Constitucional emitió el pronunciamiento No. 039-2001 T.C. Además sostuvo que el Presidente del Tribunal Constitucional es competente para ejecutar las resoluciones dictadas por el pleno de la magistratura. Por otra parte, manifestó que el artículo 8 de la Convención no fue violado, pues no se faltó al principio de plazo razonable, ya que es necesario examinar y tener en consideración la densidad de actos procesales y los actos jurídicos que cada uno incluye.</w:t>
      </w:r>
      <w:r w:rsidRPr="005650B0">
        <w:rPr>
          <w:rFonts w:ascii="Verdana" w:hAnsi="Verdana"/>
          <w:sz w:val="20"/>
          <w:szCs w:val="20"/>
          <w:lang w:val="es-CR"/>
        </w:rPr>
        <w:t xml:space="preserve"> </w:t>
      </w:r>
      <w:r w:rsidRPr="00EA549D">
        <w:rPr>
          <w:rFonts w:ascii="Verdana" w:hAnsi="Verdana"/>
          <w:sz w:val="20"/>
          <w:szCs w:val="20"/>
          <w:highlight w:val="yellow"/>
          <w:lang w:val="es-CR"/>
        </w:rPr>
        <w:t>En sus alegatos finales, el Estado sostuvo que dentro del sistema interamericano se atribuye a la actividad procesal del interesado una porción de responsabilidad en el cálculo del plazo razonable para alcanzar justicia, y que en el presente caso el coronel Mejía Idrovo, independientemente de su vínculo procesal en los tribunales ecuatorianos, dilató el cumplimiento de las providencias por varios actos</w:t>
      </w:r>
      <w:r w:rsidRPr="005650B0">
        <w:rPr>
          <w:rStyle w:val="Refdenotaalpie"/>
          <w:rFonts w:ascii="Verdana" w:hAnsi="Verdana"/>
          <w:sz w:val="20"/>
          <w:szCs w:val="20"/>
        </w:rPr>
        <w:footnoteReference w:id="68"/>
      </w:r>
      <w:r w:rsidRPr="005650B0">
        <w:rPr>
          <w:rFonts w:ascii="Verdana" w:hAnsi="Verdana"/>
          <w:sz w:val="20"/>
          <w:szCs w:val="20"/>
          <w:lang w:val="es-CR"/>
        </w:rPr>
        <w:t>.</w:t>
      </w:r>
    </w:p>
    <w:p w:rsidR="00F249DD" w:rsidRDefault="00F249DD" w:rsidP="00120F89">
      <w:pPr>
        <w:jc w:val="both"/>
        <w:rPr>
          <w:rFonts w:ascii="Verdana" w:hAnsi="Verdana"/>
          <w:sz w:val="20"/>
          <w:szCs w:val="20"/>
          <w:lang w:val="es-CR"/>
        </w:rPr>
      </w:pPr>
    </w:p>
    <w:p w:rsidR="00F249DD" w:rsidRDefault="00F249DD" w:rsidP="00517262">
      <w:pPr>
        <w:jc w:val="both"/>
        <w:rPr>
          <w:rFonts w:ascii="Verdana" w:hAnsi="Verdana"/>
          <w:i/>
          <w:iCs/>
          <w:sz w:val="20"/>
          <w:szCs w:val="20"/>
          <w:lang w:val="es-CR"/>
        </w:rPr>
      </w:pPr>
      <w:r w:rsidRPr="00411E0D">
        <w:rPr>
          <w:rFonts w:ascii="Verdana" w:hAnsi="Verdana"/>
          <w:i/>
          <w:iCs/>
          <w:sz w:val="20"/>
          <w:szCs w:val="20"/>
          <w:lang w:val="es-CR"/>
        </w:rPr>
        <w:t>Consideraciones de la Corte</w:t>
      </w:r>
    </w:p>
    <w:p w:rsidR="00F249DD" w:rsidRDefault="00F249DD" w:rsidP="00120F89">
      <w:pPr>
        <w:jc w:val="both"/>
        <w:rPr>
          <w:rFonts w:ascii="Verdana" w:hAnsi="Verdana"/>
          <w:sz w:val="20"/>
          <w:szCs w:val="20"/>
          <w:lang w:val="es-CR"/>
        </w:rPr>
      </w:pPr>
    </w:p>
    <w:p w:rsidR="00F249DD" w:rsidRPr="00137A26" w:rsidRDefault="00F249DD" w:rsidP="00610D0B">
      <w:pPr>
        <w:numPr>
          <w:ilvl w:val="0"/>
          <w:numId w:val="3"/>
        </w:numPr>
        <w:ind w:left="0" w:firstLine="0"/>
        <w:jc w:val="both"/>
        <w:rPr>
          <w:rFonts w:ascii="Verdana" w:hAnsi="Verdana"/>
          <w:sz w:val="20"/>
          <w:szCs w:val="20"/>
          <w:lang w:val="es-CR"/>
        </w:rPr>
      </w:pPr>
      <w:r>
        <w:rPr>
          <w:rFonts w:ascii="Verdana" w:hAnsi="Verdana"/>
          <w:sz w:val="20"/>
          <w:szCs w:val="20"/>
          <w:lang w:val="es-CR"/>
        </w:rPr>
        <w:t xml:space="preserve">En cuanto a la alegada violación del artículo 8 de la Convención, este Tribunal observa que la controversia planteada </w:t>
      </w:r>
      <w:r w:rsidRPr="007325F3">
        <w:rPr>
          <w:rFonts w:ascii="Verdana" w:hAnsi="Verdana"/>
          <w:sz w:val="20"/>
          <w:szCs w:val="20"/>
          <w:lang w:val="es-CR"/>
        </w:rPr>
        <w:t xml:space="preserve">por la Comisión y los representantes radica en la competencia del Presidente del Tribunal Constitucional para admitir y resolver la aclaración solicitada el 8 de abril de </w:t>
      </w:r>
      <w:r>
        <w:rPr>
          <w:rFonts w:ascii="Verdana" w:hAnsi="Verdana"/>
          <w:sz w:val="20"/>
          <w:szCs w:val="20"/>
          <w:lang w:val="es-CR"/>
        </w:rPr>
        <w:t>2002 por la Comandancia General. Para considerar la aplicación del referido artículo 8 a los hechos en el contexto del trámite ante el Tribu</w:t>
      </w:r>
      <w:r w:rsidRPr="00E23CB0">
        <w:rPr>
          <w:rFonts w:ascii="Verdana" w:hAnsi="Verdana"/>
          <w:sz w:val="20"/>
          <w:szCs w:val="20"/>
          <w:lang w:val="es-CR"/>
        </w:rPr>
        <w:t xml:space="preserve">nal Constitucional, </w:t>
      </w:r>
      <w:r w:rsidRPr="00A402E2">
        <w:rPr>
          <w:rFonts w:ascii="Verdana" w:hAnsi="Verdana"/>
          <w:sz w:val="20"/>
          <w:szCs w:val="20"/>
          <w:lang w:val="es-CR"/>
        </w:rPr>
        <w:t xml:space="preserve">la Corte se referirá a las </w:t>
      </w:r>
      <w:r w:rsidRPr="00A402E2">
        <w:rPr>
          <w:rFonts w:ascii="Verdana" w:hAnsi="Verdana"/>
          <w:sz w:val="20"/>
          <w:szCs w:val="20"/>
          <w:lang w:val="es-CR"/>
        </w:rPr>
        <w:lastRenderedPageBreak/>
        <w:t>supuestas irregularidades en tres aspectos:</w:t>
      </w:r>
      <w:r>
        <w:rPr>
          <w:rFonts w:ascii="Verdana" w:hAnsi="Verdana"/>
          <w:sz w:val="20"/>
          <w:szCs w:val="20"/>
          <w:lang w:val="es-CR"/>
        </w:rPr>
        <w:t xml:space="preserve"> 1) </w:t>
      </w:r>
      <w:r w:rsidRPr="007325F3">
        <w:rPr>
          <w:rFonts w:ascii="Verdana" w:hAnsi="Verdana"/>
          <w:sz w:val="20"/>
          <w:szCs w:val="20"/>
          <w:lang w:val="es-CR"/>
        </w:rPr>
        <w:t>extemporaneidad en la solicitud de aclaración de sentencia dictada p</w:t>
      </w:r>
      <w:r>
        <w:rPr>
          <w:rFonts w:ascii="Verdana" w:hAnsi="Verdana"/>
          <w:sz w:val="20"/>
          <w:szCs w:val="20"/>
          <w:lang w:val="es-CR"/>
        </w:rPr>
        <w:t xml:space="preserve">or el Tribunal Constitucional; 2) </w:t>
      </w:r>
      <w:r w:rsidRPr="007325F3">
        <w:rPr>
          <w:rFonts w:ascii="Verdana" w:hAnsi="Verdana"/>
          <w:sz w:val="20"/>
          <w:szCs w:val="20"/>
          <w:lang w:val="es-CR"/>
        </w:rPr>
        <w:t xml:space="preserve">falta de competencia del Presidente del Tribunal Constitucional para </w:t>
      </w:r>
      <w:r>
        <w:rPr>
          <w:rFonts w:ascii="Verdana" w:hAnsi="Verdana"/>
          <w:sz w:val="20"/>
          <w:szCs w:val="20"/>
          <w:lang w:val="es-CR"/>
        </w:rPr>
        <w:t xml:space="preserve">aclarar </w:t>
      </w:r>
      <w:r w:rsidRPr="007325F3">
        <w:rPr>
          <w:rFonts w:ascii="Verdana" w:hAnsi="Verdana"/>
          <w:sz w:val="20"/>
          <w:szCs w:val="20"/>
          <w:lang w:val="es-CR"/>
        </w:rPr>
        <w:t xml:space="preserve">la sentencia mediante una resolución, y </w:t>
      </w:r>
      <w:r>
        <w:rPr>
          <w:rFonts w:ascii="Verdana" w:hAnsi="Verdana"/>
          <w:sz w:val="20"/>
          <w:szCs w:val="20"/>
          <w:lang w:val="es-CR"/>
        </w:rPr>
        <w:t xml:space="preserve">3) </w:t>
      </w:r>
      <w:r w:rsidRPr="009D6E92">
        <w:rPr>
          <w:rFonts w:ascii="Verdana" w:hAnsi="Verdana"/>
          <w:sz w:val="20"/>
          <w:szCs w:val="20"/>
          <w:lang w:val="es-CR"/>
        </w:rPr>
        <w:t xml:space="preserve">falta de </w:t>
      </w:r>
      <w:r w:rsidRPr="00137A26">
        <w:rPr>
          <w:rFonts w:ascii="Verdana" w:hAnsi="Verdana"/>
          <w:sz w:val="20"/>
          <w:szCs w:val="20"/>
          <w:lang w:val="es-CR"/>
        </w:rPr>
        <w:t>traslado de la petición de aclaración y falta</w:t>
      </w:r>
      <w:r w:rsidRPr="00137A26">
        <w:rPr>
          <w:lang w:val="es-CR"/>
        </w:rPr>
        <w:t xml:space="preserve"> </w:t>
      </w:r>
      <w:r w:rsidRPr="00137A26">
        <w:rPr>
          <w:rFonts w:ascii="Verdana" w:hAnsi="Verdana"/>
          <w:sz w:val="20"/>
          <w:szCs w:val="20"/>
          <w:lang w:val="es-CR"/>
        </w:rPr>
        <w:t xml:space="preserve">de notificación de la resolución a una de las partes. </w:t>
      </w:r>
    </w:p>
    <w:p w:rsidR="00F249DD" w:rsidRPr="00137A26" w:rsidRDefault="00F249DD" w:rsidP="00610D0B">
      <w:pPr>
        <w:pStyle w:val="Prrafodelista"/>
        <w:ind w:left="0"/>
        <w:jc w:val="both"/>
        <w:rPr>
          <w:rFonts w:ascii="Verdana" w:hAnsi="Verdana"/>
          <w:sz w:val="20"/>
          <w:szCs w:val="20"/>
          <w:lang w:val="es-CR"/>
        </w:rPr>
      </w:pPr>
    </w:p>
    <w:p w:rsidR="00F249DD" w:rsidRPr="00137A26" w:rsidRDefault="00F249DD" w:rsidP="00610D0B">
      <w:pPr>
        <w:numPr>
          <w:ilvl w:val="0"/>
          <w:numId w:val="3"/>
        </w:numPr>
        <w:ind w:left="0" w:firstLine="0"/>
        <w:jc w:val="both"/>
        <w:rPr>
          <w:rFonts w:ascii="Verdana" w:hAnsi="Verdana"/>
          <w:sz w:val="20"/>
          <w:szCs w:val="20"/>
          <w:lang w:val="es-CR"/>
        </w:rPr>
      </w:pPr>
      <w:r w:rsidRPr="00137A26">
        <w:rPr>
          <w:rFonts w:ascii="Verdana" w:hAnsi="Verdana"/>
          <w:sz w:val="20"/>
          <w:szCs w:val="20"/>
          <w:lang w:val="es-CR"/>
        </w:rPr>
        <w:t>Al examinar los alegatos de las partes y la prueba aportada, este Tribunal constata lo siguiente: a) que la decisión del Tribunal Constitucional de 12 de marzo de 2002 fue notificada a la presunta víctima, al Presidente de la República y a la Procuraduría General de la República el 25 de marzo de 2002</w:t>
      </w:r>
      <w:r w:rsidRPr="00137A26">
        <w:rPr>
          <w:rStyle w:val="Smbolodenotaalpie"/>
        </w:rPr>
        <w:footnoteReference w:id="69"/>
      </w:r>
      <w:r w:rsidRPr="00137A26">
        <w:rPr>
          <w:rFonts w:ascii="Verdana" w:hAnsi="Verdana"/>
          <w:sz w:val="20"/>
          <w:szCs w:val="20"/>
          <w:lang w:val="es-CR"/>
        </w:rPr>
        <w:t>, y que se publicó en el Registro Oficial No. 548 de 4 de abril de 2002</w:t>
      </w:r>
      <w:r w:rsidRPr="00137A26">
        <w:rPr>
          <w:rStyle w:val="Smbolodenotaalpie"/>
          <w:lang w:val="es-CR"/>
        </w:rPr>
        <w:t xml:space="preserve"> </w:t>
      </w:r>
      <w:r w:rsidRPr="00137A26">
        <w:rPr>
          <w:rFonts w:ascii="Verdana" w:hAnsi="Verdana"/>
          <w:sz w:val="20"/>
          <w:szCs w:val="20"/>
          <w:lang w:val="es-CR"/>
        </w:rPr>
        <w:t>(</w:t>
      </w:r>
      <w:r w:rsidRPr="00137A26">
        <w:rPr>
          <w:rFonts w:ascii="Verdana" w:hAnsi="Verdana"/>
          <w:i/>
          <w:sz w:val="20"/>
          <w:szCs w:val="20"/>
          <w:lang w:val="es-CR"/>
        </w:rPr>
        <w:t>supra</w:t>
      </w:r>
      <w:r w:rsidRPr="00137A26">
        <w:rPr>
          <w:rFonts w:ascii="Verdana" w:hAnsi="Verdana"/>
          <w:sz w:val="20"/>
          <w:szCs w:val="20"/>
          <w:lang w:val="es-CR"/>
        </w:rPr>
        <w:t xml:space="preserve"> nota</w:t>
      </w:r>
      <w:r>
        <w:rPr>
          <w:rFonts w:ascii="Verdana" w:hAnsi="Verdana"/>
          <w:sz w:val="20"/>
          <w:szCs w:val="20"/>
          <w:lang w:val="es-CR"/>
        </w:rPr>
        <w:t xml:space="preserve"> 51</w:t>
      </w:r>
      <w:r w:rsidRPr="00137A26">
        <w:rPr>
          <w:rFonts w:ascii="Verdana" w:hAnsi="Verdana"/>
          <w:sz w:val="20"/>
          <w:szCs w:val="20"/>
          <w:lang w:val="es-CR"/>
        </w:rPr>
        <w:t>). A partir de su promulgación tal decisión es ejecutable</w:t>
      </w:r>
      <w:r w:rsidRPr="00137A26">
        <w:rPr>
          <w:rStyle w:val="Smbolodenotaalpie"/>
        </w:rPr>
        <w:footnoteReference w:id="70"/>
      </w:r>
      <w:r w:rsidRPr="00137A26">
        <w:rPr>
          <w:rFonts w:ascii="Verdana" w:hAnsi="Verdana"/>
          <w:sz w:val="20"/>
          <w:szCs w:val="20"/>
          <w:lang w:val="es-CR"/>
        </w:rPr>
        <w:t xml:space="preserve">; b) la </w:t>
      </w:r>
      <w:r w:rsidRPr="00137A26">
        <w:rPr>
          <w:rFonts w:ascii="Verdana" w:hAnsi="Verdana"/>
          <w:sz w:val="20"/>
          <w:szCs w:val="20"/>
          <w:lang w:val="es-MX"/>
        </w:rPr>
        <w:t xml:space="preserve">Comandancia del Ejército </w:t>
      </w:r>
      <w:r w:rsidRPr="00137A26">
        <w:rPr>
          <w:rFonts w:ascii="Verdana" w:hAnsi="Verdana"/>
          <w:sz w:val="20"/>
          <w:szCs w:val="20"/>
          <w:lang w:val="es-CR"/>
        </w:rPr>
        <w:t>el 8 de abril de 2002 con fundamento en el artículo 67 del Reglamento de Trámite de Expedientes en el Tribunal Constitucional sometió al Presidente del Tribunal Constitucional una aclaración (</w:t>
      </w:r>
      <w:r w:rsidRPr="00137A26">
        <w:rPr>
          <w:rFonts w:ascii="Verdana" w:hAnsi="Verdana"/>
          <w:i/>
          <w:sz w:val="20"/>
          <w:szCs w:val="20"/>
          <w:lang w:val="es-CR"/>
        </w:rPr>
        <w:t>supra</w:t>
      </w:r>
      <w:r w:rsidRPr="00137A26">
        <w:rPr>
          <w:rFonts w:ascii="Verdana" w:hAnsi="Verdana"/>
          <w:sz w:val="20"/>
          <w:szCs w:val="20"/>
          <w:lang w:val="es-CR"/>
        </w:rPr>
        <w:t xml:space="preserve"> párr. 52); c) </w:t>
      </w:r>
      <w:r>
        <w:rPr>
          <w:rFonts w:ascii="Verdana" w:hAnsi="Verdana"/>
          <w:sz w:val="20"/>
          <w:szCs w:val="20"/>
          <w:lang w:val="es-CR"/>
        </w:rPr>
        <w:t xml:space="preserve">según alegó </w:t>
      </w:r>
      <w:r w:rsidRPr="00137A26">
        <w:rPr>
          <w:rFonts w:ascii="Verdana" w:hAnsi="Verdana"/>
          <w:sz w:val="20"/>
          <w:szCs w:val="20"/>
          <w:lang w:val="es-CR"/>
        </w:rPr>
        <w:t>el señor Mejía Idrovo se enteró extraoficialmente que se había</w:t>
      </w:r>
      <w:r w:rsidRPr="00137A26">
        <w:rPr>
          <w:rFonts w:ascii="Verdana" w:hAnsi="Verdana"/>
          <w:sz w:val="20"/>
          <w:szCs w:val="20"/>
          <w:lang w:val="es-ES"/>
        </w:rPr>
        <w:t xml:space="preserve"> </w:t>
      </w:r>
      <w:r w:rsidRPr="00137A26">
        <w:rPr>
          <w:rFonts w:ascii="Verdana" w:hAnsi="Verdana"/>
          <w:sz w:val="20"/>
          <w:szCs w:val="20"/>
          <w:lang w:val="es-CR"/>
        </w:rPr>
        <w:t>presentado una petición de aclaración de la Resolución del Tribunal Constitucional de 12 de marzo de 2002 (</w:t>
      </w:r>
      <w:r w:rsidRPr="00137A26">
        <w:rPr>
          <w:rFonts w:ascii="Verdana" w:hAnsi="Verdana"/>
          <w:i/>
          <w:sz w:val="20"/>
          <w:szCs w:val="20"/>
          <w:lang w:val="es-CR"/>
        </w:rPr>
        <w:t>supra</w:t>
      </w:r>
      <w:r w:rsidRPr="00137A26">
        <w:rPr>
          <w:rFonts w:ascii="Verdana" w:hAnsi="Verdana"/>
          <w:sz w:val="20"/>
          <w:szCs w:val="20"/>
          <w:lang w:val="es-CR"/>
        </w:rPr>
        <w:t xml:space="preserve"> párr. 52); d) que el Presidente del Tribunal Constitucional admitió la solicitud de aclaración y emitió un pronunciamiento el 30 de mayo de 2002</w:t>
      </w:r>
      <w:r w:rsidRPr="00137A26">
        <w:rPr>
          <w:rStyle w:val="Smbolodenotaalpie"/>
          <w:lang w:val="es-CR"/>
        </w:rPr>
        <w:t xml:space="preserve"> </w:t>
      </w:r>
      <w:r w:rsidRPr="00137A26">
        <w:rPr>
          <w:rFonts w:ascii="Verdana" w:hAnsi="Verdana"/>
          <w:sz w:val="20"/>
          <w:szCs w:val="20"/>
          <w:lang w:val="es-CR"/>
        </w:rPr>
        <w:t>(</w:t>
      </w:r>
      <w:r w:rsidRPr="00137A26">
        <w:rPr>
          <w:rFonts w:ascii="Verdana" w:hAnsi="Verdana"/>
          <w:i/>
          <w:sz w:val="20"/>
          <w:szCs w:val="20"/>
          <w:lang w:val="es-CR"/>
        </w:rPr>
        <w:t>supra</w:t>
      </w:r>
      <w:r w:rsidRPr="00137A26">
        <w:rPr>
          <w:rFonts w:ascii="Verdana" w:hAnsi="Verdana"/>
          <w:sz w:val="20"/>
          <w:szCs w:val="20"/>
          <w:lang w:val="es-CR"/>
        </w:rPr>
        <w:t xml:space="preserve"> párrs. 53); e) según aleg</w:t>
      </w:r>
      <w:r>
        <w:rPr>
          <w:rFonts w:ascii="Verdana" w:hAnsi="Verdana"/>
          <w:sz w:val="20"/>
          <w:szCs w:val="20"/>
          <w:lang w:val="es-CR"/>
        </w:rPr>
        <w:t>ó</w:t>
      </w:r>
      <w:r w:rsidRPr="00137A26">
        <w:rPr>
          <w:rFonts w:ascii="Verdana" w:hAnsi="Verdana"/>
          <w:sz w:val="20"/>
          <w:szCs w:val="20"/>
          <w:lang w:val="es-CR"/>
        </w:rPr>
        <w:t xml:space="preserve"> la presunta víctima “se enteró de la decisión del Presidente del Tribunal Constitucional, sin indicar cuándo, a través de la visita del expediente con ocasión de su insistencia en que el fallo fuera ejecutado” (</w:t>
      </w:r>
      <w:r w:rsidRPr="00137A26">
        <w:rPr>
          <w:rFonts w:ascii="Verdana" w:hAnsi="Verdana"/>
          <w:i/>
          <w:sz w:val="20"/>
          <w:szCs w:val="20"/>
          <w:lang w:val="es-CR"/>
        </w:rPr>
        <w:t>supra</w:t>
      </w:r>
      <w:r w:rsidRPr="00137A26">
        <w:rPr>
          <w:rFonts w:ascii="Verdana" w:hAnsi="Verdana"/>
          <w:sz w:val="20"/>
          <w:szCs w:val="20"/>
          <w:lang w:val="es-CR"/>
        </w:rPr>
        <w:t xml:space="preserve"> párr. 5</w:t>
      </w:r>
      <w:r>
        <w:rPr>
          <w:rFonts w:ascii="Verdana" w:hAnsi="Verdana"/>
          <w:sz w:val="20"/>
          <w:szCs w:val="20"/>
          <w:lang w:val="es-CR"/>
        </w:rPr>
        <w:t>3</w:t>
      </w:r>
      <w:r w:rsidRPr="00137A26">
        <w:rPr>
          <w:rFonts w:ascii="Verdana" w:hAnsi="Verdana"/>
          <w:sz w:val="20"/>
          <w:szCs w:val="20"/>
          <w:lang w:val="es-CR"/>
        </w:rPr>
        <w:t>).  Con posterioridad, la presunta víctima dirigió diversos escritos al Presidente y al Pleno del Tribunal para quejarse de la situación planteada a partir de dicha decisión</w:t>
      </w:r>
      <w:r>
        <w:rPr>
          <w:rFonts w:ascii="Verdana" w:hAnsi="Verdana"/>
          <w:sz w:val="20"/>
          <w:szCs w:val="20"/>
          <w:lang w:val="es-CR"/>
        </w:rPr>
        <w:t xml:space="preserve"> </w:t>
      </w:r>
      <w:r w:rsidRPr="00137A26">
        <w:rPr>
          <w:rFonts w:ascii="Verdana" w:hAnsi="Verdana"/>
          <w:sz w:val="20"/>
          <w:szCs w:val="20"/>
          <w:lang w:val="es-CR"/>
        </w:rPr>
        <w:t>(</w:t>
      </w:r>
      <w:r w:rsidRPr="00137A26">
        <w:rPr>
          <w:rFonts w:ascii="Verdana" w:hAnsi="Verdana"/>
          <w:i/>
          <w:sz w:val="20"/>
          <w:szCs w:val="20"/>
          <w:lang w:val="es-CR"/>
        </w:rPr>
        <w:t>supra</w:t>
      </w:r>
      <w:r w:rsidRPr="00137A26">
        <w:rPr>
          <w:rFonts w:ascii="Verdana" w:hAnsi="Verdana"/>
          <w:sz w:val="20"/>
          <w:szCs w:val="20"/>
          <w:lang w:val="es-CR"/>
        </w:rPr>
        <w:t xml:space="preserve"> </w:t>
      </w:r>
      <w:r>
        <w:rPr>
          <w:rFonts w:ascii="Verdana" w:hAnsi="Verdana"/>
          <w:sz w:val="20"/>
          <w:szCs w:val="20"/>
          <w:lang w:val="es-CR"/>
        </w:rPr>
        <w:t>nota 54)</w:t>
      </w:r>
      <w:r w:rsidRPr="00137A26">
        <w:rPr>
          <w:rFonts w:ascii="Verdana" w:hAnsi="Verdana"/>
          <w:sz w:val="20"/>
          <w:szCs w:val="20"/>
          <w:lang w:val="es-CR"/>
        </w:rPr>
        <w:t xml:space="preserve">, y f) </w:t>
      </w:r>
      <w:r w:rsidRPr="00137A26">
        <w:rPr>
          <w:rFonts w:ascii="Verdana" w:hAnsi="Verdana"/>
          <w:sz w:val="20"/>
          <w:szCs w:val="20"/>
          <w:lang w:val="es-MX"/>
        </w:rPr>
        <w:t>el 20 de mayo de 2003 el Pleno del Tribunal Constitucional dispuso dejar sin efecto cualquier providencia posterior a la resolución del Pleno del Tribunal Constit</w:t>
      </w:r>
      <w:r>
        <w:rPr>
          <w:rFonts w:ascii="Verdana" w:hAnsi="Verdana"/>
          <w:sz w:val="20"/>
          <w:szCs w:val="20"/>
          <w:lang w:val="es-MX"/>
        </w:rPr>
        <w:t xml:space="preserve">ucional de 12 de marzo de 2002 </w:t>
      </w:r>
      <w:r w:rsidRPr="00137A26">
        <w:rPr>
          <w:rFonts w:ascii="Verdana" w:hAnsi="Verdana"/>
          <w:sz w:val="20"/>
          <w:szCs w:val="20"/>
          <w:lang w:val="es-MX"/>
        </w:rPr>
        <w:t>(s</w:t>
      </w:r>
      <w:r w:rsidRPr="00137A26">
        <w:rPr>
          <w:rFonts w:ascii="Verdana" w:hAnsi="Verdana"/>
          <w:i/>
          <w:sz w:val="20"/>
          <w:szCs w:val="20"/>
          <w:lang w:val="es-MX"/>
        </w:rPr>
        <w:t>upra</w:t>
      </w:r>
      <w:r w:rsidRPr="00137A26">
        <w:rPr>
          <w:rFonts w:ascii="Verdana" w:hAnsi="Verdana"/>
          <w:sz w:val="20"/>
          <w:szCs w:val="20"/>
          <w:lang w:val="es-MX"/>
        </w:rPr>
        <w:t xml:space="preserve"> párr.</w:t>
      </w:r>
      <w:r w:rsidRPr="00137A26" w:rsidDel="0017783C">
        <w:rPr>
          <w:rFonts w:ascii="Verdana" w:hAnsi="Verdana"/>
          <w:sz w:val="20"/>
          <w:szCs w:val="20"/>
          <w:lang w:val="es-MX"/>
        </w:rPr>
        <w:t xml:space="preserve"> </w:t>
      </w:r>
      <w:r w:rsidRPr="00137A26">
        <w:rPr>
          <w:rFonts w:ascii="Verdana" w:hAnsi="Verdana"/>
          <w:sz w:val="20"/>
          <w:szCs w:val="20"/>
          <w:lang w:val="es-MX"/>
        </w:rPr>
        <w:t xml:space="preserve">54). </w:t>
      </w:r>
    </w:p>
    <w:p w:rsidR="00F249DD" w:rsidRPr="007325F3" w:rsidRDefault="00F249DD" w:rsidP="00120F89">
      <w:pPr>
        <w:jc w:val="both"/>
        <w:rPr>
          <w:rFonts w:ascii="Verdana" w:hAnsi="Verdana"/>
          <w:sz w:val="20"/>
          <w:szCs w:val="20"/>
          <w:lang w:val="es-CR"/>
        </w:rPr>
      </w:pPr>
    </w:p>
    <w:p w:rsidR="00F249DD" w:rsidRDefault="00F249DD" w:rsidP="00610D0B">
      <w:pPr>
        <w:numPr>
          <w:ilvl w:val="0"/>
          <w:numId w:val="3"/>
        </w:numPr>
        <w:ind w:left="0" w:firstLine="0"/>
        <w:jc w:val="both"/>
        <w:rPr>
          <w:rFonts w:ascii="Verdana" w:hAnsi="Verdana"/>
          <w:sz w:val="20"/>
          <w:szCs w:val="20"/>
          <w:lang w:val="es-CR"/>
        </w:rPr>
      </w:pPr>
      <w:r w:rsidRPr="007325F3">
        <w:rPr>
          <w:rFonts w:ascii="Verdana" w:hAnsi="Verdana"/>
          <w:sz w:val="20"/>
          <w:szCs w:val="20"/>
          <w:lang w:val="es-CR"/>
        </w:rPr>
        <w:t xml:space="preserve">La Corte hace notar que el Estado no presentó </w:t>
      </w:r>
      <w:r>
        <w:rPr>
          <w:rFonts w:ascii="Verdana" w:hAnsi="Verdana"/>
          <w:sz w:val="20"/>
          <w:szCs w:val="20"/>
          <w:lang w:val="es-CR"/>
        </w:rPr>
        <w:t>argumentos</w:t>
      </w:r>
      <w:r w:rsidRPr="007325F3">
        <w:rPr>
          <w:rFonts w:ascii="Verdana" w:hAnsi="Verdana"/>
          <w:sz w:val="20"/>
          <w:szCs w:val="20"/>
          <w:lang w:val="es-CR"/>
        </w:rPr>
        <w:t xml:space="preserve"> ni controvirtió lo alegado por la Comisión y </w:t>
      </w:r>
      <w:r>
        <w:rPr>
          <w:rFonts w:ascii="Verdana" w:hAnsi="Verdana"/>
          <w:sz w:val="20"/>
          <w:szCs w:val="20"/>
          <w:lang w:val="es-CR"/>
        </w:rPr>
        <w:t xml:space="preserve">los </w:t>
      </w:r>
      <w:r w:rsidRPr="007325F3">
        <w:rPr>
          <w:rFonts w:ascii="Verdana" w:hAnsi="Verdana"/>
          <w:sz w:val="20"/>
          <w:szCs w:val="20"/>
          <w:lang w:val="es-CR"/>
        </w:rPr>
        <w:t>representantes, ni descargó prueba al respecto, sólo se limitó a señalar que el Presidente del Tribunal Constitucional es “competente para ejecutar las resoluciones dictadas por el pleno de la magistratura”</w:t>
      </w:r>
      <w:r>
        <w:rPr>
          <w:rFonts w:ascii="Verdana" w:hAnsi="Verdana"/>
          <w:sz w:val="20"/>
          <w:szCs w:val="20"/>
          <w:lang w:val="es-CR"/>
        </w:rPr>
        <w:t xml:space="preserve"> (</w:t>
      </w:r>
      <w:r w:rsidRPr="0081588B">
        <w:rPr>
          <w:rFonts w:ascii="Verdana" w:hAnsi="Verdana"/>
          <w:i/>
          <w:sz w:val="20"/>
          <w:szCs w:val="20"/>
          <w:lang w:val="es-CR"/>
        </w:rPr>
        <w:t xml:space="preserve">supra </w:t>
      </w:r>
      <w:r>
        <w:rPr>
          <w:rFonts w:ascii="Verdana" w:hAnsi="Verdana"/>
          <w:sz w:val="20"/>
          <w:szCs w:val="20"/>
          <w:lang w:val="es-CR"/>
        </w:rPr>
        <w:t>párr. 67).</w:t>
      </w:r>
    </w:p>
    <w:p w:rsidR="00F249DD" w:rsidRPr="007325F3" w:rsidRDefault="00F249DD" w:rsidP="00610D0B">
      <w:pPr>
        <w:ind w:right="-1060"/>
        <w:rPr>
          <w:rFonts w:ascii="Verdana" w:hAnsi="Verdana" w:cs="Arial"/>
          <w:sz w:val="20"/>
          <w:szCs w:val="20"/>
          <w:lang w:val="es-CR"/>
        </w:rPr>
      </w:pPr>
    </w:p>
    <w:p w:rsidR="00F249DD" w:rsidRPr="00067923" w:rsidRDefault="00F249DD" w:rsidP="00120F89">
      <w:pPr>
        <w:numPr>
          <w:ilvl w:val="0"/>
          <w:numId w:val="3"/>
        </w:numPr>
        <w:ind w:left="0" w:firstLine="0"/>
        <w:jc w:val="both"/>
        <w:rPr>
          <w:rFonts w:ascii="Verdana" w:hAnsi="Verdana"/>
          <w:sz w:val="20"/>
          <w:szCs w:val="20"/>
          <w:lang w:val="es-CR"/>
        </w:rPr>
      </w:pPr>
      <w:r w:rsidRPr="007325F3">
        <w:rPr>
          <w:rFonts w:ascii="Verdana" w:hAnsi="Verdana"/>
          <w:sz w:val="20"/>
          <w:szCs w:val="20"/>
          <w:lang w:val="es-CR"/>
        </w:rPr>
        <w:t xml:space="preserve">La Corte observa que en </w:t>
      </w:r>
      <w:r w:rsidRPr="00A402E2">
        <w:rPr>
          <w:rFonts w:ascii="Verdana" w:hAnsi="Verdana"/>
          <w:sz w:val="20"/>
          <w:szCs w:val="20"/>
          <w:lang w:val="es-CR"/>
        </w:rPr>
        <w:t>el período en que</w:t>
      </w:r>
      <w:r w:rsidRPr="007325F3">
        <w:rPr>
          <w:rFonts w:ascii="Verdana" w:hAnsi="Verdana"/>
          <w:sz w:val="20"/>
          <w:szCs w:val="20"/>
          <w:lang w:val="es-CR"/>
        </w:rPr>
        <w:t xml:space="preserve"> ocurrieron los hechos</w:t>
      </w:r>
      <w:r>
        <w:rPr>
          <w:rFonts w:ascii="Verdana" w:hAnsi="Verdana"/>
          <w:sz w:val="20"/>
          <w:szCs w:val="20"/>
          <w:lang w:val="es-CR"/>
        </w:rPr>
        <w:t>,</w:t>
      </w:r>
      <w:r w:rsidRPr="007325F3">
        <w:rPr>
          <w:rFonts w:ascii="Verdana" w:hAnsi="Verdana"/>
          <w:sz w:val="20"/>
          <w:szCs w:val="20"/>
          <w:lang w:val="es-CR"/>
        </w:rPr>
        <w:t xml:space="preserve"> el procedimiento </w:t>
      </w:r>
      <w:r>
        <w:rPr>
          <w:rFonts w:ascii="Verdana" w:hAnsi="Verdana"/>
          <w:sz w:val="20"/>
          <w:szCs w:val="20"/>
          <w:lang w:val="es-CR"/>
        </w:rPr>
        <w:t xml:space="preserve">ante el Tribunal Constitucional </w:t>
      </w:r>
      <w:r w:rsidRPr="007325F3">
        <w:rPr>
          <w:rFonts w:ascii="Verdana" w:hAnsi="Verdana"/>
          <w:sz w:val="20"/>
          <w:szCs w:val="20"/>
          <w:lang w:val="es-CR"/>
        </w:rPr>
        <w:t xml:space="preserve">se regía, entre otras, por las siguientes </w:t>
      </w:r>
      <w:r w:rsidRPr="00067923">
        <w:rPr>
          <w:rFonts w:ascii="Verdana" w:hAnsi="Verdana"/>
          <w:sz w:val="20"/>
          <w:szCs w:val="20"/>
          <w:lang w:val="es-CR"/>
        </w:rPr>
        <w:t>disposiciones: artículo 67</w:t>
      </w:r>
      <w:r w:rsidRPr="00067923">
        <w:rPr>
          <w:rStyle w:val="Smbolodenotaalpie"/>
        </w:rPr>
        <w:footnoteReference w:id="71"/>
      </w:r>
      <w:r w:rsidRPr="00067923">
        <w:rPr>
          <w:rFonts w:ascii="Verdana" w:hAnsi="Verdana"/>
          <w:sz w:val="20"/>
          <w:szCs w:val="20"/>
          <w:lang w:val="es-CR"/>
        </w:rPr>
        <w:t xml:space="preserve"> del Reglamento de Trámite de Expedientes en el Tribunal Constitucional, y </w:t>
      </w:r>
      <w:r w:rsidRPr="00FC3247">
        <w:rPr>
          <w:rFonts w:ascii="Verdana" w:hAnsi="Verdana"/>
          <w:sz w:val="20"/>
          <w:szCs w:val="20"/>
          <w:lang w:val="es-CR"/>
        </w:rPr>
        <w:t>los artículos 285</w:t>
      </w:r>
      <w:r>
        <w:rPr>
          <w:rStyle w:val="Smbolodenotaalpie"/>
        </w:rPr>
        <w:footnoteReference w:id="72"/>
      </w:r>
      <w:r w:rsidRPr="00FC3247">
        <w:rPr>
          <w:rFonts w:ascii="Verdana" w:hAnsi="Verdana"/>
          <w:sz w:val="20"/>
          <w:szCs w:val="20"/>
          <w:lang w:val="es-CR"/>
        </w:rPr>
        <w:t xml:space="preserve"> y 286</w:t>
      </w:r>
      <w:r>
        <w:rPr>
          <w:rStyle w:val="Smbolodenotaalpie"/>
        </w:rPr>
        <w:footnoteReference w:id="73"/>
      </w:r>
      <w:r w:rsidRPr="00067923">
        <w:rPr>
          <w:rFonts w:ascii="Verdana" w:hAnsi="Verdana"/>
          <w:sz w:val="20"/>
          <w:szCs w:val="20"/>
          <w:lang w:val="es-CR"/>
        </w:rPr>
        <w:t xml:space="preserve"> del Código de Procedimientos Civil de Ecuador vigente al momento de los hechos. Además, la Constitución que tuvo vigencia hasta el 2008, en el artículo 276.7 establecía que el Tribunal Constitucional podía “[e]jercer las demás atribuciones que le confiera la Constitución y las leyes”. En aplicación de esa norma, el Código de Procedimiento Civil en su artículo 285 establecía la posibilidad de aclarar o ampliar una sentencia.</w:t>
      </w:r>
    </w:p>
    <w:p w:rsidR="00F249DD" w:rsidRDefault="00F249DD">
      <w:pPr>
        <w:pStyle w:val="Ttulo4"/>
        <w:ind w:left="720" w:firstLine="0"/>
      </w:pPr>
      <w:r w:rsidRPr="00FC3247">
        <w:lastRenderedPageBreak/>
        <w:t xml:space="preserve">extemporaneidad en la solicitud de aclaración de sentencia dictada por el Tribunal Constitucional </w:t>
      </w:r>
    </w:p>
    <w:p w:rsidR="00F249DD" w:rsidRPr="00067923" w:rsidRDefault="00F249DD" w:rsidP="00610D0B">
      <w:pPr>
        <w:ind w:right="55"/>
        <w:rPr>
          <w:rFonts w:ascii="Verdana" w:hAnsi="Verdana"/>
          <w:sz w:val="20"/>
          <w:szCs w:val="20"/>
          <w:lang w:val="es-CR"/>
        </w:rPr>
      </w:pPr>
    </w:p>
    <w:p w:rsidR="00F249DD" w:rsidRPr="00067923" w:rsidRDefault="00F249DD" w:rsidP="00120F89">
      <w:pPr>
        <w:numPr>
          <w:ilvl w:val="0"/>
          <w:numId w:val="3"/>
        </w:numPr>
        <w:ind w:left="0" w:firstLine="0"/>
        <w:jc w:val="both"/>
        <w:rPr>
          <w:rFonts w:ascii="Verdana" w:hAnsi="Verdana" w:cs="Arial"/>
          <w:sz w:val="20"/>
          <w:szCs w:val="20"/>
          <w:lang w:val="es-CR"/>
        </w:rPr>
      </w:pPr>
      <w:r w:rsidRPr="00FC3247">
        <w:rPr>
          <w:rFonts w:ascii="Verdana" w:hAnsi="Verdana"/>
          <w:sz w:val="20"/>
          <w:szCs w:val="20"/>
          <w:lang w:val="es-CR"/>
        </w:rPr>
        <w:t>En el artículo 285 del Código de Procedimiento Civil</w:t>
      </w:r>
      <w:r w:rsidRPr="00067923">
        <w:rPr>
          <w:rFonts w:ascii="Verdana" w:hAnsi="Verdana"/>
          <w:sz w:val="20"/>
          <w:szCs w:val="20"/>
          <w:lang w:val="es-CR"/>
        </w:rPr>
        <w:t xml:space="preserve"> se establece el plazo de tres días para la presentación de una aclaración o ampliación.  En el presente caso, el 25 marzo de 2002 se notificó a las partes la referida sentencia de 12 de marzo de 2002, por lo que cualquier aclaración debía presentarse dentro de los tres días siguientes. </w:t>
      </w:r>
    </w:p>
    <w:p w:rsidR="00F249DD" w:rsidRPr="00067923" w:rsidRDefault="00F249DD" w:rsidP="00120F89">
      <w:pPr>
        <w:jc w:val="both"/>
        <w:rPr>
          <w:rFonts w:ascii="Verdana" w:hAnsi="Verdana" w:cs="Arial"/>
          <w:sz w:val="20"/>
          <w:szCs w:val="20"/>
          <w:lang w:val="es-CR"/>
        </w:rPr>
      </w:pPr>
    </w:p>
    <w:p w:rsidR="00F249DD" w:rsidRPr="00067923" w:rsidRDefault="00F249DD" w:rsidP="00610D0B">
      <w:pPr>
        <w:numPr>
          <w:ilvl w:val="0"/>
          <w:numId w:val="3"/>
        </w:numPr>
        <w:ind w:left="0" w:firstLine="0"/>
        <w:jc w:val="both"/>
        <w:rPr>
          <w:rFonts w:ascii="Verdana" w:hAnsi="Verdana" w:cs="Arial"/>
          <w:sz w:val="20"/>
          <w:szCs w:val="20"/>
          <w:lang w:val="es-CR"/>
        </w:rPr>
      </w:pPr>
      <w:r w:rsidRPr="00FC3247">
        <w:rPr>
          <w:rFonts w:ascii="Verdana" w:hAnsi="Verdana"/>
          <w:sz w:val="20"/>
          <w:szCs w:val="20"/>
          <w:lang w:val="es-CR"/>
        </w:rPr>
        <w:t>Al respecto, durante la audiencia pública ante la Corte, el perito Jaime Rafael Vintimilla manifestó que “[e]l artículo 43 [de la Ley de Control Constitucional]</w:t>
      </w:r>
      <w:r w:rsidRPr="00067923">
        <w:rPr>
          <w:rFonts w:ascii="Verdana" w:hAnsi="Verdana"/>
          <w:sz w:val="16"/>
          <w:szCs w:val="16"/>
          <w:lang w:val="es-CR"/>
        </w:rPr>
        <w:t xml:space="preserve"> </w:t>
      </w:r>
      <w:r w:rsidRPr="00067923">
        <w:rPr>
          <w:rFonts w:ascii="Verdana" w:hAnsi="Verdana"/>
          <w:sz w:val="20"/>
          <w:szCs w:val="20"/>
          <w:lang w:val="es-CR"/>
        </w:rPr>
        <w:t>expresamente [decía]: no podrá pedirse al Tribunal reconsideración ni revocación de las resoluciones que dicte, pero sí ampliación o aclaración dentro del término de tres días […].  Una vez que se ha publicado en el libro oficial no cabe recurso alguno, porque se estaría vulnerando el debido proceso, los derechos básicos de los ciudadanos”.</w:t>
      </w:r>
    </w:p>
    <w:p w:rsidR="00F249DD" w:rsidRPr="00067923" w:rsidRDefault="00F249DD" w:rsidP="00120F89">
      <w:pPr>
        <w:jc w:val="both"/>
        <w:rPr>
          <w:rFonts w:ascii="Verdana" w:hAnsi="Verdana"/>
          <w:sz w:val="20"/>
          <w:szCs w:val="20"/>
          <w:lang w:val="es-CR"/>
        </w:rPr>
      </w:pPr>
    </w:p>
    <w:p w:rsidR="00F249DD" w:rsidRPr="00067923" w:rsidRDefault="00F249DD" w:rsidP="00120F89">
      <w:pPr>
        <w:numPr>
          <w:ilvl w:val="0"/>
          <w:numId w:val="3"/>
        </w:numPr>
        <w:ind w:left="0" w:firstLine="0"/>
        <w:jc w:val="both"/>
        <w:rPr>
          <w:rFonts w:ascii="Verdana" w:hAnsi="Verdana" w:cs="Arial"/>
          <w:sz w:val="20"/>
          <w:szCs w:val="20"/>
          <w:lang w:val="es-CR"/>
        </w:rPr>
      </w:pPr>
      <w:r w:rsidRPr="00FC3247">
        <w:rPr>
          <w:rFonts w:ascii="Verdana" w:hAnsi="Verdana"/>
          <w:sz w:val="20"/>
          <w:szCs w:val="20"/>
          <w:lang w:val="es-CR"/>
        </w:rPr>
        <w:t xml:space="preserve"> Sin embargo, en este caso la Comandancia General presentó el 8 de abril de 2002 la solicitud de aclaración, es decir, 14 días después de notificada la Sentencia. Adicionalmente, cabe señalar que la referida sentencia se publicó en el Registro Oficial No. 548 el 4 de abril de 2002, fecha a partir de la cual, de acuerdo a la normativa vigente era ejecutable, por lo que la aclaración fue sometida 4 días después de la publicación. En consecuencia, esta Corte constata que el sometimiento de tal aclaración por parte de la Comandancia General fue extemporánea.</w:t>
      </w:r>
    </w:p>
    <w:p w:rsidR="00F249DD" w:rsidRPr="00067923" w:rsidRDefault="00F249DD" w:rsidP="00610D0B">
      <w:pPr>
        <w:ind w:right="55"/>
        <w:rPr>
          <w:rFonts w:ascii="Verdana" w:hAnsi="Verdana" w:cs="Arial"/>
          <w:sz w:val="20"/>
          <w:szCs w:val="20"/>
          <w:lang w:val="es-CR"/>
        </w:rPr>
      </w:pPr>
      <w:r w:rsidRPr="00FC3247">
        <w:rPr>
          <w:rFonts w:ascii="Verdana" w:hAnsi="Verdana"/>
          <w:sz w:val="20"/>
          <w:szCs w:val="20"/>
          <w:lang w:val="es-CR"/>
        </w:rPr>
        <w:t xml:space="preserve"> </w:t>
      </w:r>
    </w:p>
    <w:p w:rsidR="00F249DD" w:rsidRPr="007C688C" w:rsidRDefault="00F249DD" w:rsidP="00120F89">
      <w:pPr>
        <w:numPr>
          <w:ilvl w:val="0"/>
          <w:numId w:val="3"/>
        </w:numPr>
        <w:ind w:left="0" w:firstLine="0"/>
        <w:jc w:val="both"/>
        <w:rPr>
          <w:rFonts w:ascii="Verdana" w:hAnsi="Verdana" w:cs="Arial"/>
          <w:sz w:val="20"/>
          <w:szCs w:val="20"/>
          <w:lang w:val="es-CR"/>
        </w:rPr>
      </w:pPr>
      <w:r w:rsidRPr="00FC3247">
        <w:rPr>
          <w:rFonts w:ascii="Verdana" w:hAnsi="Verdana"/>
          <w:sz w:val="20"/>
          <w:szCs w:val="20"/>
          <w:lang w:val="es-CR"/>
        </w:rPr>
        <w:t>Adicionalmente, tanto los representantes como la Comisión alegaron que la Comandancia General no era parte procesal en el caso, y por ende no podía haber solicitado la aclaración. Esta Corte observa que de la prueba presentada y de la normativa indicada por las partes no se desprende información suficiente para determinar con certeza en el presente caso que dicha institución no era parte procesal en el presente asunto. O bien, si los terceros interesados o perjudicados podrían presentar una solicitud de aclaración o aplicación de un fallo. Por ello, este Tribunal no se pronuncia al respecto.</w:t>
      </w:r>
    </w:p>
    <w:p w:rsidR="00F249DD" w:rsidRDefault="00F249DD">
      <w:pPr>
        <w:pStyle w:val="Ttulo4"/>
        <w:ind w:left="720" w:firstLine="0"/>
      </w:pPr>
      <w:r w:rsidRPr="00FC3247">
        <w:t>falta de competencia del Presidente del Tribunal Constitucional para aclarar la sentencia mediante una resolución</w:t>
      </w:r>
    </w:p>
    <w:p w:rsidR="00F249DD" w:rsidRPr="00067923" w:rsidRDefault="00F249DD" w:rsidP="00610D0B">
      <w:pPr>
        <w:autoSpaceDE w:val="0"/>
        <w:rPr>
          <w:rFonts w:ascii="Verdana" w:hAnsi="Verdana" w:cs="Arial"/>
          <w:sz w:val="20"/>
          <w:szCs w:val="20"/>
          <w:lang w:val="es-CR"/>
        </w:rPr>
      </w:pPr>
    </w:p>
    <w:p w:rsidR="00F249DD" w:rsidRPr="00852A00" w:rsidRDefault="00F249DD" w:rsidP="00610D0B">
      <w:pPr>
        <w:numPr>
          <w:ilvl w:val="0"/>
          <w:numId w:val="3"/>
        </w:numPr>
        <w:ind w:left="0" w:firstLine="0"/>
        <w:jc w:val="both"/>
        <w:rPr>
          <w:rFonts w:ascii="Verdana" w:hAnsi="Verdana"/>
          <w:sz w:val="20"/>
          <w:szCs w:val="20"/>
          <w:lang w:val="es-CR"/>
        </w:rPr>
      </w:pPr>
      <w:r w:rsidRPr="00FC3247">
        <w:rPr>
          <w:rFonts w:ascii="Verdana" w:hAnsi="Verdana"/>
          <w:sz w:val="20"/>
          <w:szCs w:val="20"/>
          <w:lang w:val="es-CR"/>
        </w:rPr>
        <w:t xml:space="preserve">El </w:t>
      </w:r>
      <w:r w:rsidRPr="00531284">
        <w:rPr>
          <w:rFonts w:ascii="Verdana" w:hAnsi="Verdana" w:cs="Arial"/>
          <w:sz w:val="20"/>
          <w:szCs w:val="20"/>
          <w:lang w:val="es-CR"/>
        </w:rPr>
        <w:t>artículo 285 del Código de Procedimiento Civi</w:t>
      </w:r>
      <w:r w:rsidRPr="002810D0">
        <w:rPr>
          <w:rFonts w:ascii="Verdana" w:hAnsi="Verdana" w:cs="Arial"/>
          <w:sz w:val="20"/>
          <w:szCs w:val="20"/>
          <w:lang w:val="es-CR"/>
        </w:rPr>
        <w:t xml:space="preserve">l </w:t>
      </w:r>
      <w:r w:rsidRPr="00067923">
        <w:rPr>
          <w:rFonts w:ascii="Verdana" w:hAnsi="Verdana" w:cs="Arial"/>
          <w:sz w:val="20"/>
          <w:szCs w:val="20"/>
          <w:lang w:val="es-CR"/>
        </w:rPr>
        <w:t>establece que “el juez que dictó sentencia no puede revocarla ni alterar su sentido en ningún caso”, sino simplemente aclararla o ampliarla, y de acuerdo</w:t>
      </w:r>
      <w:r>
        <w:rPr>
          <w:rFonts w:ascii="Verdana" w:hAnsi="Verdana" w:cs="Arial"/>
          <w:sz w:val="20"/>
          <w:szCs w:val="20"/>
          <w:lang w:val="es-CR"/>
        </w:rPr>
        <w:t xml:space="preserve"> al artículo 67 del Reglamento </w:t>
      </w:r>
      <w:r w:rsidRPr="00067923">
        <w:rPr>
          <w:rFonts w:ascii="Verdana" w:hAnsi="Verdana" w:cs="Arial"/>
          <w:sz w:val="20"/>
          <w:szCs w:val="20"/>
          <w:lang w:val="es-CR"/>
        </w:rPr>
        <w:t>de Trámite de Expedientes en el Tribunal Constitucional, al Presidente del Tribunal Constitucional le corresponde ejecutar las sentencias del pleno.</w:t>
      </w:r>
      <w:r w:rsidRPr="00067923">
        <w:rPr>
          <w:rFonts w:ascii="Verdana" w:hAnsi="Verdana"/>
          <w:sz w:val="20"/>
          <w:szCs w:val="20"/>
          <w:lang w:val="es-CR"/>
        </w:rPr>
        <w:t xml:space="preserve"> Al respecto, el perito Jaime Rafael Vintimilla manifestó que </w:t>
      </w:r>
      <w:r w:rsidRPr="00FC3247">
        <w:rPr>
          <w:rFonts w:ascii="Verdana" w:hAnsi="Verdana"/>
          <w:sz w:val="20"/>
          <w:szCs w:val="20"/>
          <w:lang w:val="es-CR"/>
        </w:rPr>
        <w:t>el artículo 14 de la Ley de Control Constitucional</w:t>
      </w:r>
      <w:r w:rsidRPr="00067923">
        <w:rPr>
          <w:rFonts w:ascii="Verdana" w:hAnsi="Verdana"/>
          <w:sz w:val="20"/>
          <w:szCs w:val="20"/>
          <w:lang w:val="es-CR"/>
        </w:rPr>
        <w:t xml:space="preserve"> “[lo] corroboraba, pues indicaba que [contra] las resoluciones del Tribunal Constitucional, […] no cabe […] recurso alguno. Solamente en el Reglamento Orgánico Funcional del Tribunal Constitucional se </w:t>
      </w:r>
      <w:r>
        <w:rPr>
          <w:rFonts w:ascii="Verdana" w:hAnsi="Verdana"/>
          <w:sz w:val="20"/>
          <w:szCs w:val="20"/>
          <w:lang w:val="es-CR"/>
        </w:rPr>
        <w:t>[hacía referencia a]</w:t>
      </w:r>
      <w:r w:rsidRPr="00067923">
        <w:rPr>
          <w:rFonts w:ascii="Verdana" w:hAnsi="Verdana"/>
          <w:sz w:val="20"/>
          <w:szCs w:val="20"/>
          <w:lang w:val="es-CR"/>
        </w:rPr>
        <w:t xml:space="preserve"> la petición de ampliación o aclaración</w:t>
      </w:r>
      <w:r w:rsidRPr="0024083C">
        <w:rPr>
          <w:rFonts w:ascii="Verdana" w:hAnsi="Verdana"/>
          <w:sz w:val="20"/>
          <w:szCs w:val="20"/>
          <w:lang w:val="es-CR"/>
        </w:rPr>
        <w:t>.</w:t>
      </w:r>
      <w:r>
        <w:rPr>
          <w:rFonts w:ascii="Verdana" w:hAnsi="Verdana"/>
          <w:sz w:val="20"/>
          <w:szCs w:val="20"/>
          <w:lang w:val="es-CR"/>
        </w:rPr>
        <w:t xml:space="preserve">” </w:t>
      </w:r>
    </w:p>
    <w:p w:rsidR="00F249DD" w:rsidRPr="00852A00" w:rsidRDefault="00F249DD" w:rsidP="00120F89">
      <w:pPr>
        <w:jc w:val="both"/>
        <w:rPr>
          <w:rFonts w:ascii="Verdana" w:hAnsi="Verdana"/>
          <w:sz w:val="20"/>
          <w:szCs w:val="20"/>
          <w:lang w:val="es-CR"/>
        </w:rPr>
      </w:pPr>
      <w:r w:rsidRPr="0095453E">
        <w:rPr>
          <w:rFonts w:ascii="Verdana" w:hAnsi="Verdana" w:cs="Arial"/>
          <w:sz w:val="20"/>
          <w:szCs w:val="20"/>
          <w:lang w:val="es-CR"/>
        </w:rPr>
        <w:t xml:space="preserve"> </w:t>
      </w:r>
    </w:p>
    <w:p w:rsidR="00F249DD" w:rsidRPr="005A3625" w:rsidRDefault="00F249DD" w:rsidP="00610D0B">
      <w:pPr>
        <w:numPr>
          <w:ilvl w:val="0"/>
          <w:numId w:val="3"/>
        </w:numPr>
        <w:ind w:left="0" w:firstLine="0"/>
        <w:jc w:val="both"/>
        <w:rPr>
          <w:rFonts w:ascii="Verdana" w:hAnsi="Verdana"/>
          <w:sz w:val="20"/>
          <w:szCs w:val="20"/>
          <w:lang w:val="es-CR"/>
        </w:rPr>
      </w:pPr>
      <w:r>
        <w:rPr>
          <w:rFonts w:ascii="Verdana" w:hAnsi="Verdana" w:cs="Arial"/>
          <w:sz w:val="20"/>
          <w:szCs w:val="20"/>
          <w:lang w:val="es-CR"/>
        </w:rPr>
        <w:t xml:space="preserve">  </w:t>
      </w:r>
      <w:r w:rsidRPr="00CF4F22">
        <w:rPr>
          <w:rFonts w:ascii="Verdana" w:hAnsi="Verdana" w:cs="Arial"/>
          <w:sz w:val="20"/>
          <w:szCs w:val="20"/>
          <w:lang w:val="es-CR"/>
        </w:rPr>
        <w:t xml:space="preserve">Esta Corte </w:t>
      </w:r>
      <w:r w:rsidRPr="00FC3247">
        <w:rPr>
          <w:rFonts w:ascii="Verdana" w:hAnsi="Verdana" w:cs="Arial"/>
          <w:sz w:val="20"/>
          <w:szCs w:val="20"/>
          <w:lang w:val="es-CR"/>
        </w:rPr>
        <w:t>considera</w:t>
      </w:r>
      <w:r w:rsidRPr="006D6627">
        <w:rPr>
          <w:rFonts w:ascii="Verdana" w:hAnsi="Verdana" w:cs="Arial"/>
          <w:b/>
          <w:sz w:val="20"/>
          <w:szCs w:val="20"/>
          <w:lang w:val="es-CR"/>
        </w:rPr>
        <w:t xml:space="preserve"> </w:t>
      </w:r>
      <w:r w:rsidRPr="00CF4F22">
        <w:rPr>
          <w:rFonts w:ascii="Verdana" w:hAnsi="Verdana" w:cs="Arial"/>
          <w:sz w:val="20"/>
          <w:szCs w:val="20"/>
          <w:lang w:val="es-CR"/>
        </w:rPr>
        <w:t xml:space="preserve">que el juez, como director del proceso, debe velar por que se cumplan a cabalidad las reglas del debido proceso de las partes </w:t>
      </w:r>
      <w:r w:rsidRPr="005A3625">
        <w:rPr>
          <w:rFonts w:ascii="Verdana" w:hAnsi="Verdana" w:cs="Arial"/>
          <w:sz w:val="20"/>
          <w:szCs w:val="20"/>
          <w:lang w:val="es-CR"/>
        </w:rPr>
        <w:t xml:space="preserve">y </w:t>
      </w:r>
      <w:r>
        <w:rPr>
          <w:rFonts w:ascii="Verdana" w:hAnsi="Verdana" w:cs="Arial"/>
          <w:sz w:val="20"/>
          <w:szCs w:val="20"/>
          <w:lang w:val="es-CR"/>
        </w:rPr>
        <w:t>el incumplimiento de éste podría</w:t>
      </w:r>
      <w:r w:rsidRPr="005A3625">
        <w:rPr>
          <w:rFonts w:ascii="Verdana" w:hAnsi="Verdana" w:cs="Arial"/>
          <w:sz w:val="20"/>
          <w:szCs w:val="20"/>
          <w:lang w:val="es-CR"/>
        </w:rPr>
        <w:t xml:space="preserve"> </w:t>
      </w:r>
      <w:r>
        <w:rPr>
          <w:rFonts w:ascii="Verdana" w:hAnsi="Verdana" w:cs="Arial"/>
          <w:sz w:val="20"/>
          <w:szCs w:val="20"/>
          <w:lang w:val="es-CR"/>
        </w:rPr>
        <w:t>acarrear la</w:t>
      </w:r>
      <w:r w:rsidRPr="005A3625">
        <w:rPr>
          <w:rFonts w:ascii="Verdana" w:hAnsi="Verdana" w:cs="Arial"/>
          <w:sz w:val="20"/>
          <w:szCs w:val="20"/>
          <w:lang w:val="es-CR"/>
        </w:rPr>
        <w:t xml:space="preserve"> aplica</w:t>
      </w:r>
      <w:r>
        <w:rPr>
          <w:rFonts w:ascii="Verdana" w:hAnsi="Verdana" w:cs="Arial"/>
          <w:sz w:val="20"/>
          <w:szCs w:val="20"/>
          <w:lang w:val="es-CR"/>
        </w:rPr>
        <w:t>ción de</w:t>
      </w:r>
      <w:r w:rsidRPr="005A3625">
        <w:rPr>
          <w:rFonts w:ascii="Verdana" w:hAnsi="Verdana" w:cs="Arial"/>
          <w:sz w:val="20"/>
          <w:szCs w:val="20"/>
          <w:lang w:val="es-CR"/>
        </w:rPr>
        <w:t xml:space="preserve"> reglas de nulidad. </w:t>
      </w:r>
    </w:p>
    <w:p w:rsidR="00F249DD" w:rsidRPr="00120081" w:rsidRDefault="00F249DD" w:rsidP="00120F89">
      <w:pPr>
        <w:jc w:val="both"/>
        <w:rPr>
          <w:rFonts w:ascii="Verdana" w:hAnsi="Verdana"/>
          <w:sz w:val="20"/>
          <w:szCs w:val="20"/>
          <w:highlight w:val="yellow"/>
          <w:lang w:val="es-CR"/>
        </w:rPr>
      </w:pPr>
    </w:p>
    <w:p w:rsidR="00F249DD" w:rsidRDefault="00F249DD" w:rsidP="00610D0B">
      <w:pPr>
        <w:numPr>
          <w:ilvl w:val="0"/>
          <w:numId w:val="3"/>
        </w:numPr>
        <w:ind w:left="0" w:firstLine="0"/>
        <w:jc w:val="both"/>
        <w:rPr>
          <w:rFonts w:ascii="Verdana" w:hAnsi="Verdana"/>
          <w:sz w:val="20"/>
          <w:szCs w:val="20"/>
          <w:lang w:val="es-CR"/>
        </w:rPr>
      </w:pPr>
      <w:r w:rsidRPr="007325F3">
        <w:rPr>
          <w:rFonts w:ascii="Verdana" w:hAnsi="Verdana" w:cs="Arial"/>
          <w:sz w:val="20"/>
          <w:szCs w:val="20"/>
          <w:lang w:val="es-CR"/>
        </w:rPr>
        <w:t xml:space="preserve"> </w:t>
      </w:r>
      <w:r w:rsidRPr="00BC44EC">
        <w:rPr>
          <w:rFonts w:ascii="Verdana" w:hAnsi="Verdana" w:cs="Arial"/>
          <w:sz w:val="20"/>
          <w:szCs w:val="20"/>
          <w:lang w:val="es-CR"/>
        </w:rPr>
        <w:t>Se constata de los hechos del caso que el Presidente, por un lado, admitió una aclaración extemporánea.  Por otro lado, siendo que la normativa vigente en ese entonces disponía que sólo el juez que dictó la sentencia podrá aclararla o ampliarla, el Presidente unipersonalmente resolvió aclarar la sentencia, cuando esto correspondía al pleno del Tribunal Constitucional, por lo que su decisión no fue conforme a la normativa aplicable</w:t>
      </w:r>
      <w:r>
        <w:rPr>
          <w:rFonts w:ascii="Verdana" w:hAnsi="Verdana" w:cs="Arial"/>
          <w:sz w:val="20"/>
          <w:szCs w:val="20"/>
          <w:lang w:val="es-CR"/>
        </w:rPr>
        <w:t xml:space="preserve"> (</w:t>
      </w:r>
      <w:r w:rsidRPr="00C65EE5">
        <w:rPr>
          <w:rFonts w:ascii="Verdana" w:hAnsi="Verdana" w:cs="Arial"/>
          <w:i/>
          <w:sz w:val="20"/>
          <w:szCs w:val="20"/>
          <w:lang w:val="es-CR"/>
        </w:rPr>
        <w:t>supra</w:t>
      </w:r>
      <w:r>
        <w:rPr>
          <w:rFonts w:ascii="Verdana" w:hAnsi="Verdana" w:cs="Arial"/>
          <w:sz w:val="20"/>
          <w:szCs w:val="20"/>
          <w:lang w:val="es-CR"/>
        </w:rPr>
        <w:t xml:space="preserve"> párr. 71). </w:t>
      </w:r>
      <w:r w:rsidRPr="00BC44EC">
        <w:rPr>
          <w:rFonts w:ascii="Verdana" w:hAnsi="Verdana" w:cs="Arial"/>
          <w:sz w:val="20"/>
          <w:szCs w:val="20"/>
          <w:lang w:val="es-CR"/>
        </w:rPr>
        <w:t>Est</w:t>
      </w:r>
      <w:r>
        <w:rPr>
          <w:rFonts w:ascii="Verdana" w:hAnsi="Verdana" w:cs="Arial"/>
          <w:sz w:val="20"/>
          <w:szCs w:val="20"/>
          <w:lang w:val="es-CR"/>
        </w:rPr>
        <w:t>e</w:t>
      </w:r>
      <w:r w:rsidRPr="00BC44EC">
        <w:rPr>
          <w:rFonts w:ascii="Verdana" w:hAnsi="Verdana" w:cs="Arial"/>
          <w:sz w:val="20"/>
          <w:szCs w:val="20"/>
          <w:lang w:val="es-CR"/>
        </w:rPr>
        <w:t xml:space="preserve"> </w:t>
      </w:r>
      <w:r>
        <w:rPr>
          <w:rFonts w:ascii="Verdana" w:hAnsi="Verdana" w:cs="Arial"/>
          <w:sz w:val="20"/>
          <w:szCs w:val="20"/>
          <w:lang w:val="es-CR"/>
        </w:rPr>
        <w:t xml:space="preserve">Tribunal </w:t>
      </w:r>
      <w:r w:rsidRPr="00BC44EC">
        <w:rPr>
          <w:rFonts w:ascii="Verdana" w:hAnsi="Verdana" w:cs="Arial"/>
          <w:sz w:val="20"/>
          <w:szCs w:val="20"/>
          <w:lang w:val="es-CR"/>
        </w:rPr>
        <w:t xml:space="preserve">considera que el </w:t>
      </w:r>
      <w:r w:rsidRPr="00BC44EC">
        <w:rPr>
          <w:rFonts w:ascii="Verdana" w:hAnsi="Verdana" w:cs="Arial"/>
          <w:sz w:val="20"/>
          <w:szCs w:val="20"/>
          <w:lang w:val="es-CR"/>
        </w:rPr>
        <w:lastRenderedPageBreak/>
        <w:t xml:space="preserve">Presidente del Tribunal Constitucional actuó fuera de su competencia, por lo que no se garantizó </w:t>
      </w:r>
      <w:r w:rsidRPr="00BC44EC">
        <w:rPr>
          <w:rFonts w:ascii="Verdana" w:hAnsi="Verdana"/>
          <w:sz w:val="20"/>
          <w:szCs w:val="20"/>
          <w:lang w:val="es-CR"/>
        </w:rPr>
        <w:t>el debido proceso al aplicar procedimientos que no estaban legalmente establecidos</w:t>
      </w:r>
      <w:r w:rsidRPr="00BC44EC">
        <w:rPr>
          <w:rStyle w:val="Smbolodenotaalpie"/>
        </w:rPr>
        <w:footnoteReference w:id="74"/>
      </w:r>
      <w:r w:rsidRPr="00BC44EC">
        <w:rPr>
          <w:rFonts w:ascii="Verdana" w:hAnsi="Verdana"/>
          <w:sz w:val="20"/>
          <w:szCs w:val="20"/>
          <w:lang w:val="es-CR"/>
        </w:rPr>
        <w:t xml:space="preserve">. </w:t>
      </w:r>
    </w:p>
    <w:p w:rsidR="00F249DD" w:rsidRDefault="00F249DD" w:rsidP="00120F89">
      <w:pPr>
        <w:jc w:val="both"/>
        <w:rPr>
          <w:rFonts w:ascii="Verdana" w:hAnsi="Verdana"/>
          <w:sz w:val="20"/>
          <w:szCs w:val="20"/>
          <w:lang w:val="es-CR"/>
        </w:rPr>
      </w:pPr>
    </w:p>
    <w:p w:rsidR="00F249DD" w:rsidRDefault="00F249DD" w:rsidP="00120F89">
      <w:pPr>
        <w:numPr>
          <w:ilvl w:val="0"/>
          <w:numId w:val="3"/>
        </w:numPr>
        <w:ind w:left="0" w:firstLine="0"/>
        <w:jc w:val="both"/>
        <w:rPr>
          <w:rFonts w:ascii="Verdana" w:hAnsi="Verdana"/>
          <w:sz w:val="20"/>
          <w:szCs w:val="20"/>
          <w:lang w:val="es-CR"/>
        </w:rPr>
      </w:pPr>
      <w:r w:rsidRPr="000447F0">
        <w:rPr>
          <w:rFonts w:ascii="Verdana" w:hAnsi="Verdana" w:cs="Arial"/>
          <w:sz w:val="20"/>
          <w:szCs w:val="20"/>
          <w:lang w:val="es-CR"/>
        </w:rPr>
        <w:t>Además</w:t>
      </w:r>
      <w:r>
        <w:rPr>
          <w:rFonts w:ascii="Verdana" w:hAnsi="Verdana" w:cs="Arial"/>
          <w:sz w:val="20"/>
          <w:szCs w:val="20"/>
          <w:lang w:val="es-CR"/>
        </w:rPr>
        <w:t>,</w:t>
      </w:r>
      <w:r w:rsidRPr="000447F0">
        <w:rPr>
          <w:rFonts w:ascii="Verdana" w:hAnsi="Verdana" w:cs="Arial"/>
          <w:sz w:val="20"/>
          <w:szCs w:val="20"/>
          <w:lang w:val="es-CR"/>
        </w:rPr>
        <w:t xml:space="preserve"> est</w:t>
      </w:r>
      <w:r>
        <w:rPr>
          <w:rFonts w:ascii="Verdana" w:hAnsi="Verdana" w:cs="Arial"/>
          <w:sz w:val="20"/>
          <w:szCs w:val="20"/>
          <w:lang w:val="es-CR"/>
        </w:rPr>
        <w:t>a Corte</w:t>
      </w:r>
      <w:r w:rsidRPr="000447F0">
        <w:rPr>
          <w:rFonts w:ascii="Verdana" w:hAnsi="Verdana" w:cs="Arial"/>
          <w:sz w:val="20"/>
          <w:szCs w:val="20"/>
          <w:lang w:val="es-CR"/>
        </w:rPr>
        <w:t xml:space="preserve"> observa que </w:t>
      </w:r>
      <w:r>
        <w:rPr>
          <w:rFonts w:ascii="Verdana" w:hAnsi="Verdana" w:cs="Arial"/>
          <w:sz w:val="20"/>
          <w:szCs w:val="20"/>
          <w:lang w:val="es-CR"/>
        </w:rPr>
        <w:t>después de la emisión de la referida decisión del Presidente del Tribunal Constitucional, en el procedimiento se creó</w:t>
      </w:r>
      <w:r w:rsidRPr="000447F0">
        <w:rPr>
          <w:rFonts w:ascii="Verdana" w:hAnsi="Verdana" w:cs="Arial"/>
          <w:sz w:val="20"/>
          <w:szCs w:val="20"/>
          <w:lang w:val="es-CR"/>
        </w:rPr>
        <w:t xml:space="preserve"> una situación de inseguridad jurídica e incertidumbre respecto a la ejecución del fallo del Tribunal Constitucional</w:t>
      </w:r>
      <w:r>
        <w:rPr>
          <w:rFonts w:ascii="Verdana" w:hAnsi="Verdana" w:cs="Arial"/>
          <w:sz w:val="20"/>
          <w:szCs w:val="20"/>
          <w:lang w:val="es-CR"/>
        </w:rPr>
        <w:t xml:space="preserve"> de 12 de marzo de 2002</w:t>
      </w:r>
      <w:r w:rsidRPr="000447F0">
        <w:rPr>
          <w:rFonts w:ascii="Verdana" w:hAnsi="Verdana" w:cs="Arial"/>
          <w:sz w:val="20"/>
          <w:szCs w:val="20"/>
          <w:lang w:val="es-CR"/>
        </w:rPr>
        <w:t xml:space="preserve">. </w:t>
      </w:r>
      <w:r>
        <w:rPr>
          <w:rFonts w:ascii="Verdana" w:hAnsi="Verdana" w:cs="Arial"/>
          <w:sz w:val="20"/>
          <w:szCs w:val="20"/>
          <w:lang w:val="es-CR"/>
        </w:rPr>
        <w:t xml:space="preserve">Ello debido a que </w:t>
      </w:r>
      <w:r w:rsidRPr="000447F0">
        <w:rPr>
          <w:rFonts w:ascii="Verdana" w:hAnsi="Verdana" w:cs="Arial"/>
          <w:sz w:val="20"/>
          <w:szCs w:val="20"/>
          <w:lang w:val="es-CR"/>
        </w:rPr>
        <w:t xml:space="preserve">el señor Mejía Idrovo </w:t>
      </w:r>
      <w:r>
        <w:rPr>
          <w:rFonts w:ascii="Verdana" w:hAnsi="Verdana" w:cs="Arial"/>
          <w:sz w:val="20"/>
          <w:szCs w:val="20"/>
          <w:lang w:val="es-CR"/>
        </w:rPr>
        <w:t>exigía el cumplimiento de</w:t>
      </w:r>
      <w:r w:rsidRPr="000447F0">
        <w:rPr>
          <w:rFonts w:ascii="Verdana" w:hAnsi="Verdana" w:cs="Arial"/>
          <w:sz w:val="20"/>
          <w:szCs w:val="20"/>
          <w:lang w:val="es-CR"/>
        </w:rPr>
        <w:t xml:space="preserve"> lo resuelto por el </w:t>
      </w:r>
      <w:r>
        <w:rPr>
          <w:rFonts w:ascii="Verdana" w:hAnsi="Verdana" w:cs="Arial"/>
          <w:sz w:val="20"/>
          <w:szCs w:val="20"/>
          <w:lang w:val="es-CR"/>
        </w:rPr>
        <w:t>p</w:t>
      </w:r>
      <w:r w:rsidRPr="000447F0">
        <w:rPr>
          <w:rFonts w:ascii="Verdana" w:hAnsi="Verdana" w:cs="Arial"/>
          <w:sz w:val="20"/>
          <w:szCs w:val="20"/>
          <w:lang w:val="es-CR"/>
        </w:rPr>
        <w:t>leno d</w:t>
      </w:r>
      <w:r>
        <w:rPr>
          <w:rFonts w:ascii="Verdana" w:hAnsi="Verdana" w:cs="Arial"/>
          <w:sz w:val="20"/>
          <w:szCs w:val="20"/>
          <w:lang w:val="es-CR"/>
        </w:rPr>
        <w:t>e dicho tribunal</w:t>
      </w:r>
      <w:r w:rsidRPr="000447F0">
        <w:rPr>
          <w:rFonts w:ascii="Verdana" w:hAnsi="Verdana" w:cs="Arial"/>
          <w:sz w:val="20"/>
          <w:szCs w:val="20"/>
          <w:lang w:val="es-CR"/>
        </w:rPr>
        <w:t xml:space="preserve">, mientras que la parte demandada, el Presidente de la República, sostenía que </w:t>
      </w:r>
      <w:r>
        <w:rPr>
          <w:rFonts w:ascii="Verdana" w:hAnsi="Verdana" w:cs="Arial"/>
          <w:sz w:val="20"/>
          <w:szCs w:val="20"/>
          <w:lang w:val="es-CR"/>
        </w:rPr>
        <w:t>cumpliría lo</w:t>
      </w:r>
      <w:r w:rsidRPr="000447F0">
        <w:rPr>
          <w:rFonts w:ascii="Verdana" w:hAnsi="Verdana" w:cs="Arial"/>
          <w:sz w:val="20"/>
          <w:szCs w:val="20"/>
          <w:lang w:val="es-CR"/>
        </w:rPr>
        <w:t xml:space="preserve"> </w:t>
      </w:r>
      <w:r>
        <w:rPr>
          <w:rFonts w:ascii="Verdana" w:hAnsi="Verdana" w:cs="Arial"/>
          <w:sz w:val="20"/>
          <w:szCs w:val="20"/>
          <w:lang w:val="es-CR"/>
        </w:rPr>
        <w:t>resuelto por</w:t>
      </w:r>
      <w:r w:rsidRPr="000447F0">
        <w:rPr>
          <w:rFonts w:ascii="Verdana" w:hAnsi="Verdana" w:cs="Arial"/>
          <w:sz w:val="20"/>
          <w:szCs w:val="20"/>
          <w:lang w:val="es-CR"/>
        </w:rPr>
        <w:t xml:space="preserve"> el Presidente del Tribunal Constitucional. </w:t>
      </w:r>
    </w:p>
    <w:p w:rsidR="00F249DD" w:rsidRDefault="00F249DD">
      <w:pPr>
        <w:pStyle w:val="Ttulo4"/>
        <w:ind w:left="720" w:firstLine="0"/>
      </w:pPr>
      <w:r w:rsidRPr="00F20254">
        <w:t>falta de traslado de la petición de aclaración y notificación posterior de la resolución a una de las partes</w:t>
      </w:r>
    </w:p>
    <w:p w:rsidR="00F249DD" w:rsidRPr="00F20254" w:rsidRDefault="00F249DD" w:rsidP="00120F89">
      <w:pPr>
        <w:jc w:val="both"/>
        <w:rPr>
          <w:rFonts w:ascii="Verdana" w:hAnsi="Verdana"/>
          <w:sz w:val="20"/>
          <w:szCs w:val="20"/>
          <w:lang w:val="es-CR"/>
        </w:rPr>
      </w:pPr>
    </w:p>
    <w:p w:rsidR="00F249DD" w:rsidRDefault="00F249DD" w:rsidP="00120F89">
      <w:pPr>
        <w:numPr>
          <w:ilvl w:val="0"/>
          <w:numId w:val="63"/>
        </w:numPr>
        <w:ind w:left="0" w:firstLine="0"/>
        <w:jc w:val="both"/>
        <w:rPr>
          <w:rFonts w:ascii="Verdana" w:hAnsi="Verdana"/>
          <w:sz w:val="20"/>
          <w:szCs w:val="20"/>
          <w:lang w:val="es-CR"/>
        </w:rPr>
      </w:pPr>
      <w:r w:rsidRPr="00F822BE">
        <w:rPr>
          <w:rFonts w:ascii="Verdana" w:hAnsi="Verdana" w:cs="Arial"/>
          <w:sz w:val="20"/>
          <w:szCs w:val="20"/>
          <w:lang w:val="es-CR"/>
        </w:rPr>
        <w:t>La</w:t>
      </w:r>
      <w:r w:rsidRPr="00F20254">
        <w:rPr>
          <w:rFonts w:ascii="Verdana" w:hAnsi="Verdana" w:cs="Arial"/>
          <w:sz w:val="20"/>
          <w:szCs w:val="20"/>
          <w:lang w:val="es-CR"/>
        </w:rPr>
        <w:t xml:space="preserve"> Comisión y los representantes </w:t>
      </w:r>
      <w:r w:rsidRPr="00F20254">
        <w:rPr>
          <w:rFonts w:ascii="Verdana" w:hAnsi="Verdana"/>
          <w:sz w:val="20"/>
          <w:szCs w:val="20"/>
          <w:lang w:val="es-CR"/>
        </w:rPr>
        <w:t>alegaron que el señor Mejía Idrovo se informó, sin ser notificado oficialmente, de la solicitud de una aclaratoria extemporánea presentada por la Comandancia General de la Fuerza Terrestre y posterior resolución del Presidente del Tribunal Constitucional de 30 de mayo de 2002. El Estado no controvirtió dicho alegato. En lo que se refiere a la solicitud de aclaración, el artículo 286 del Código de Procedimiento Civil expresamente señala que “para la aclaración o la ampliación se oirá previamente a la otra parte”.</w:t>
      </w:r>
    </w:p>
    <w:p w:rsidR="00F249DD" w:rsidRDefault="00F249DD" w:rsidP="00120F89">
      <w:pPr>
        <w:jc w:val="both"/>
        <w:rPr>
          <w:rFonts w:ascii="Verdana" w:hAnsi="Verdana"/>
          <w:sz w:val="20"/>
          <w:szCs w:val="20"/>
          <w:lang w:val="es-CR"/>
        </w:rPr>
      </w:pPr>
    </w:p>
    <w:p w:rsidR="00F249DD" w:rsidRDefault="00F249DD">
      <w:pPr>
        <w:numPr>
          <w:ilvl w:val="0"/>
          <w:numId w:val="63"/>
        </w:numPr>
        <w:ind w:left="0" w:firstLine="0"/>
        <w:jc w:val="both"/>
        <w:rPr>
          <w:rFonts w:ascii="Verdana" w:hAnsi="Verdana"/>
          <w:sz w:val="20"/>
          <w:szCs w:val="20"/>
          <w:lang w:val="es-CR"/>
        </w:rPr>
      </w:pPr>
      <w:r>
        <w:rPr>
          <w:rFonts w:ascii="Verdana" w:hAnsi="Verdana"/>
          <w:sz w:val="20"/>
          <w:szCs w:val="20"/>
          <w:lang w:val="es-CR"/>
        </w:rPr>
        <w:t xml:space="preserve">No obstante lo anterior, esta Corte ha constatado que los representantes y la </w:t>
      </w:r>
      <w:r w:rsidRPr="00D9723C">
        <w:rPr>
          <w:rFonts w:ascii="Verdana" w:hAnsi="Verdana"/>
          <w:sz w:val="20"/>
          <w:szCs w:val="20"/>
          <w:lang w:val="es-CR"/>
        </w:rPr>
        <w:t xml:space="preserve"> </w:t>
      </w:r>
      <w:r>
        <w:rPr>
          <w:rFonts w:ascii="Verdana" w:hAnsi="Verdana"/>
          <w:sz w:val="20"/>
          <w:szCs w:val="20"/>
          <w:lang w:val="es-CR"/>
        </w:rPr>
        <w:t>Comisión, en sus escritos, se refieren indistintamente a la falta de notificación de la solicitud de aclaratoria y de la resolución del Presidente, indicando la normativa aplicable, sin señalar la fecha en que la presunta víctima se enteró extraoficialmente de dichas actuaciones y sin identificar y precisar la prueba que sustenta sus argumentaciones. En consecuencia, este Tribunal no cuenta con los elementos suficientes para examinar y establecer si el señor Mejía Idrovo</w:t>
      </w:r>
      <w:r w:rsidRPr="00D9723C">
        <w:rPr>
          <w:rFonts w:ascii="Verdana" w:hAnsi="Verdana"/>
          <w:sz w:val="20"/>
          <w:szCs w:val="20"/>
          <w:lang w:val="es-CR"/>
        </w:rPr>
        <w:t xml:space="preserve"> </w:t>
      </w:r>
      <w:r>
        <w:rPr>
          <w:rFonts w:ascii="Verdana" w:hAnsi="Verdana"/>
          <w:sz w:val="20"/>
          <w:szCs w:val="20"/>
          <w:lang w:val="es-CR"/>
        </w:rPr>
        <w:t xml:space="preserve">contó o no con </w:t>
      </w:r>
      <w:r w:rsidRPr="00D9723C">
        <w:rPr>
          <w:rFonts w:ascii="Verdana" w:hAnsi="Verdana"/>
          <w:sz w:val="20"/>
          <w:szCs w:val="20"/>
          <w:lang w:val="es-CR"/>
        </w:rPr>
        <w:t>la oportunidad procesal para ejercer su derecho de defensa</w:t>
      </w:r>
      <w:r>
        <w:rPr>
          <w:rFonts w:ascii="Verdana" w:hAnsi="Verdana"/>
          <w:sz w:val="20"/>
          <w:szCs w:val="20"/>
          <w:lang w:val="es-CR"/>
        </w:rPr>
        <w:t>.</w:t>
      </w:r>
    </w:p>
    <w:p w:rsidR="00F249DD" w:rsidRDefault="00F249DD" w:rsidP="00610D0B">
      <w:pPr>
        <w:jc w:val="center"/>
        <w:rPr>
          <w:rFonts w:ascii="Verdana" w:hAnsi="Verdana"/>
          <w:sz w:val="20"/>
          <w:szCs w:val="20"/>
          <w:lang w:val="es-CR"/>
        </w:rPr>
      </w:pPr>
    </w:p>
    <w:p w:rsidR="00F249DD" w:rsidRDefault="00F249DD" w:rsidP="00120F89">
      <w:pPr>
        <w:numPr>
          <w:ilvl w:val="0"/>
          <w:numId w:val="63"/>
        </w:numPr>
        <w:ind w:left="0" w:firstLine="0"/>
        <w:jc w:val="both"/>
        <w:rPr>
          <w:rFonts w:ascii="Verdana" w:hAnsi="Verdana"/>
          <w:sz w:val="20"/>
          <w:szCs w:val="20"/>
          <w:lang w:val="es-CR"/>
        </w:rPr>
      </w:pPr>
      <w:r>
        <w:rPr>
          <w:rFonts w:ascii="Verdana" w:hAnsi="Verdana" w:cs="Arial"/>
          <w:sz w:val="20"/>
          <w:szCs w:val="20"/>
          <w:lang w:val="es-CR"/>
        </w:rPr>
        <w:t>En razón de lo expuesto en el presente apartado,</w:t>
      </w:r>
      <w:r>
        <w:rPr>
          <w:rFonts w:ascii="Verdana" w:hAnsi="Verdana"/>
          <w:sz w:val="20"/>
          <w:szCs w:val="20"/>
          <w:lang w:val="es-CR"/>
        </w:rPr>
        <w:t xml:space="preserve"> la Corte concluye</w:t>
      </w:r>
      <w:r w:rsidRPr="007325F3">
        <w:rPr>
          <w:rFonts w:ascii="Verdana" w:hAnsi="Verdana"/>
          <w:sz w:val="20"/>
          <w:szCs w:val="20"/>
          <w:lang w:val="es-CR"/>
        </w:rPr>
        <w:t xml:space="preserve"> que </w:t>
      </w:r>
      <w:r>
        <w:rPr>
          <w:rFonts w:ascii="Verdana" w:hAnsi="Verdana"/>
          <w:sz w:val="20"/>
          <w:szCs w:val="20"/>
          <w:lang w:val="es-CR"/>
        </w:rPr>
        <w:t xml:space="preserve">en este caso, el Presidente del Tribunal Constitucional actúo fuera de su competencia al admitir una </w:t>
      </w:r>
      <w:r w:rsidRPr="007325F3">
        <w:rPr>
          <w:rFonts w:ascii="Verdana" w:hAnsi="Verdana"/>
          <w:sz w:val="20"/>
          <w:szCs w:val="20"/>
          <w:lang w:val="es-CR"/>
        </w:rPr>
        <w:t>solicitud de aclaración</w:t>
      </w:r>
      <w:r>
        <w:rPr>
          <w:rFonts w:ascii="Verdana" w:hAnsi="Verdana"/>
          <w:sz w:val="20"/>
          <w:szCs w:val="20"/>
          <w:lang w:val="es-CR"/>
        </w:rPr>
        <w:t xml:space="preserve"> extemporánea,</w:t>
      </w:r>
      <w:r w:rsidRPr="007325F3">
        <w:rPr>
          <w:rFonts w:ascii="Verdana" w:hAnsi="Verdana"/>
          <w:sz w:val="20"/>
          <w:szCs w:val="20"/>
          <w:lang w:val="es-CR"/>
        </w:rPr>
        <w:t xml:space="preserve"> </w:t>
      </w:r>
      <w:r>
        <w:rPr>
          <w:rFonts w:ascii="Verdana" w:hAnsi="Verdana"/>
          <w:sz w:val="20"/>
          <w:szCs w:val="20"/>
          <w:lang w:val="es-CR"/>
        </w:rPr>
        <w:t xml:space="preserve">y aclarar una </w:t>
      </w:r>
      <w:r w:rsidRPr="007325F3">
        <w:rPr>
          <w:rFonts w:ascii="Verdana" w:hAnsi="Verdana"/>
          <w:sz w:val="20"/>
          <w:szCs w:val="20"/>
          <w:lang w:val="es-CR"/>
        </w:rPr>
        <w:t xml:space="preserve">sentencia </w:t>
      </w:r>
      <w:r>
        <w:rPr>
          <w:rFonts w:ascii="Verdana" w:hAnsi="Verdana"/>
          <w:sz w:val="20"/>
          <w:szCs w:val="20"/>
          <w:lang w:val="es-CR"/>
        </w:rPr>
        <w:t xml:space="preserve">emitida por el Pleno del Tribunal </w:t>
      </w:r>
      <w:r w:rsidRPr="009C13C9">
        <w:rPr>
          <w:rFonts w:ascii="Verdana" w:hAnsi="Verdana"/>
          <w:sz w:val="20"/>
          <w:szCs w:val="20"/>
          <w:lang w:val="es-CR"/>
        </w:rPr>
        <w:t xml:space="preserve">Constitucional. </w:t>
      </w:r>
    </w:p>
    <w:p w:rsidR="00F249DD" w:rsidRDefault="00F249DD" w:rsidP="00120F89">
      <w:pPr>
        <w:jc w:val="both"/>
        <w:rPr>
          <w:rFonts w:ascii="Verdana" w:hAnsi="Verdana"/>
          <w:sz w:val="20"/>
          <w:szCs w:val="20"/>
          <w:lang w:val="es-CR"/>
        </w:rPr>
      </w:pPr>
    </w:p>
    <w:p w:rsidR="00F249DD" w:rsidRPr="00A402E2" w:rsidRDefault="00F249DD" w:rsidP="00630DE4">
      <w:pPr>
        <w:numPr>
          <w:ilvl w:val="0"/>
          <w:numId w:val="63"/>
        </w:numPr>
        <w:ind w:left="0" w:firstLine="0"/>
        <w:jc w:val="both"/>
        <w:rPr>
          <w:rFonts w:ascii="Verdana" w:hAnsi="Verdana"/>
          <w:sz w:val="20"/>
          <w:szCs w:val="20"/>
          <w:lang w:val="es-CR"/>
        </w:rPr>
      </w:pPr>
      <w:r w:rsidRPr="009C13C9">
        <w:rPr>
          <w:rFonts w:ascii="Verdana" w:hAnsi="Verdana"/>
          <w:sz w:val="20"/>
          <w:szCs w:val="20"/>
          <w:lang w:val="es-CR"/>
        </w:rPr>
        <w:t>No obstante lo anterior, esta Corte se remite a la</w:t>
      </w:r>
      <w:r w:rsidRPr="00A402E2">
        <w:rPr>
          <w:rFonts w:ascii="Verdana" w:hAnsi="Verdana"/>
          <w:b/>
          <w:sz w:val="20"/>
          <w:szCs w:val="20"/>
          <w:lang w:val="es-CR"/>
        </w:rPr>
        <w:t xml:space="preserve"> </w:t>
      </w:r>
      <w:r w:rsidRPr="00CD1462">
        <w:rPr>
          <w:rFonts w:ascii="Verdana" w:hAnsi="Verdana"/>
          <w:sz w:val="20"/>
          <w:szCs w:val="20"/>
          <w:lang w:val="es-CR"/>
        </w:rPr>
        <w:t>resolución emitida</w:t>
      </w:r>
      <w:r w:rsidRPr="009C13C9">
        <w:rPr>
          <w:rFonts w:ascii="Verdana" w:hAnsi="Verdana"/>
          <w:sz w:val="20"/>
          <w:szCs w:val="20"/>
          <w:lang w:val="es-CR"/>
        </w:rPr>
        <w:t xml:space="preserve"> el </w:t>
      </w:r>
      <w:r w:rsidRPr="009C13C9">
        <w:rPr>
          <w:rFonts w:ascii="Verdana" w:hAnsi="Verdana" w:cs="Arial"/>
          <w:sz w:val="20"/>
          <w:szCs w:val="20"/>
          <w:lang w:val="es-CR"/>
        </w:rPr>
        <w:t xml:space="preserve">20 de mayo de 2003 por </w:t>
      </w:r>
      <w:r w:rsidRPr="009C13C9">
        <w:rPr>
          <w:rFonts w:ascii="Verdana" w:hAnsi="Verdana"/>
          <w:sz w:val="20"/>
          <w:szCs w:val="20"/>
          <w:lang w:val="es-CR"/>
        </w:rPr>
        <w:t xml:space="preserve">el </w:t>
      </w:r>
      <w:r w:rsidRPr="009C13C9">
        <w:rPr>
          <w:rFonts w:ascii="Verdana" w:hAnsi="Verdana" w:cs="Arial"/>
          <w:sz w:val="20"/>
          <w:szCs w:val="20"/>
          <w:lang w:val="es-CR"/>
        </w:rPr>
        <w:t xml:space="preserve">Pleno del Tribunal Constitucional, que dejó sin efecto la decisión del Presidente del Tribunal Constitucional de 30 de mayo de 2002, al disponer que “las partes, en lo principal, estén a la resolución del Pleno del Tribunal Constitucional del 12 de marzo de 2002, y que ninguna </w:t>
      </w:r>
      <w:r w:rsidRPr="00CD1462">
        <w:rPr>
          <w:rFonts w:ascii="Verdana" w:hAnsi="Verdana" w:cs="Arial"/>
          <w:sz w:val="20"/>
          <w:szCs w:val="20"/>
          <w:lang w:val="es-CR"/>
        </w:rPr>
        <w:t>providencia posterior puede modificar la resolución mencionada”</w:t>
      </w:r>
      <w:r w:rsidRPr="0017783C">
        <w:rPr>
          <w:rStyle w:val="Refdenotaalpie"/>
          <w:rFonts w:ascii="Verdana" w:hAnsi="Verdana" w:cs="Arial"/>
          <w:sz w:val="20"/>
          <w:szCs w:val="20"/>
          <w:lang w:val="es-CR"/>
        </w:rPr>
        <w:footnoteReference w:id="75"/>
      </w:r>
      <w:r w:rsidRPr="00CD1462">
        <w:rPr>
          <w:rFonts w:ascii="Verdana" w:hAnsi="Verdana" w:cs="Arial"/>
          <w:sz w:val="20"/>
          <w:szCs w:val="20"/>
          <w:lang w:val="es-CR"/>
        </w:rPr>
        <w:t xml:space="preserve"> (</w:t>
      </w:r>
      <w:r w:rsidRPr="00CD1462">
        <w:rPr>
          <w:rFonts w:ascii="Verdana" w:hAnsi="Verdana" w:cs="Arial"/>
          <w:i/>
          <w:sz w:val="20"/>
          <w:szCs w:val="20"/>
          <w:lang w:val="es-CR"/>
        </w:rPr>
        <w:t xml:space="preserve">supra </w:t>
      </w:r>
      <w:r w:rsidRPr="00CD1462">
        <w:rPr>
          <w:rFonts w:ascii="Verdana" w:hAnsi="Verdana" w:cs="Arial"/>
          <w:sz w:val="20"/>
          <w:szCs w:val="20"/>
          <w:lang w:val="es-CR"/>
        </w:rPr>
        <w:t>párr. 54). Por ello, este</w:t>
      </w:r>
      <w:r>
        <w:rPr>
          <w:rFonts w:ascii="Verdana" w:hAnsi="Verdana" w:cs="Arial"/>
          <w:sz w:val="20"/>
          <w:szCs w:val="20"/>
          <w:lang w:val="es-CR"/>
        </w:rPr>
        <w:t xml:space="preserve"> Tribunal concluye que dichas irregularidades fueron subsanadas en la jurisdicción interna. En razón de ello, no procede declarar la violación del artículo 8.1 de la Convención en el presente caso. </w:t>
      </w:r>
    </w:p>
    <w:p w:rsidR="00F249DD" w:rsidRDefault="00F249DD" w:rsidP="00120F89">
      <w:pPr>
        <w:jc w:val="both"/>
        <w:rPr>
          <w:rFonts w:ascii="Verdana" w:hAnsi="Verdana"/>
          <w:sz w:val="20"/>
          <w:szCs w:val="20"/>
          <w:lang w:val="es-CR"/>
        </w:rPr>
      </w:pPr>
    </w:p>
    <w:p w:rsidR="00F249DD" w:rsidRPr="00A402E2" w:rsidRDefault="00F249DD" w:rsidP="00A402E2">
      <w:pPr>
        <w:jc w:val="center"/>
        <w:rPr>
          <w:rFonts w:ascii="Verdana" w:hAnsi="Verdana" w:cs="Arial"/>
          <w:sz w:val="20"/>
          <w:szCs w:val="20"/>
          <w:lang w:val="es-CR"/>
        </w:rPr>
      </w:pPr>
      <w:r>
        <w:rPr>
          <w:rFonts w:ascii="Verdana" w:hAnsi="Verdana"/>
          <w:sz w:val="20"/>
          <w:szCs w:val="20"/>
          <w:lang w:val="es-CR"/>
        </w:rPr>
        <w:t>*</w:t>
      </w:r>
    </w:p>
    <w:p w:rsidR="00F249DD" w:rsidRPr="001055B7" w:rsidRDefault="00F249DD" w:rsidP="003206CB">
      <w:pPr>
        <w:rPr>
          <w:rFonts w:ascii="Verdana" w:hAnsi="Verdana"/>
          <w:sz w:val="20"/>
          <w:szCs w:val="20"/>
          <w:lang w:val="es-CR"/>
        </w:rPr>
      </w:pPr>
    </w:p>
    <w:p w:rsidR="00F249DD" w:rsidRPr="001055B7" w:rsidRDefault="00F249DD" w:rsidP="00630DE4">
      <w:pPr>
        <w:numPr>
          <w:ilvl w:val="0"/>
          <w:numId w:val="63"/>
        </w:numPr>
        <w:ind w:left="0" w:firstLine="0"/>
        <w:jc w:val="both"/>
        <w:rPr>
          <w:rFonts w:ascii="Verdana" w:hAnsi="Verdana" w:cs="Arial"/>
          <w:sz w:val="20"/>
          <w:szCs w:val="20"/>
          <w:lang w:val="es-CR"/>
        </w:rPr>
      </w:pPr>
      <w:r w:rsidRPr="001055B7">
        <w:rPr>
          <w:rFonts w:ascii="Verdana" w:hAnsi="Verdana" w:cs="Arial"/>
          <w:sz w:val="20"/>
          <w:szCs w:val="20"/>
          <w:lang w:val="es-CR"/>
        </w:rPr>
        <w:t xml:space="preserve">En lo que se refiere a la alegada violación del plazo razonable, la Corte observa que las argumentaciones de la Comisión y los representantes se centran en la supuesta falta de cumplimiento de la sentencia dictada el 12 de marzo de 2002 por parte de las autoridades estatales competentes para hacerlo. Debido a que la falta de ejecución de la sentencia del Tribunal Constitucional tiene vinculación directa con la tutela judicial </w:t>
      </w:r>
      <w:r w:rsidRPr="00C65EE5">
        <w:rPr>
          <w:rFonts w:ascii="Verdana" w:hAnsi="Verdana" w:cs="Arial"/>
          <w:sz w:val="20"/>
          <w:szCs w:val="20"/>
          <w:lang w:val="es-CR"/>
        </w:rPr>
        <w:t>efectiva</w:t>
      </w:r>
      <w:r w:rsidRPr="001055B7">
        <w:rPr>
          <w:rFonts w:ascii="Verdana" w:hAnsi="Verdana" w:cs="Arial"/>
          <w:i/>
          <w:sz w:val="20"/>
          <w:szCs w:val="20"/>
          <w:lang w:val="es-CR"/>
        </w:rPr>
        <w:t xml:space="preserve"> </w:t>
      </w:r>
      <w:r w:rsidRPr="00A402E2">
        <w:rPr>
          <w:rFonts w:ascii="Verdana" w:hAnsi="Verdana" w:cs="Arial"/>
          <w:sz w:val="20"/>
          <w:szCs w:val="20"/>
          <w:lang w:val="es-CR"/>
        </w:rPr>
        <w:t>para</w:t>
      </w:r>
      <w:r w:rsidRPr="001055B7">
        <w:rPr>
          <w:rFonts w:ascii="Verdana" w:hAnsi="Verdana" w:cs="Arial"/>
          <w:sz w:val="20"/>
          <w:szCs w:val="20"/>
          <w:lang w:val="es-CR"/>
        </w:rPr>
        <w:t xml:space="preserve"> la ejecución de los fallos internos, este Tribunal realizará su análisis en el apartado relativo al artículo 25.2.c) de la Convención Americana.</w:t>
      </w:r>
    </w:p>
    <w:p w:rsidR="00F249DD" w:rsidRPr="001055B7" w:rsidRDefault="00F249DD" w:rsidP="00170DFF">
      <w:pPr>
        <w:rPr>
          <w:rFonts w:ascii="Verdana" w:hAnsi="Verdana" w:cs="Arial"/>
          <w:sz w:val="20"/>
          <w:szCs w:val="20"/>
          <w:lang w:val="es-CR"/>
        </w:rPr>
      </w:pPr>
    </w:p>
    <w:p w:rsidR="00F249DD" w:rsidRPr="001055B7" w:rsidRDefault="00F249DD" w:rsidP="00A42DFB">
      <w:pPr>
        <w:pStyle w:val="Ttulo2"/>
        <w:rPr>
          <w:rFonts w:cs="Arial"/>
          <w:webHidden/>
          <w:lang w:val="es-CR"/>
        </w:rPr>
      </w:pPr>
      <w:bookmarkStart w:id="212" w:name="_Toc294622251"/>
      <w:bookmarkStart w:id="213" w:name="_Toc294622620"/>
      <w:bookmarkStart w:id="214" w:name="_Toc294623395"/>
      <w:bookmarkStart w:id="215" w:name="_Toc294623650"/>
      <w:bookmarkStart w:id="216" w:name="_Toc294626201"/>
      <w:bookmarkStart w:id="217" w:name="_Toc294633777"/>
      <w:bookmarkStart w:id="218" w:name="_Toc294634487"/>
      <w:bookmarkStart w:id="219" w:name="_Toc294635315"/>
      <w:bookmarkStart w:id="220" w:name="_Toc294862708"/>
      <w:bookmarkStart w:id="221" w:name="_Toc294862771"/>
      <w:bookmarkStart w:id="222" w:name="_Toc295380322"/>
      <w:bookmarkStart w:id="223" w:name="_Toc295394474"/>
      <w:bookmarkStart w:id="224" w:name="_Toc295394628"/>
      <w:bookmarkStart w:id="225" w:name="_Toc295986080"/>
      <w:bookmarkStart w:id="226" w:name="_Toc295986297"/>
      <w:bookmarkStart w:id="227" w:name="_Toc295986417"/>
      <w:r w:rsidRPr="001055B7">
        <w:rPr>
          <w:rFonts w:cs="Arial"/>
          <w:webHidden/>
          <w:lang w:val="es-CR"/>
        </w:rPr>
        <w:t>Protección Judicial y tutela judicial efectiva en la ejecución de fallos (Artículo 25 de la Convención Americana)</w:t>
      </w:r>
      <w:bookmarkStart w:id="228" w:name="_Toc286223892"/>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bookmarkEnd w:id="228"/>
    <w:p w:rsidR="00F249DD" w:rsidRPr="001055B7" w:rsidRDefault="00F249DD" w:rsidP="00A42DFB">
      <w:pPr>
        <w:pStyle w:val="Ttulo2"/>
        <w:numPr>
          <w:ilvl w:val="0"/>
          <w:numId w:val="0"/>
        </w:numPr>
        <w:ind w:left="720"/>
        <w:rPr>
          <w:rFonts w:cs="Arial"/>
          <w:lang w:val="es-CR"/>
        </w:rPr>
      </w:pPr>
    </w:p>
    <w:p w:rsidR="00F249DD" w:rsidRPr="0087777F" w:rsidRDefault="00F249DD" w:rsidP="00B56879">
      <w:pPr>
        <w:ind w:left="720" w:right="738" w:hanging="720"/>
        <w:jc w:val="both"/>
        <w:rPr>
          <w:rFonts w:ascii="Verdana" w:hAnsi="Verdana"/>
          <w:sz w:val="20"/>
          <w:szCs w:val="20"/>
          <w:lang w:val="es-CR"/>
        </w:rPr>
      </w:pPr>
      <w:r w:rsidRPr="001055B7">
        <w:rPr>
          <w:rFonts w:ascii="Verdana" w:hAnsi="Verdana" w:cs="Arial"/>
          <w:bCs/>
          <w:i/>
          <w:iCs/>
          <w:sz w:val="20"/>
          <w:szCs w:val="20"/>
          <w:lang w:val="es-CR"/>
        </w:rPr>
        <w:t>Alegatos de</w:t>
      </w:r>
      <w:r w:rsidRPr="001055B7">
        <w:rPr>
          <w:rFonts w:ascii="Verdana" w:hAnsi="Verdana"/>
          <w:bCs/>
          <w:i/>
          <w:iCs/>
          <w:sz w:val="20"/>
          <w:szCs w:val="20"/>
          <w:lang w:val="es-CR"/>
        </w:rPr>
        <w:t xml:space="preserve"> </w:t>
      </w:r>
      <w:r w:rsidRPr="0087777F">
        <w:rPr>
          <w:rFonts w:ascii="Verdana" w:hAnsi="Verdana"/>
          <w:bCs/>
          <w:i/>
          <w:iCs/>
          <w:sz w:val="20"/>
          <w:szCs w:val="20"/>
          <w:lang w:val="es-CR"/>
        </w:rPr>
        <w:t>las partes</w:t>
      </w:r>
    </w:p>
    <w:p w:rsidR="00F249DD" w:rsidRPr="00B56879" w:rsidRDefault="00F249DD" w:rsidP="00B56879">
      <w:pPr>
        <w:rPr>
          <w:lang w:val="es-ES_tradnl"/>
        </w:rPr>
      </w:pPr>
    </w:p>
    <w:p w:rsidR="00F249DD" w:rsidRPr="004E472B" w:rsidRDefault="00F249DD" w:rsidP="003935C5">
      <w:pPr>
        <w:numPr>
          <w:ilvl w:val="0"/>
          <w:numId w:val="56"/>
        </w:numPr>
        <w:tabs>
          <w:tab w:val="clear" w:pos="1170"/>
        </w:tabs>
        <w:ind w:left="0"/>
        <w:jc w:val="both"/>
        <w:rPr>
          <w:rFonts w:ascii="Verdana" w:hAnsi="Verdana"/>
          <w:sz w:val="20"/>
          <w:szCs w:val="20"/>
          <w:lang w:val="es-ES"/>
        </w:rPr>
      </w:pPr>
      <w:r w:rsidRPr="004E472B">
        <w:rPr>
          <w:rFonts w:ascii="Verdana" w:hAnsi="Verdana"/>
          <w:sz w:val="20"/>
          <w:szCs w:val="20"/>
          <w:lang w:val="es-ES"/>
        </w:rPr>
        <w:t xml:space="preserve">La Comisión manifestó que el Estado no ha cumplido con </w:t>
      </w:r>
      <w:r>
        <w:rPr>
          <w:rFonts w:ascii="Verdana" w:hAnsi="Verdana"/>
          <w:sz w:val="20"/>
          <w:szCs w:val="20"/>
          <w:lang w:val="es-ES"/>
        </w:rPr>
        <w:t>“</w:t>
      </w:r>
      <w:r w:rsidRPr="004E472B">
        <w:rPr>
          <w:rFonts w:ascii="Verdana" w:hAnsi="Verdana"/>
          <w:sz w:val="20"/>
          <w:szCs w:val="20"/>
          <w:lang w:val="es-ES"/>
        </w:rPr>
        <w:t xml:space="preserve">el mandato judicial de reparar a la víctima por los daños y perjuicios incurridos en </w:t>
      </w:r>
      <w:r>
        <w:rPr>
          <w:rFonts w:ascii="Verdana" w:hAnsi="Verdana"/>
          <w:sz w:val="20"/>
          <w:szCs w:val="20"/>
          <w:lang w:val="es-ES"/>
        </w:rPr>
        <w:t>-</w:t>
      </w:r>
      <w:r w:rsidRPr="004E472B">
        <w:rPr>
          <w:rFonts w:ascii="Verdana" w:hAnsi="Verdana"/>
          <w:sz w:val="20"/>
          <w:szCs w:val="20"/>
          <w:lang w:val="es-ES"/>
        </w:rPr>
        <w:t>virtud de la aplicación de dos decretos ejecutivos que resultaron en la disponibilidad y baja de la víctima</w:t>
      </w:r>
      <w:r>
        <w:rPr>
          <w:rFonts w:ascii="Verdana" w:hAnsi="Verdana"/>
          <w:sz w:val="20"/>
          <w:szCs w:val="20"/>
          <w:lang w:val="es-ES"/>
        </w:rPr>
        <w:t xml:space="preserve">- </w:t>
      </w:r>
      <w:r w:rsidRPr="004E472B">
        <w:rPr>
          <w:rFonts w:ascii="Verdana" w:hAnsi="Verdana"/>
          <w:sz w:val="20"/>
          <w:szCs w:val="20"/>
          <w:lang w:val="es-ES"/>
        </w:rPr>
        <w:t>configurándose una demora injustificada (y en contra de sus propias normas) de más de ocho años en la implementación efectiva de la sentencia del Tribunal Constitucional</w:t>
      </w:r>
      <w:r>
        <w:rPr>
          <w:rFonts w:ascii="Verdana" w:hAnsi="Verdana"/>
          <w:sz w:val="20"/>
          <w:szCs w:val="20"/>
          <w:lang w:val="es-ES"/>
        </w:rPr>
        <w:t>”</w:t>
      </w:r>
      <w:r w:rsidRPr="004E472B">
        <w:rPr>
          <w:rFonts w:ascii="Verdana" w:hAnsi="Verdana"/>
          <w:sz w:val="20"/>
          <w:szCs w:val="20"/>
          <w:lang w:val="es-ES"/>
        </w:rPr>
        <w:t xml:space="preserve"> de 12 de marzo de 2002. Asimismo, consideró que “el incumplimiento de sentencias judiciales no solo afecta la seguridad jurídica sino también vulnera los principios esenciales del Estado de Derecho”, por lo que el Estado al garantizar los derechos consagrados en la Convención no solo debe respetarlos (obligación negativa), sino que además debe adoptar todas las medidas apropiadas para garantizarlos (obligación positiva)</w:t>
      </w:r>
      <w:r>
        <w:rPr>
          <w:rFonts w:ascii="Verdana" w:hAnsi="Verdana"/>
          <w:sz w:val="20"/>
          <w:szCs w:val="20"/>
          <w:lang w:val="es-ES"/>
        </w:rPr>
        <w:t>.</w:t>
      </w:r>
      <w:r w:rsidRPr="004E472B">
        <w:rPr>
          <w:rFonts w:ascii="Verdana" w:hAnsi="Verdana"/>
          <w:sz w:val="20"/>
          <w:szCs w:val="20"/>
          <w:lang w:val="es-ES"/>
        </w:rPr>
        <w:t xml:space="preserve"> En razón de lo anterior, el Estado violó el artículo 25 de la Convención Americana, en concordancia con el artículo 1.1 del mencionado instrumento internacional, en perjuicio del señor José Alfredo Mejía Idrovo.</w:t>
      </w:r>
    </w:p>
    <w:p w:rsidR="00F249DD" w:rsidRPr="004E472B" w:rsidRDefault="00F249DD" w:rsidP="003935C5">
      <w:pPr>
        <w:jc w:val="both"/>
        <w:rPr>
          <w:rFonts w:ascii="Verdana" w:hAnsi="Verdana"/>
          <w:sz w:val="20"/>
          <w:szCs w:val="20"/>
          <w:lang w:val="es-ES"/>
        </w:rPr>
      </w:pPr>
    </w:p>
    <w:p w:rsidR="00F249DD" w:rsidRPr="004E472B" w:rsidRDefault="00F249DD" w:rsidP="003935C5">
      <w:pPr>
        <w:numPr>
          <w:ilvl w:val="0"/>
          <w:numId w:val="56"/>
        </w:numPr>
        <w:tabs>
          <w:tab w:val="clear" w:pos="1170"/>
        </w:tabs>
        <w:ind w:left="0"/>
        <w:jc w:val="both"/>
        <w:rPr>
          <w:rFonts w:ascii="Verdana" w:hAnsi="Verdana"/>
          <w:sz w:val="20"/>
          <w:szCs w:val="20"/>
          <w:lang w:val="es-ES"/>
        </w:rPr>
      </w:pPr>
      <w:r w:rsidRPr="004E472B">
        <w:rPr>
          <w:rFonts w:ascii="Verdana" w:hAnsi="Verdana"/>
          <w:sz w:val="20"/>
          <w:szCs w:val="20"/>
          <w:lang w:val="es-ES"/>
        </w:rPr>
        <w:t xml:space="preserve">Los representantes alegaron que “la declaratoria de inconstitucionalidad de los </w:t>
      </w:r>
      <w:r>
        <w:rPr>
          <w:rFonts w:ascii="Verdana" w:hAnsi="Verdana"/>
          <w:sz w:val="20"/>
          <w:szCs w:val="20"/>
          <w:lang w:val="es-ES"/>
        </w:rPr>
        <w:t>d</w:t>
      </w:r>
      <w:r w:rsidRPr="004E472B">
        <w:rPr>
          <w:rFonts w:ascii="Verdana" w:hAnsi="Verdana"/>
          <w:sz w:val="20"/>
          <w:szCs w:val="20"/>
          <w:lang w:val="es-ES"/>
        </w:rPr>
        <w:t xml:space="preserve">ecretos </w:t>
      </w:r>
      <w:r>
        <w:rPr>
          <w:rFonts w:ascii="Verdana" w:hAnsi="Verdana"/>
          <w:sz w:val="20"/>
          <w:szCs w:val="20"/>
          <w:lang w:val="es-ES"/>
        </w:rPr>
        <w:t>e</w:t>
      </w:r>
      <w:r w:rsidRPr="004E472B">
        <w:rPr>
          <w:rFonts w:ascii="Verdana" w:hAnsi="Verdana"/>
          <w:sz w:val="20"/>
          <w:szCs w:val="20"/>
          <w:lang w:val="es-ES"/>
        </w:rPr>
        <w:t>jecutivos de disponibilidad y baja tiene como efecto inmediato su revocatoria conforme lo establece el artículo 276 numeral 2 de la Constitución [vigente a esa fecha], siendo su consecuencia directa el retorno del oficial a la institución, el ascenso y pago de los valores dejados de percibir. Sin embargo, la resolución del Tribunal Constitucional no fue cumplida por el Estado argumentando que dicha decisión era irretroactiva</w:t>
      </w:r>
      <w:r w:rsidRPr="00A4122B">
        <w:rPr>
          <w:rFonts w:ascii="Verdana" w:hAnsi="Verdana"/>
          <w:sz w:val="20"/>
          <w:szCs w:val="20"/>
          <w:vertAlign w:val="superscript"/>
          <w:lang w:val="es-ES"/>
        </w:rPr>
        <w:footnoteReference w:id="76"/>
      </w:r>
      <w:r w:rsidRPr="00A4122B">
        <w:rPr>
          <w:rFonts w:ascii="Verdana" w:hAnsi="Verdana"/>
          <w:sz w:val="20"/>
          <w:szCs w:val="20"/>
          <w:lang w:val="es-ES"/>
        </w:rPr>
        <w:t>,</w:t>
      </w:r>
      <w:r w:rsidRPr="004E472B">
        <w:rPr>
          <w:rFonts w:ascii="Verdana" w:hAnsi="Verdana"/>
          <w:sz w:val="20"/>
          <w:szCs w:val="20"/>
          <w:lang w:val="es-ES"/>
        </w:rPr>
        <w:t xml:space="preserve"> sin que el órgano de control constitucional haya realizado acciones tendientes a la ejecución de su fallo”. Posteriormente, con la acción de incumplimiento la Corte Constitucional, mediante sentencia del 8 de octubre de 2009, señaló los pasos a seguir para cumplir con la sentencia emitida en el 2002 por el ex-Tribunal Constitucional</w:t>
      </w:r>
      <w:r>
        <w:rPr>
          <w:rFonts w:ascii="Verdana" w:hAnsi="Verdana"/>
          <w:sz w:val="20"/>
          <w:szCs w:val="20"/>
          <w:lang w:val="es-ES"/>
        </w:rPr>
        <w:t>.</w:t>
      </w:r>
      <w:r w:rsidRPr="004E472B">
        <w:rPr>
          <w:rFonts w:ascii="Verdana" w:hAnsi="Verdana"/>
          <w:sz w:val="20"/>
          <w:szCs w:val="20"/>
          <w:lang w:val="es-ES"/>
        </w:rPr>
        <w:t xml:space="preserve"> </w:t>
      </w:r>
      <w:r w:rsidRPr="00D93A8F">
        <w:rPr>
          <w:rFonts w:ascii="Verdana" w:hAnsi="Verdana"/>
          <w:sz w:val="20"/>
          <w:szCs w:val="20"/>
          <w:highlight w:val="yellow"/>
          <w:lang w:val="es-ES"/>
        </w:rPr>
        <w:t>El 18 de octubre de 2010 “se cumplió parcialmente con la sentencia de incumplimiento, pues fue reincorporado [el señor Mejía Idrovo] al servicio activo”, sin que se haya dado cumplimiento de sus derechos patrimoniales, impulsar las acciones administrativas y judiciales para el derecho de repetición a favor del Estado</w:t>
      </w:r>
      <w:r w:rsidRPr="004E472B">
        <w:rPr>
          <w:rFonts w:ascii="Verdana" w:hAnsi="Verdana"/>
          <w:sz w:val="20"/>
          <w:szCs w:val="20"/>
          <w:lang w:val="es-ES"/>
        </w:rPr>
        <w:t xml:space="preserve"> “ni se haya procedido con lo dispuesto en la decisión de aclaración […] en torno al ascenso inme</w:t>
      </w:r>
      <w:r>
        <w:rPr>
          <w:rFonts w:ascii="Verdana" w:hAnsi="Verdana"/>
          <w:sz w:val="20"/>
          <w:szCs w:val="20"/>
          <w:lang w:val="es-ES"/>
        </w:rPr>
        <w:t>diato al grado superior”</w:t>
      </w:r>
      <w:r w:rsidRPr="004E472B">
        <w:rPr>
          <w:rFonts w:ascii="Verdana" w:hAnsi="Verdana"/>
          <w:sz w:val="20"/>
          <w:szCs w:val="20"/>
          <w:lang w:val="es-ES"/>
        </w:rPr>
        <w:t xml:space="preserve">. </w:t>
      </w:r>
    </w:p>
    <w:p w:rsidR="00F249DD" w:rsidRPr="004E472B" w:rsidRDefault="00F249DD" w:rsidP="003935C5">
      <w:pPr>
        <w:jc w:val="both"/>
        <w:rPr>
          <w:rFonts w:ascii="Verdana" w:hAnsi="Verdana"/>
          <w:sz w:val="20"/>
          <w:szCs w:val="20"/>
          <w:lang w:val="es-ES"/>
        </w:rPr>
      </w:pPr>
    </w:p>
    <w:p w:rsidR="00F249DD" w:rsidRPr="004E472B" w:rsidRDefault="00F249DD" w:rsidP="003935C5">
      <w:pPr>
        <w:numPr>
          <w:ilvl w:val="0"/>
          <w:numId w:val="56"/>
        </w:numPr>
        <w:tabs>
          <w:tab w:val="clear" w:pos="1170"/>
        </w:tabs>
        <w:ind w:left="0"/>
        <w:jc w:val="both"/>
        <w:rPr>
          <w:rFonts w:ascii="Verdana" w:hAnsi="Verdana"/>
          <w:sz w:val="20"/>
          <w:szCs w:val="20"/>
          <w:lang w:val="es-ES"/>
        </w:rPr>
      </w:pPr>
      <w:r w:rsidRPr="004E472B">
        <w:rPr>
          <w:rFonts w:ascii="Verdana" w:hAnsi="Verdana"/>
          <w:sz w:val="20"/>
          <w:szCs w:val="20"/>
          <w:lang w:val="es-ES"/>
        </w:rPr>
        <w:t>Por su parte, el Estado argumentó que ha otorgado al señor Mejía Idrovo recursos efectivos para solucionar su situación jurídica, por lo que no ha violado el artículo 25 de la Convención Americana. En particular, señaló que por una parte la declaratoria de inconstitucionalidad de los decretos ejecutivos no implica un regreso a la situación anterior a la expedición de la disposición contraria a la norma constitucional.</w:t>
      </w:r>
      <w:r>
        <w:rPr>
          <w:rFonts w:ascii="Verdana" w:hAnsi="Verdana"/>
          <w:sz w:val="20"/>
          <w:szCs w:val="20"/>
          <w:lang w:val="es-ES"/>
        </w:rPr>
        <w:t xml:space="preserve"> </w:t>
      </w:r>
      <w:r w:rsidRPr="004E472B">
        <w:rPr>
          <w:rFonts w:ascii="Verdana" w:hAnsi="Verdana"/>
          <w:sz w:val="20"/>
          <w:szCs w:val="20"/>
          <w:lang w:val="es-ES"/>
        </w:rPr>
        <w:t xml:space="preserve">La presunta víctima debía haber </w:t>
      </w:r>
      <w:r w:rsidRPr="004E472B">
        <w:rPr>
          <w:rFonts w:ascii="Verdana" w:hAnsi="Verdana"/>
          <w:sz w:val="20"/>
          <w:szCs w:val="20"/>
          <w:lang w:val="es-ES"/>
        </w:rPr>
        <w:lastRenderedPageBreak/>
        <w:t>utilizado el numeral 2 del art</w:t>
      </w:r>
      <w:r>
        <w:rPr>
          <w:rFonts w:ascii="Verdana" w:hAnsi="Verdana"/>
          <w:sz w:val="20"/>
          <w:szCs w:val="20"/>
          <w:lang w:val="es-ES"/>
        </w:rPr>
        <w:t>ículo</w:t>
      </w:r>
      <w:r w:rsidRPr="004E472B">
        <w:rPr>
          <w:rFonts w:ascii="Verdana" w:hAnsi="Verdana"/>
          <w:sz w:val="20"/>
          <w:szCs w:val="20"/>
          <w:lang w:val="es-ES"/>
        </w:rPr>
        <w:t xml:space="preserve"> 276 y, en ese caso, los argumentos del señor Mejía Idrovo tendrían sustento legal. </w:t>
      </w:r>
      <w:r w:rsidRPr="00A402E2">
        <w:rPr>
          <w:rFonts w:ascii="Verdana" w:hAnsi="Verdana"/>
          <w:sz w:val="20"/>
          <w:szCs w:val="20"/>
          <w:lang w:val="es-ES"/>
        </w:rPr>
        <w:t xml:space="preserve">No obstante, la causal del numeral 2, señalada por </w:t>
      </w:r>
      <w:r>
        <w:rPr>
          <w:rFonts w:ascii="Verdana" w:hAnsi="Verdana"/>
          <w:sz w:val="20"/>
          <w:szCs w:val="20"/>
          <w:lang w:val="es-ES"/>
        </w:rPr>
        <w:t xml:space="preserve">el señor </w:t>
      </w:r>
      <w:r w:rsidRPr="00A402E2">
        <w:rPr>
          <w:rFonts w:ascii="Verdana" w:hAnsi="Verdana"/>
          <w:sz w:val="20"/>
          <w:szCs w:val="20"/>
          <w:lang w:val="es-ES"/>
        </w:rPr>
        <w:t>Mejía Idrovo en su demanda de inconstitucionalidad, buscaba la declaratoria de inconstitucionalidad de dos decretos, es decir</w:t>
      </w:r>
      <w:r w:rsidRPr="00594E5A">
        <w:rPr>
          <w:rFonts w:ascii="Verdana" w:hAnsi="Verdana"/>
          <w:sz w:val="20"/>
          <w:szCs w:val="20"/>
          <w:lang w:val="es-ES"/>
        </w:rPr>
        <w:t xml:space="preserve"> de una norma jurídica; por ello, </w:t>
      </w:r>
      <w:r>
        <w:rPr>
          <w:rFonts w:ascii="Verdana" w:hAnsi="Verdana"/>
          <w:sz w:val="20"/>
          <w:szCs w:val="20"/>
          <w:lang w:val="es-ES"/>
        </w:rPr>
        <w:t>“</w:t>
      </w:r>
      <w:r w:rsidRPr="00594E5A">
        <w:rPr>
          <w:rFonts w:ascii="Verdana" w:hAnsi="Verdana"/>
          <w:sz w:val="20"/>
          <w:szCs w:val="20"/>
          <w:lang w:val="es-ES"/>
        </w:rPr>
        <w:t>en aplicación del artículo 278, la resolución del Tribunal Constitucional no tiene efecto retroactivo</w:t>
      </w:r>
      <w:r>
        <w:rPr>
          <w:rFonts w:ascii="Verdana" w:hAnsi="Verdana"/>
          <w:sz w:val="20"/>
          <w:szCs w:val="20"/>
          <w:lang w:val="es-ES"/>
        </w:rPr>
        <w:t>”</w:t>
      </w:r>
      <w:r w:rsidRPr="00594E5A">
        <w:rPr>
          <w:rFonts w:ascii="Verdana" w:hAnsi="Verdana"/>
          <w:sz w:val="20"/>
          <w:szCs w:val="20"/>
          <w:lang w:val="es-ES"/>
        </w:rPr>
        <w:t xml:space="preserve">. </w:t>
      </w:r>
      <w:r>
        <w:rPr>
          <w:rFonts w:ascii="Verdana" w:hAnsi="Verdana"/>
          <w:sz w:val="20"/>
          <w:szCs w:val="20"/>
          <w:lang w:val="es-ES"/>
        </w:rPr>
        <w:t>Sin embargo</w:t>
      </w:r>
      <w:r w:rsidRPr="004E472B">
        <w:rPr>
          <w:rFonts w:ascii="Verdana" w:hAnsi="Verdana"/>
          <w:sz w:val="20"/>
          <w:szCs w:val="20"/>
          <w:lang w:val="es-ES"/>
        </w:rPr>
        <w:t>, la controversia central con la presunta víctima es que ésta considera que el efecto de dicho fallo incluía su ascenso al grado inmediato superior. Esto es una imposibilidad jurídica, de conformidad con la Constitución que estaba vigente, según señaló el Estado.</w:t>
      </w:r>
    </w:p>
    <w:p w:rsidR="00F249DD" w:rsidRPr="004E472B" w:rsidRDefault="00F249DD" w:rsidP="003935C5">
      <w:pPr>
        <w:jc w:val="both"/>
        <w:rPr>
          <w:rFonts w:ascii="Verdana" w:hAnsi="Verdana"/>
          <w:sz w:val="20"/>
          <w:szCs w:val="20"/>
          <w:lang w:val="es-ES"/>
        </w:rPr>
      </w:pPr>
    </w:p>
    <w:p w:rsidR="00F249DD" w:rsidRPr="004E472B" w:rsidRDefault="00F249DD" w:rsidP="003935C5">
      <w:pPr>
        <w:numPr>
          <w:ilvl w:val="0"/>
          <w:numId w:val="56"/>
        </w:numPr>
        <w:tabs>
          <w:tab w:val="clear" w:pos="1170"/>
        </w:tabs>
        <w:ind w:left="0"/>
        <w:jc w:val="both"/>
        <w:rPr>
          <w:rFonts w:ascii="Verdana" w:hAnsi="Verdana"/>
          <w:sz w:val="20"/>
          <w:szCs w:val="20"/>
          <w:lang w:val="es-ES"/>
        </w:rPr>
      </w:pPr>
      <w:r w:rsidRPr="004E472B">
        <w:rPr>
          <w:rFonts w:ascii="Verdana" w:hAnsi="Verdana"/>
          <w:sz w:val="20"/>
          <w:szCs w:val="20"/>
          <w:lang w:val="es-ES"/>
        </w:rPr>
        <w:t xml:space="preserve">Asimismo, </w:t>
      </w:r>
      <w:r>
        <w:rPr>
          <w:rFonts w:ascii="Verdana" w:hAnsi="Verdana"/>
          <w:sz w:val="20"/>
          <w:szCs w:val="20"/>
          <w:lang w:val="es-ES"/>
        </w:rPr>
        <w:t xml:space="preserve">Ecuador </w:t>
      </w:r>
      <w:r w:rsidRPr="004E472B">
        <w:rPr>
          <w:rFonts w:ascii="Verdana" w:hAnsi="Verdana"/>
          <w:sz w:val="20"/>
          <w:szCs w:val="20"/>
          <w:lang w:val="es-ES"/>
        </w:rPr>
        <w:t xml:space="preserve">indicó que el nuevo marco constitucional otorga la acción por incumplimiento, la cual fue utilizada por la presunta víctima </w:t>
      </w:r>
      <w:r>
        <w:rPr>
          <w:rFonts w:ascii="Verdana" w:hAnsi="Verdana"/>
          <w:sz w:val="20"/>
          <w:szCs w:val="20"/>
          <w:lang w:val="es-ES"/>
        </w:rPr>
        <w:t>y obtuvo un resultado favorable</w:t>
      </w:r>
      <w:r w:rsidRPr="004E472B">
        <w:rPr>
          <w:rFonts w:ascii="Verdana" w:hAnsi="Verdana"/>
          <w:sz w:val="20"/>
          <w:szCs w:val="20"/>
          <w:lang w:val="es-ES"/>
        </w:rPr>
        <w:t xml:space="preserve">. Actualmente, el tribunal máximo de justicia constitucional se encuentra tomando las medidas legales del caso para hacer cumplir su mandato, conforme se desprende de la providencia dictada por dicho tribunal el 11 de mayo de 2010, mediante la cual la Corte Constitucional “dispone al señor Ministro de Finanzas que, dentro del término de cinco días, asigne y acredite la partida presupuestaria correspondiente con el propósito de legalizar el proyecto de decreto ejecutivo que reincorpore al Crnl. EMS José Alfredo Mejía Idrovo al servicio activo de las Fuerzas Armadas, así como, que se haga efectiva la liquidación y pago de los haberes que le correspondan al mencionado Coronel, de conformidad con </w:t>
      </w:r>
      <w:r>
        <w:rPr>
          <w:rFonts w:ascii="Verdana" w:hAnsi="Verdana"/>
          <w:sz w:val="20"/>
          <w:szCs w:val="20"/>
          <w:lang w:val="es-ES"/>
        </w:rPr>
        <w:t xml:space="preserve">lo </w:t>
      </w:r>
      <w:r w:rsidRPr="004E472B">
        <w:rPr>
          <w:rFonts w:ascii="Verdana" w:hAnsi="Verdana"/>
          <w:sz w:val="20"/>
          <w:szCs w:val="20"/>
          <w:lang w:val="es-ES"/>
        </w:rPr>
        <w:t>determinado en la sentencia en esta causa, debiendo informar al respecto, a esta Corte, dentro del término concedido”</w:t>
      </w:r>
      <w:r>
        <w:rPr>
          <w:rFonts w:ascii="Verdana" w:hAnsi="Verdana"/>
          <w:sz w:val="20"/>
          <w:szCs w:val="20"/>
          <w:lang w:val="es-ES"/>
        </w:rPr>
        <w:t>.</w:t>
      </w:r>
      <w:r w:rsidRPr="004E472B">
        <w:rPr>
          <w:rFonts w:ascii="Verdana" w:hAnsi="Verdana"/>
          <w:sz w:val="20"/>
          <w:szCs w:val="20"/>
          <w:lang w:val="es-ES"/>
        </w:rPr>
        <w:t xml:space="preserve"> Asimismo, con el afán de cumplir las recomendaciones de la Comisión, el Estado, a través del Ministerio de Justicia y Derechos Humanos, </w:t>
      </w:r>
      <w:r>
        <w:rPr>
          <w:rFonts w:ascii="Verdana" w:hAnsi="Verdana"/>
          <w:sz w:val="20"/>
          <w:szCs w:val="20"/>
          <w:lang w:val="es-ES"/>
        </w:rPr>
        <w:t xml:space="preserve">había realizado </w:t>
      </w:r>
      <w:r w:rsidRPr="004E472B">
        <w:rPr>
          <w:rFonts w:ascii="Verdana" w:hAnsi="Verdana"/>
          <w:sz w:val="20"/>
          <w:szCs w:val="20"/>
          <w:lang w:val="es-ES"/>
        </w:rPr>
        <w:t>acciones tendientes al cumplimiento de las resoluciones de los tribunales nacionales para la reparación de la presunta víctima.</w:t>
      </w:r>
    </w:p>
    <w:p w:rsidR="00F249DD" w:rsidRDefault="00F249DD" w:rsidP="003935C5">
      <w:pPr>
        <w:jc w:val="both"/>
        <w:rPr>
          <w:rFonts w:ascii="Verdana" w:hAnsi="Verdana"/>
          <w:sz w:val="20"/>
          <w:szCs w:val="20"/>
          <w:lang w:val="es-ES"/>
        </w:rPr>
      </w:pPr>
    </w:p>
    <w:p w:rsidR="00F249DD" w:rsidRDefault="00F249DD" w:rsidP="003935C5">
      <w:pPr>
        <w:jc w:val="both"/>
        <w:rPr>
          <w:rFonts w:ascii="Verdana" w:hAnsi="Verdana" w:cs="Verdana"/>
          <w:i/>
          <w:sz w:val="20"/>
          <w:szCs w:val="20"/>
          <w:lang w:val="es-ES"/>
        </w:rPr>
      </w:pPr>
      <w:r w:rsidRPr="000C7602">
        <w:rPr>
          <w:rFonts w:ascii="Verdana" w:hAnsi="Verdana" w:cs="Verdana"/>
          <w:i/>
          <w:sz w:val="20"/>
          <w:szCs w:val="20"/>
          <w:lang w:val="es-ES"/>
        </w:rPr>
        <w:t>Consideraciones de la Corte</w:t>
      </w:r>
    </w:p>
    <w:p w:rsidR="00F249DD" w:rsidRPr="004E472B" w:rsidRDefault="00F249DD" w:rsidP="003935C5">
      <w:pPr>
        <w:jc w:val="both"/>
        <w:rPr>
          <w:rFonts w:ascii="Verdana" w:hAnsi="Verdana"/>
          <w:sz w:val="20"/>
          <w:szCs w:val="20"/>
          <w:lang w:val="es-ES"/>
        </w:rPr>
      </w:pPr>
    </w:p>
    <w:p w:rsidR="00F249DD" w:rsidRPr="004E472B" w:rsidRDefault="00F249DD" w:rsidP="003935C5">
      <w:pPr>
        <w:numPr>
          <w:ilvl w:val="0"/>
          <w:numId w:val="56"/>
        </w:numPr>
        <w:tabs>
          <w:tab w:val="clear" w:pos="1170"/>
        </w:tabs>
        <w:ind w:left="0"/>
        <w:jc w:val="both"/>
        <w:rPr>
          <w:rFonts w:ascii="Verdana" w:hAnsi="Verdana"/>
          <w:sz w:val="20"/>
          <w:szCs w:val="20"/>
          <w:lang w:val="es-ES"/>
        </w:rPr>
      </w:pPr>
      <w:r w:rsidRPr="004E472B">
        <w:rPr>
          <w:rFonts w:ascii="Verdana" w:hAnsi="Verdana"/>
          <w:sz w:val="20"/>
          <w:szCs w:val="20"/>
          <w:lang w:val="es-ES"/>
        </w:rPr>
        <w:t>En vista de los hechos respecto de los cuales se alegan violaciones del artículo 25 de la Convención</w:t>
      </w:r>
      <w:r>
        <w:rPr>
          <w:rFonts w:ascii="Verdana" w:hAnsi="Verdana"/>
          <w:sz w:val="20"/>
          <w:szCs w:val="20"/>
          <w:lang w:val="es-ES"/>
        </w:rPr>
        <w:t xml:space="preserve"> (</w:t>
      </w:r>
      <w:r w:rsidRPr="00093667">
        <w:rPr>
          <w:rFonts w:ascii="Verdana" w:hAnsi="Verdana"/>
          <w:i/>
          <w:sz w:val="20"/>
          <w:szCs w:val="20"/>
          <w:lang w:val="es-ES"/>
        </w:rPr>
        <w:t xml:space="preserve">supra </w:t>
      </w:r>
      <w:r>
        <w:rPr>
          <w:rFonts w:ascii="Verdana" w:hAnsi="Verdana"/>
          <w:sz w:val="20"/>
          <w:szCs w:val="20"/>
          <w:lang w:val="es-ES"/>
        </w:rPr>
        <w:t xml:space="preserve">párrs. </w:t>
      </w:r>
      <w:r w:rsidRPr="002810D0">
        <w:rPr>
          <w:rFonts w:ascii="Verdana" w:hAnsi="Verdana"/>
          <w:sz w:val="20"/>
          <w:szCs w:val="20"/>
          <w:lang w:val="es-ES"/>
        </w:rPr>
        <w:t>de 48 a 58),</w:t>
      </w:r>
      <w:r w:rsidRPr="004E472B">
        <w:rPr>
          <w:rFonts w:ascii="Verdana" w:hAnsi="Verdana"/>
          <w:sz w:val="20"/>
          <w:szCs w:val="20"/>
          <w:lang w:val="es-ES"/>
        </w:rPr>
        <w:t xml:space="preserve"> la Corte observa los siguientes puntos de controversia: </w:t>
      </w:r>
      <w:r>
        <w:rPr>
          <w:rFonts w:ascii="Verdana" w:hAnsi="Verdana"/>
          <w:sz w:val="20"/>
          <w:szCs w:val="20"/>
          <w:lang w:val="es-ES"/>
        </w:rPr>
        <w:t>a</w:t>
      </w:r>
      <w:r w:rsidRPr="004E472B">
        <w:rPr>
          <w:rFonts w:ascii="Verdana" w:hAnsi="Verdana"/>
          <w:sz w:val="20"/>
          <w:szCs w:val="20"/>
          <w:lang w:val="es-ES"/>
        </w:rPr>
        <w:t xml:space="preserve">) la idoneidad y efectividad del recurso de inconstitucionalidad; </w:t>
      </w:r>
      <w:r>
        <w:rPr>
          <w:rFonts w:ascii="Verdana" w:hAnsi="Verdana"/>
          <w:sz w:val="20"/>
          <w:szCs w:val="20"/>
          <w:lang w:val="es-ES"/>
        </w:rPr>
        <w:t xml:space="preserve">b) </w:t>
      </w:r>
      <w:r w:rsidRPr="004E472B">
        <w:rPr>
          <w:rFonts w:ascii="Verdana" w:hAnsi="Verdana"/>
          <w:sz w:val="20"/>
          <w:szCs w:val="20"/>
          <w:lang w:val="es-ES"/>
        </w:rPr>
        <w:t xml:space="preserve">el alcance del deber de reparación de dicho recurso; </w:t>
      </w:r>
      <w:r>
        <w:rPr>
          <w:rFonts w:ascii="Verdana" w:hAnsi="Verdana"/>
          <w:sz w:val="20"/>
          <w:szCs w:val="20"/>
          <w:lang w:val="es-ES"/>
        </w:rPr>
        <w:t>c</w:t>
      </w:r>
      <w:r w:rsidRPr="004E472B">
        <w:rPr>
          <w:rFonts w:ascii="Verdana" w:hAnsi="Verdana"/>
          <w:sz w:val="20"/>
          <w:szCs w:val="20"/>
          <w:lang w:val="es-ES"/>
        </w:rPr>
        <w:t xml:space="preserve">) el cumplimiento de la sentencia del Tribunal Constitucional, y </w:t>
      </w:r>
      <w:r>
        <w:rPr>
          <w:rFonts w:ascii="Verdana" w:hAnsi="Verdana"/>
          <w:sz w:val="20"/>
          <w:szCs w:val="20"/>
          <w:lang w:val="es-ES"/>
        </w:rPr>
        <w:t>d</w:t>
      </w:r>
      <w:r w:rsidRPr="004E472B">
        <w:rPr>
          <w:rFonts w:ascii="Verdana" w:hAnsi="Verdana"/>
          <w:sz w:val="20"/>
          <w:szCs w:val="20"/>
          <w:lang w:val="es-ES"/>
        </w:rPr>
        <w:t xml:space="preserve">) la ejecución de la Sentencia de incumplimiento </w:t>
      </w:r>
      <w:r>
        <w:rPr>
          <w:rFonts w:ascii="Verdana" w:hAnsi="Verdana"/>
          <w:sz w:val="20"/>
          <w:szCs w:val="20"/>
          <w:lang w:val="es-ES"/>
        </w:rPr>
        <w:t>dictada por la</w:t>
      </w:r>
      <w:r w:rsidRPr="004E472B">
        <w:rPr>
          <w:rFonts w:ascii="Verdana" w:hAnsi="Verdana"/>
          <w:sz w:val="20"/>
          <w:szCs w:val="20"/>
          <w:lang w:val="es-ES"/>
        </w:rPr>
        <w:t xml:space="preserve"> Corte Constitucional.  </w:t>
      </w:r>
    </w:p>
    <w:p w:rsidR="00F249DD" w:rsidRPr="004E472B" w:rsidRDefault="00F249DD" w:rsidP="003935C5">
      <w:pPr>
        <w:jc w:val="both"/>
        <w:rPr>
          <w:rFonts w:ascii="Verdana" w:hAnsi="Verdana"/>
          <w:sz w:val="20"/>
          <w:szCs w:val="20"/>
          <w:lang w:val="es-ES"/>
        </w:rPr>
      </w:pPr>
    </w:p>
    <w:p w:rsidR="00F249DD" w:rsidRPr="005E60E5" w:rsidRDefault="00F249DD" w:rsidP="003935C5">
      <w:pPr>
        <w:numPr>
          <w:ilvl w:val="0"/>
          <w:numId w:val="56"/>
        </w:numPr>
        <w:tabs>
          <w:tab w:val="clear" w:pos="1170"/>
        </w:tabs>
        <w:ind w:left="0"/>
        <w:jc w:val="both"/>
        <w:rPr>
          <w:rFonts w:ascii="Verdana" w:hAnsi="Verdana"/>
          <w:sz w:val="20"/>
          <w:szCs w:val="20"/>
          <w:lang w:val="es-ES"/>
        </w:rPr>
      </w:pPr>
      <w:r w:rsidRPr="004E472B">
        <w:rPr>
          <w:rFonts w:ascii="Verdana" w:hAnsi="Verdana"/>
          <w:sz w:val="20"/>
          <w:szCs w:val="20"/>
          <w:lang w:val="es-ES"/>
        </w:rPr>
        <w:t>En razón de lo anterior, la Corte analizará en los siguiente</w:t>
      </w:r>
      <w:r>
        <w:rPr>
          <w:rFonts w:ascii="Verdana" w:hAnsi="Verdana"/>
          <w:sz w:val="20"/>
          <w:szCs w:val="20"/>
          <w:lang w:val="es-ES"/>
        </w:rPr>
        <w:t>s</w:t>
      </w:r>
      <w:r w:rsidRPr="004E472B">
        <w:rPr>
          <w:rFonts w:ascii="Verdana" w:hAnsi="Verdana"/>
          <w:sz w:val="20"/>
          <w:szCs w:val="20"/>
          <w:lang w:val="es-ES"/>
        </w:rPr>
        <w:t xml:space="preserve"> apartados si: a) el recurso </w:t>
      </w:r>
      <w:r>
        <w:rPr>
          <w:rFonts w:ascii="Verdana" w:hAnsi="Verdana"/>
          <w:sz w:val="20"/>
          <w:szCs w:val="20"/>
          <w:lang w:val="es-ES"/>
        </w:rPr>
        <w:t xml:space="preserve">de inconstitucionalidad </w:t>
      </w:r>
      <w:r w:rsidRPr="004E472B">
        <w:rPr>
          <w:rFonts w:ascii="Verdana" w:hAnsi="Verdana"/>
          <w:sz w:val="20"/>
          <w:szCs w:val="20"/>
          <w:lang w:val="es-ES"/>
        </w:rPr>
        <w:t>brindó la protección judicial de conformidad con lo dispuesto en el artículo 25.1 de la Convención Americana, y b) si se brindó la tutela judicial efectiva por parte de las autoridades para la ejecución de los fallos internos de conformidad con el artículo 25.2</w:t>
      </w:r>
      <w:r>
        <w:rPr>
          <w:rFonts w:ascii="Verdana" w:hAnsi="Verdana"/>
          <w:sz w:val="20"/>
          <w:szCs w:val="20"/>
          <w:lang w:val="es-ES"/>
        </w:rPr>
        <w:t>.</w:t>
      </w:r>
      <w:r w:rsidRPr="004E472B">
        <w:rPr>
          <w:rFonts w:ascii="Verdana" w:hAnsi="Verdana"/>
          <w:sz w:val="20"/>
          <w:szCs w:val="20"/>
          <w:lang w:val="es-ES"/>
        </w:rPr>
        <w:t>c</w:t>
      </w:r>
      <w:r>
        <w:rPr>
          <w:rFonts w:ascii="Verdana" w:hAnsi="Verdana"/>
          <w:sz w:val="20"/>
          <w:szCs w:val="20"/>
          <w:lang w:val="es-ES"/>
        </w:rPr>
        <w:t>)</w:t>
      </w:r>
      <w:r w:rsidRPr="004E472B">
        <w:rPr>
          <w:rFonts w:ascii="Verdana" w:hAnsi="Verdana"/>
          <w:sz w:val="20"/>
          <w:szCs w:val="20"/>
          <w:lang w:val="es-ES"/>
        </w:rPr>
        <w:t xml:space="preserve"> de la Convención. </w:t>
      </w:r>
    </w:p>
    <w:p w:rsidR="00F249DD" w:rsidRPr="00991B03" w:rsidRDefault="00F249DD" w:rsidP="003935C5">
      <w:pPr>
        <w:pStyle w:val="Ttulo3"/>
        <w:numPr>
          <w:ilvl w:val="0"/>
          <w:numId w:val="0"/>
        </w:numPr>
        <w:rPr>
          <w:lang w:val="es-ES"/>
        </w:rPr>
      </w:pPr>
      <w:bookmarkStart w:id="229" w:name="_Toc294626202"/>
      <w:bookmarkStart w:id="230" w:name="_Toc294633778"/>
      <w:bookmarkStart w:id="231" w:name="_Toc294634488"/>
      <w:bookmarkStart w:id="232" w:name="_Toc294635316"/>
      <w:bookmarkStart w:id="233" w:name="_Toc294862709"/>
      <w:bookmarkStart w:id="234" w:name="_Toc294862772"/>
      <w:bookmarkStart w:id="235" w:name="_Toc295380323"/>
      <w:bookmarkStart w:id="236" w:name="_Toc295394475"/>
      <w:bookmarkStart w:id="237" w:name="_Toc295394629"/>
      <w:bookmarkStart w:id="238" w:name="_Toc295986081"/>
      <w:bookmarkStart w:id="239" w:name="_Toc295986298"/>
      <w:bookmarkStart w:id="240" w:name="_Toc295986418"/>
      <w:r w:rsidRPr="005B52C5">
        <w:rPr>
          <w:lang w:val="es-CR"/>
        </w:rPr>
        <w:t>a</w:t>
      </w:r>
      <w:r w:rsidRPr="00C30789">
        <w:rPr>
          <w:lang w:val="es-AR"/>
        </w:rPr>
        <w:t>) Efectividad del recurso de inconstitucionalidad (Artículo 25.1 de la Convención Americana)</w:t>
      </w:r>
      <w:bookmarkEnd w:id="229"/>
      <w:bookmarkEnd w:id="230"/>
      <w:bookmarkEnd w:id="231"/>
      <w:bookmarkEnd w:id="232"/>
      <w:bookmarkEnd w:id="233"/>
      <w:bookmarkEnd w:id="234"/>
      <w:bookmarkEnd w:id="235"/>
      <w:bookmarkEnd w:id="236"/>
      <w:bookmarkEnd w:id="237"/>
      <w:bookmarkEnd w:id="238"/>
      <w:bookmarkEnd w:id="239"/>
      <w:bookmarkEnd w:id="240"/>
      <w:r w:rsidRPr="00991B03">
        <w:rPr>
          <w:lang w:val="es-ES"/>
        </w:rPr>
        <w:t xml:space="preserve"> </w:t>
      </w:r>
    </w:p>
    <w:p w:rsidR="00F249DD" w:rsidRPr="004E472B" w:rsidRDefault="00F249DD" w:rsidP="003935C5">
      <w:pPr>
        <w:jc w:val="both"/>
        <w:rPr>
          <w:rFonts w:ascii="Verdana" w:hAnsi="Verdana"/>
          <w:b/>
          <w:i/>
          <w:sz w:val="20"/>
          <w:szCs w:val="20"/>
          <w:u w:val="single"/>
          <w:lang w:val="es-ES"/>
        </w:rPr>
      </w:pPr>
    </w:p>
    <w:p w:rsidR="00F249DD" w:rsidRPr="004E472B" w:rsidRDefault="00F249DD" w:rsidP="003935C5">
      <w:pPr>
        <w:numPr>
          <w:ilvl w:val="0"/>
          <w:numId w:val="56"/>
        </w:numPr>
        <w:tabs>
          <w:tab w:val="clear" w:pos="1170"/>
        </w:tabs>
        <w:ind w:left="0"/>
        <w:jc w:val="both"/>
        <w:rPr>
          <w:rFonts w:ascii="Verdana" w:hAnsi="Verdana"/>
          <w:sz w:val="20"/>
          <w:szCs w:val="20"/>
          <w:lang w:val="es-ES"/>
        </w:rPr>
      </w:pPr>
      <w:r w:rsidRPr="004E472B">
        <w:rPr>
          <w:rFonts w:ascii="Verdana" w:hAnsi="Verdana"/>
          <w:sz w:val="20"/>
          <w:szCs w:val="20"/>
          <w:lang w:val="es-ES"/>
        </w:rPr>
        <w:t xml:space="preserve">El artículo 25.1 de la Convención garantiza la existencia de un recurso sencillo, rápido y efectivo ante juez o </w:t>
      </w:r>
      <w:r>
        <w:rPr>
          <w:rFonts w:ascii="Verdana" w:hAnsi="Verdana"/>
          <w:sz w:val="20"/>
          <w:szCs w:val="20"/>
          <w:lang w:val="es-ES"/>
        </w:rPr>
        <w:t>t</w:t>
      </w:r>
      <w:r w:rsidRPr="004E472B">
        <w:rPr>
          <w:rFonts w:ascii="Verdana" w:hAnsi="Verdana"/>
          <w:sz w:val="20"/>
          <w:szCs w:val="20"/>
          <w:lang w:val="es-ES"/>
        </w:rPr>
        <w:t>ribunal competente. La Corte recuerda su jurisprudencia constante en relación con que dicho recurso debe ser adecuado y efectivo</w:t>
      </w:r>
      <w:r w:rsidRPr="004E472B">
        <w:rPr>
          <w:rFonts w:ascii="Verdana" w:hAnsi="Verdana"/>
          <w:sz w:val="20"/>
          <w:szCs w:val="20"/>
          <w:vertAlign w:val="superscript"/>
          <w:lang w:val="es-ES"/>
        </w:rPr>
        <w:footnoteReference w:id="77"/>
      </w:r>
      <w:r w:rsidRPr="004E472B">
        <w:rPr>
          <w:rFonts w:ascii="Verdana" w:hAnsi="Verdana"/>
          <w:sz w:val="20"/>
          <w:szCs w:val="20"/>
          <w:lang w:val="es-ES"/>
        </w:rPr>
        <w:t xml:space="preserve">. </w:t>
      </w:r>
    </w:p>
    <w:p w:rsidR="00F249DD" w:rsidRPr="004E472B" w:rsidRDefault="00F249DD" w:rsidP="003935C5">
      <w:pPr>
        <w:jc w:val="both"/>
        <w:rPr>
          <w:rFonts w:ascii="Verdana" w:hAnsi="Verdana"/>
          <w:sz w:val="20"/>
          <w:szCs w:val="20"/>
          <w:lang w:val="es-ES"/>
        </w:rPr>
      </w:pPr>
    </w:p>
    <w:p w:rsidR="00F249DD" w:rsidRPr="004E472B" w:rsidRDefault="00F249DD" w:rsidP="003935C5">
      <w:pPr>
        <w:numPr>
          <w:ilvl w:val="0"/>
          <w:numId w:val="56"/>
        </w:numPr>
        <w:tabs>
          <w:tab w:val="clear" w:pos="1170"/>
        </w:tabs>
        <w:ind w:left="0"/>
        <w:jc w:val="both"/>
        <w:rPr>
          <w:rFonts w:ascii="Verdana" w:hAnsi="Verdana"/>
          <w:sz w:val="20"/>
          <w:szCs w:val="20"/>
          <w:lang w:val="es-ES"/>
        </w:rPr>
      </w:pPr>
      <w:r>
        <w:rPr>
          <w:rFonts w:ascii="Verdana" w:hAnsi="Verdana"/>
          <w:sz w:val="20"/>
          <w:szCs w:val="20"/>
          <w:lang w:val="es-ES"/>
        </w:rPr>
        <w:t>En relación con el recurso de inconstitucionalidad, l</w:t>
      </w:r>
      <w:r w:rsidRPr="004E472B">
        <w:rPr>
          <w:rFonts w:ascii="Verdana" w:hAnsi="Verdana"/>
          <w:sz w:val="20"/>
          <w:szCs w:val="20"/>
          <w:lang w:val="es-ES"/>
        </w:rPr>
        <w:t>a Corte observa que la Constitución del Ecuador al momento de los hechos disponía en su artículo 276 que competerá al Tribunal Constitucional:</w:t>
      </w:r>
    </w:p>
    <w:p w:rsidR="00F249DD" w:rsidRPr="004E472B" w:rsidRDefault="00F249DD" w:rsidP="003935C5">
      <w:pPr>
        <w:jc w:val="both"/>
        <w:rPr>
          <w:rFonts w:ascii="Verdana" w:hAnsi="Verdana"/>
          <w:sz w:val="20"/>
          <w:szCs w:val="20"/>
          <w:lang w:val="es-ES"/>
        </w:rPr>
      </w:pPr>
    </w:p>
    <w:p w:rsidR="00F249DD" w:rsidRPr="00060623" w:rsidRDefault="00F249DD" w:rsidP="003935C5">
      <w:pPr>
        <w:ind w:left="720" w:right="720"/>
        <w:jc w:val="both"/>
        <w:rPr>
          <w:rFonts w:ascii="Verdana" w:hAnsi="Verdana"/>
          <w:sz w:val="16"/>
          <w:szCs w:val="16"/>
          <w:lang w:val="es-ES"/>
        </w:rPr>
      </w:pPr>
      <w:r w:rsidRPr="00060623">
        <w:rPr>
          <w:rFonts w:ascii="Verdana" w:hAnsi="Verdana"/>
          <w:sz w:val="16"/>
          <w:szCs w:val="16"/>
          <w:lang w:val="es-ES"/>
        </w:rPr>
        <w:lastRenderedPageBreak/>
        <w:t>1. Conocer y resolver las demandas de inconstitucional</w:t>
      </w:r>
      <w:r>
        <w:rPr>
          <w:rFonts w:ascii="Verdana" w:hAnsi="Verdana"/>
          <w:sz w:val="16"/>
          <w:szCs w:val="16"/>
          <w:lang w:val="es-ES"/>
        </w:rPr>
        <w:t>,</w:t>
      </w:r>
      <w:r w:rsidRPr="00060623">
        <w:rPr>
          <w:rFonts w:ascii="Verdana" w:hAnsi="Verdana"/>
          <w:sz w:val="16"/>
          <w:szCs w:val="16"/>
          <w:lang w:val="es-ES"/>
        </w:rPr>
        <w:t xml:space="preserve"> de fondo o de forma</w:t>
      </w:r>
      <w:r>
        <w:rPr>
          <w:rFonts w:ascii="Verdana" w:hAnsi="Verdana"/>
          <w:sz w:val="16"/>
          <w:szCs w:val="16"/>
          <w:lang w:val="es-ES"/>
        </w:rPr>
        <w:t>,</w:t>
      </w:r>
      <w:r w:rsidRPr="00060623">
        <w:rPr>
          <w:rFonts w:ascii="Verdana" w:hAnsi="Verdana"/>
          <w:sz w:val="16"/>
          <w:szCs w:val="16"/>
          <w:lang w:val="es-ES"/>
        </w:rPr>
        <w:t xml:space="preserve"> que se presenten sobre leyes orgánicas y ordinarias, decretos – leyes, decretos, ordenanzas; estatutos, reglamentos y resoluciones, emitidos por órganos de las instituciones del Estado, y suspender total o parcialmente sus efectos.</w:t>
      </w:r>
    </w:p>
    <w:p w:rsidR="00F249DD" w:rsidRPr="00060623" w:rsidRDefault="00F249DD" w:rsidP="003935C5">
      <w:pPr>
        <w:ind w:left="720" w:right="720"/>
        <w:jc w:val="both"/>
        <w:rPr>
          <w:rFonts w:ascii="Verdana" w:hAnsi="Verdana"/>
          <w:sz w:val="16"/>
          <w:szCs w:val="16"/>
          <w:lang w:val="es-ES"/>
        </w:rPr>
      </w:pPr>
    </w:p>
    <w:p w:rsidR="00F249DD" w:rsidRPr="00060623" w:rsidRDefault="00F249DD" w:rsidP="003935C5">
      <w:pPr>
        <w:ind w:left="720" w:right="720"/>
        <w:jc w:val="both"/>
        <w:rPr>
          <w:rFonts w:ascii="Verdana" w:hAnsi="Verdana"/>
          <w:sz w:val="16"/>
          <w:szCs w:val="16"/>
          <w:lang w:val="es-ES"/>
        </w:rPr>
      </w:pPr>
      <w:r w:rsidRPr="00060623">
        <w:rPr>
          <w:rFonts w:ascii="Verdana" w:hAnsi="Verdana"/>
          <w:sz w:val="16"/>
          <w:szCs w:val="16"/>
          <w:lang w:val="es-ES"/>
        </w:rPr>
        <w:t xml:space="preserve">2. Conocer y resolver sobre la inconstitucionalidad de los actos administrativos de toda autoridad pública. La declaratoria de inconstitucionalidad conlleva la revocatoria del acto, sin perjuicio de que el órgano administrativo adopte las medidas necesarias para preservar el respeto a las normas constitucionales.  </w:t>
      </w:r>
    </w:p>
    <w:p w:rsidR="00F249DD" w:rsidRPr="00060623" w:rsidRDefault="00F249DD" w:rsidP="003935C5">
      <w:pPr>
        <w:ind w:left="720" w:right="720"/>
        <w:jc w:val="both"/>
        <w:rPr>
          <w:rFonts w:ascii="Verdana" w:hAnsi="Verdana"/>
          <w:sz w:val="16"/>
          <w:szCs w:val="16"/>
          <w:lang w:val="es-ES"/>
        </w:rPr>
      </w:pPr>
    </w:p>
    <w:p w:rsidR="00F249DD" w:rsidRPr="00060623" w:rsidRDefault="00F249DD" w:rsidP="003935C5">
      <w:pPr>
        <w:ind w:left="720" w:right="720"/>
        <w:jc w:val="both"/>
        <w:rPr>
          <w:rFonts w:ascii="Verdana" w:hAnsi="Verdana"/>
          <w:sz w:val="16"/>
          <w:szCs w:val="16"/>
          <w:lang w:val="es-ES"/>
        </w:rPr>
      </w:pPr>
      <w:r w:rsidRPr="00060623">
        <w:rPr>
          <w:rFonts w:ascii="Verdana" w:hAnsi="Verdana"/>
          <w:sz w:val="16"/>
          <w:szCs w:val="16"/>
          <w:lang w:val="es-ES"/>
        </w:rPr>
        <w:t>[…]</w:t>
      </w:r>
    </w:p>
    <w:p w:rsidR="00F249DD" w:rsidRPr="004E472B" w:rsidRDefault="00F249DD" w:rsidP="003935C5">
      <w:pPr>
        <w:jc w:val="both"/>
        <w:rPr>
          <w:rFonts w:ascii="Verdana" w:hAnsi="Verdana"/>
          <w:sz w:val="20"/>
          <w:szCs w:val="20"/>
          <w:lang w:val="es-ES"/>
        </w:rPr>
      </w:pPr>
    </w:p>
    <w:p w:rsidR="00F249DD" w:rsidRPr="00E5021D" w:rsidRDefault="00F249DD" w:rsidP="003935C5">
      <w:pPr>
        <w:numPr>
          <w:ilvl w:val="0"/>
          <w:numId w:val="56"/>
        </w:numPr>
        <w:tabs>
          <w:tab w:val="clear" w:pos="1170"/>
        </w:tabs>
        <w:ind w:left="0"/>
        <w:jc w:val="both"/>
        <w:rPr>
          <w:rFonts w:ascii="Verdana" w:hAnsi="Verdana"/>
          <w:sz w:val="20"/>
          <w:szCs w:val="20"/>
          <w:lang w:val="es-ES"/>
        </w:rPr>
      </w:pPr>
      <w:r w:rsidRPr="004E472B">
        <w:rPr>
          <w:rFonts w:ascii="Verdana" w:hAnsi="Verdana"/>
          <w:sz w:val="20"/>
          <w:szCs w:val="20"/>
          <w:lang w:val="es-ES"/>
        </w:rPr>
        <w:t>Respecto a la idoneidad del recurso</w:t>
      </w:r>
      <w:r>
        <w:rPr>
          <w:rFonts w:ascii="Verdana" w:hAnsi="Verdana"/>
          <w:sz w:val="20"/>
          <w:szCs w:val="20"/>
          <w:lang w:val="es-ES"/>
        </w:rPr>
        <w:t xml:space="preserve"> de inconstitucionalidad</w:t>
      </w:r>
      <w:r w:rsidRPr="004E472B">
        <w:rPr>
          <w:rFonts w:ascii="Verdana" w:hAnsi="Verdana"/>
          <w:sz w:val="20"/>
          <w:szCs w:val="20"/>
          <w:lang w:val="es-ES"/>
        </w:rPr>
        <w:t xml:space="preserve">, la Corte encuentra que no existe controversia entre las partes en cuanto a que </w:t>
      </w:r>
      <w:r>
        <w:rPr>
          <w:rFonts w:ascii="Verdana" w:hAnsi="Verdana"/>
          <w:sz w:val="20"/>
          <w:szCs w:val="20"/>
          <w:lang w:val="es-ES"/>
        </w:rPr>
        <w:t>dicho</w:t>
      </w:r>
      <w:r w:rsidRPr="004E472B">
        <w:rPr>
          <w:rFonts w:ascii="Verdana" w:hAnsi="Verdana"/>
          <w:sz w:val="20"/>
          <w:szCs w:val="20"/>
          <w:lang w:val="es-ES"/>
        </w:rPr>
        <w:t xml:space="preserve"> recurso fue el adecuado para proteger los derechos que la presunta víctima alegó ante el Tribunal Constitucional.  No obstante, el Estado ha manifestado que el señor Mejía Idrovo debió alegar el numeral 2 del artículo 276 de la Constitución vigente y no el numeral 1, ya que éste último solamente podría suspender sus efectos y </w:t>
      </w:r>
      <w:r w:rsidRPr="0090657C">
        <w:rPr>
          <w:rFonts w:ascii="Verdana" w:hAnsi="Verdana"/>
          <w:sz w:val="20"/>
          <w:szCs w:val="20"/>
          <w:lang w:val="es-ES"/>
        </w:rPr>
        <w:t xml:space="preserve">no tener efectos </w:t>
      </w:r>
      <w:r w:rsidRPr="00F822BE">
        <w:rPr>
          <w:rFonts w:ascii="Verdana" w:hAnsi="Verdana"/>
          <w:sz w:val="20"/>
          <w:szCs w:val="20"/>
          <w:lang w:val="es-ES"/>
        </w:rPr>
        <w:t>retroactivos (</w:t>
      </w:r>
      <w:r w:rsidRPr="00F822BE">
        <w:rPr>
          <w:rFonts w:ascii="Verdana" w:hAnsi="Verdana"/>
          <w:i/>
          <w:sz w:val="20"/>
          <w:szCs w:val="20"/>
          <w:lang w:val="es-ES"/>
        </w:rPr>
        <w:t>supra</w:t>
      </w:r>
      <w:r w:rsidRPr="00F822BE">
        <w:rPr>
          <w:rFonts w:ascii="Verdana" w:hAnsi="Verdana"/>
          <w:sz w:val="20"/>
          <w:szCs w:val="20"/>
          <w:lang w:val="es-ES"/>
        </w:rPr>
        <w:t xml:space="preserve"> párr. 87). Asimismo, el Estado expresó que el señor Mejía Idrovo debió agotar una acción civil por daños y perjuicios contra el Estado. Al respecto, la Corte se supedita a la decisión y alcance de la Sentencia dictada por la propia Corte Constitucional el 8 de octubre de 2009, mediante la cual interpretó la Sentencia de 12 de marzo de 2002 del Tribunal Constitucional y se refirió al alcance de la reparación y sostuvo que ésta incluye la reincorporación del señor Mejía Idrovo, sin considerar esto como un efecto retroactivo,</w:t>
      </w:r>
      <w:r w:rsidRPr="004E472B">
        <w:rPr>
          <w:rFonts w:ascii="Verdana" w:hAnsi="Verdana"/>
          <w:sz w:val="20"/>
          <w:szCs w:val="20"/>
          <w:lang w:val="es-ES"/>
        </w:rPr>
        <w:t xml:space="preserve"> así como el reconocimiento de sus derechos patrimoniales y el derecho de repetición </w:t>
      </w:r>
      <w:r w:rsidRPr="00EF032E">
        <w:rPr>
          <w:rFonts w:ascii="Verdana" w:hAnsi="Verdana"/>
          <w:sz w:val="20"/>
          <w:szCs w:val="20"/>
          <w:lang w:val="es-ES"/>
        </w:rPr>
        <w:t>(</w:t>
      </w:r>
      <w:r w:rsidRPr="00EF032E">
        <w:rPr>
          <w:rFonts w:ascii="Verdana" w:hAnsi="Verdana"/>
          <w:i/>
          <w:sz w:val="20"/>
          <w:szCs w:val="20"/>
          <w:lang w:val="es-ES"/>
        </w:rPr>
        <w:t>supra</w:t>
      </w:r>
      <w:r w:rsidRPr="00EF032E">
        <w:rPr>
          <w:rFonts w:ascii="Verdana" w:hAnsi="Verdana"/>
          <w:sz w:val="20"/>
          <w:szCs w:val="20"/>
          <w:lang w:val="es-ES"/>
        </w:rPr>
        <w:t xml:space="preserve"> párr. </w:t>
      </w:r>
      <w:r w:rsidRPr="007C688C">
        <w:rPr>
          <w:rFonts w:ascii="Verdana" w:hAnsi="Verdana"/>
          <w:sz w:val="20"/>
          <w:szCs w:val="20"/>
          <w:lang w:val="es-ES"/>
        </w:rPr>
        <w:t>56</w:t>
      </w:r>
      <w:r w:rsidRPr="00EF032E">
        <w:rPr>
          <w:rFonts w:ascii="Verdana" w:hAnsi="Verdana"/>
          <w:sz w:val="20"/>
          <w:szCs w:val="20"/>
          <w:lang w:val="es-ES"/>
        </w:rPr>
        <w:t>).  En razón de lo anterior, la Corte encuentra que el recurso de inconstitucional fue</w:t>
      </w:r>
      <w:r w:rsidRPr="004E472B">
        <w:rPr>
          <w:rFonts w:ascii="Verdana" w:hAnsi="Verdana"/>
          <w:sz w:val="20"/>
          <w:szCs w:val="20"/>
          <w:lang w:val="es-ES"/>
        </w:rPr>
        <w:t xml:space="preserve"> el recurso adecuado, es decir idóneo para tutelar la situación jurídica infringida en el presente </w:t>
      </w:r>
      <w:r w:rsidRPr="00E5021D">
        <w:rPr>
          <w:rFonts w:ascii="Verdana" w:hAnsi="Verdana"/>
          <w:sz w:val="20"/>
          <w:szCs w:val="20"/>
          <w:lang w:val="es-ES"/>
        </w:rPr>
        <w:t xml:space="preserve">caso. </w:t>
      </w:r>
    </w:p>
    <w:p w:rsidR="00F249DD" w:rsidRPr="00E5021D" w:rsidRDefault="00F249DD" w:rsidP="003935C5">
      <w:pPr>
        <w:jc w:val="both"/>
        <w:rPr>
          <w:rFonts w:ascii="Verdana" w:hAnsi="Verdana"/>
          <w:sz w:val="20"/>
          <w:szCs w:val="20"/>
          <w:lang w:val="es-ES"/>
        </w:rPr>
      </w:pPr>
    </w:p>
    <w:p w:rsidR="00F249DD" w:rsidRPr="0007269E" w:rsidRDefault="00F249DD" w:rsidP="003935C5">
      <w:pPr>
        <w:numPr>
          <w:ilvl w:val="0"/>
          <w:numId w:val="56"/>
        </w:numPr>
        <w:tabs>
          <w:tab w:val="clear" w:pos="1170"/>
        </w:tabs>
        <w:ind w:left="0"/>
        <w:jc w:val="both"/>
        <w:rPr>
          <w:rFonts w:ascii="Verdana" w:hAnsi="Verdana"/>
          <w:sz w:val="20"/>
          <w:szCs w:val="20"/>
          <w:lang w:val="es-ES"/>
        </w:rPr>
      </w:pPr>
      <w:r w:rsidRPr="0007269E">
        <w:rPr>
          <w:rFonts w:ascii="Verdana" w:hAnsi="Verdana"/>
          <w:sz w:val="20"/>
          <w:szCs w:val="20"/>
          <w:lang w:val="es-ES"/>
        </w:rPr>
        <w:t>En cuanto a la efectividad del recurso, la Corte ha establecido que para que tal recurso efectivo exista, no basta con que esté previsto por la Constitución o la ley o con que sea formalmente admisible, sino que se requiere que sea realmente idóneo para establecer si se ha incurrido en una violación a los derechos humanos y proveer lo necesario para remediarla. No pueden considerarse efectivos aquellos recursos que, por las condiciones generales del país o incluso por las circunstancias particulares de un caso dado, resulten ilusorios</w:t>
      </w:r>
      <w:r w:rsidRPr="0007269E">
        <w:rPr>
          <w:rStyle w:val="Refdenotaalpie"/>
          <w:rFonts w:ascii="Verdana" w:hAnsi="Verdana"/>
          <w:sz w:val="20"/>
          <w:szCs w:val="20"/>
          <w:lang w:val="es-ES"/>
        </w:rPr>
        <w:footnoteReference w:id="78"/>
      </w:r>
      <w:r w:rsidRPr="0007269E">
        <w:rPr>
          <w:rFonts w:ascii="Verdana" w:hAnsi="Verdana"/>
          <w:sz w:val="20"/>
          <w:szCs w:val="20"/>
          <w:lang w:val="es-ES"/>
        </w:rPr>
        <w:t xml:space="preserve">. </w:t>
      </w:r>
    </w:p>
    <w:p w:rsidR="00F249DD" w:rsidRPr="004E472B" w:rsidRDefault="00F249DD" w:rsidP="003935C5">
      <w:pPr>
        <w:jc w:val="both"/>
        <w:rPr>
          <w:rFonts w:ascii="Verdana" w:hAnsi="Verdana"/>
          <w:sz w:val="20"/>
          <w:szCs w:val="20"/>
          <w:lang w:val="es-ES"/>
        </w:rPr>
      </w:pPr>
    </w:p>
    <w:p w:rsidR="00F249DD" w:rsidRPr="000F7A22" w:rsidRDefault="00F249DD" w:rsidP="003935C5">
      <w:pPr>
        <w:numPr>
          <w:ilvl w:val="0"/>
          <w:numId w:val="56"/>
        </w:numPr>
        <w:tabs>
          <w:tab w:val="clear" w:pos="1170"/>
        </w:tabs>
        <w:ind w:left="0"/>
        <w:jc w:val="both"/>
        <w:rPr>
          <w:rFonts w:ascii="Verdana" w:hAnsi="Verdana"/>
          <w:sz w:val="20"/>
          <w:szCs w:val="20"/>
          <w:lang w:val="es-ES"/>
        </w:rPr>
      </w:pPr>
      <w:r w:rsidRPr="00D93310">
        <w:rPr>
          <w:rFonts w:ascii="Verdana" w:hAnsi="Verdana"/>
          <w:sz w:val="20"/>
          <w:szCs w:val="20"/>
          <w:lang w:val="es-ES"/>
        </w:rPr>
        <w:t xml:space="preserve">El </w:t>
      </w:r>
      <w:r w:rsidRPr="004E472B">
        <w:rPr>
          <w:rFonts w:ascii="Verdana" w:hAnsi="Verdana"/>
          <w:sz w:val="20"/>
          <w:szCs w:val="20"/>
          <w:lang w:val="es-ES"/>
        </w:rPr>
        <w:t>Tribunal ha señalado que “el artículo 25.1 de la Convención contempla la obligación de los Estados Partes de garantizar, a todas las personas bajo su jurisdicción, un recurso judicial efectivo contra actos violatorios de sus derechos fundamentales. Dicha efectividad supone que, además de la existencia formal de los recursos, éstos den resultados o respuestas a las violaciones de derechos contemplados ya sea en la Convención, en la Constitución o en las leyes. […] Así, el proceso debe tender a la materialización de la protección del derecho reconocido en el pronunciamiento judicial mediante la aplicación idónea de dicho pronunciamiento</w:t>
      </w:r>
      <w:r w:rsidRPr="004E472B">
        <w:rPr>
          <w:rFonts w:ascii="Verdana" w:hAnsi="Verdana"/>
          <w:sz w:val="20"/>
          <w:szCs w:val="20"/>
          <w:vertAlign w:val="superscript"/>
          <w:lang w:val="es-ES"/>
        </w:rPr>
        <w:footnoteReference w:id="79"/>
      </w:r>
      <w:r w:rsidRPr="004E472B">
        <w:rPr>
          <w:rFonts w:ascii="Verdana" w:hAnsi="Verdana"/>
          <w:sz w:val="20"/>
          <w:szCs w:val="20"/>
          <w:lang w:val="es-ES"/>
        </w:rPr>
        <w:t>”.</w:t>
      </w:r>
    </w:p>
    <w:p w:rsidR="00F249DD" w:rsidRPr="004E472B" w:rsidRDefault="00F249DD" w:rsidP="003935C5">
      <w:pPr>
        <w:jc w:val="both"/>
        <w:rPr>
          <w:rFonts w:ascii="Verdana" w:hAnsi="Verdana"/>
          <w:sz w:val="20"/>
          <w:szCs w:val="20"/>
          <w:lang w:val="es-ES"/>
        </w:rPr>
      </w:pPr>
    </w:p>
    <w:p w:rsidR="00F249DD" w:rsidRPr="004E472B" w:rsidRDefault="00F249DD" w:rsidP="003935C5">
      <w:pPr>
        <w:numPr>
          <w:ilvl w:val="0"/>
          <w:numId w:val="56"/>
        </w:numPr>
        <w:tabs>
          <w:tab w:val="clear" w:pos="1170"/>
        </w:tabs>
        <w:ind w:left="0"/>
        <w:jc w:val="both"/>
        <w:rPr>
          <w:rFonts w:ascii="Verdana" w:hAnsi="Verdana"/>
          <w:sz w:val="20"/>
          <w:szCs w:val="20"/>
          <w:lang w:val="es-ES"/>
        </w:rPr>
      </w:pPr>
      <w:r w:rsidRPr="004E472B">
        <w:rPr>
          <w:rFonts w:ascii="Verdana" w:hAnsi="Verdana"/>
          <w:sz w:val="20"/>
          <w:szCs w:val="20"/>
          <w:lang w:val="es-ES"/>
        </w:rPr>
        <w:t>En específico, la Corte est</w:t>
      </w:r>
      <w:r>
        <w:rPr>
          <w:rFonts w:ascii="Verdana" w:hAnsi="Verdana"/>
          <w:sz w:val="20"/>
          <w:szCs w:val="20"/>
          <w:lang w:val="es-ES"/>
        </w:rPr>
        <w:t>ima que para mantener el efecto útil de las decisiones, los t</w:t>
      </w:r>
      <w:r w:rsidRPr="004E472B">
        <w:rPr>
          <w:rFonts w:ascii="Verdana" w:hAnsi="Verdana"/>
          <w:sz w:val="20"/>
          <w:szCs w:val="20"/>
          <w:lang w:val="es-ES"/>
        </w:rPr>
        <w:t>ribunales internos al dictar sus fallos en favor de los derechos de las personas y ordenar reparaciones, deben</w:t>
      </w:r>
      <w:r>
        <w:rPr>
          <w:rFonts w:ascii="Verdana" w:hAnsi="Verdana"/>
          <w:sz w:val="20"/>
          <w:szCs w:val="20"/>
          <w:lang w:val="es-ES"/>
        </w:rPr>
        <w:t xml:space="preserve"> </w:t>
      </w:r>
      <w:r w:rsidRPr="004E472B">
        <w:rPr>
          <w:rFonts w:ascii="Verdana" w:hAnsi="Verdana"/>
          <w:sz w:val="20"/>
          <w:szCs w:val="20"/>
          <w:lang w:val="es-ES"/>
        </w:rPr>
        <w:t>establecer</w:t>
      </w:r>
      <w:r w:rsidRPr="00396D58">
        <w:rPr>
          <w:rFonts w:ascii="Verdana" w:hAnsi="Verdana"/>
          <w:sz w:val="20"/>
          <w:szCs w:val="20"/>
          <w:lang w:val="es-ES"/>
        </w:rPr>
        <w:t xml:space="preserve"> </w:t>
      </w:r>
      <w:r w:rsidRPr="004E472B">
        <w:rPr>
          <w:rFonts w:ascii="Verdana" w:hAnsi="Verdana"/>
          <w:sz w:val="20"/>
          <w:szCs w:val="20"/>
          <w:lang w:val="es-ES"/>
        </w:rPr>
        <w:t>de manera clara y precisa</w:t>
      </w:r>
      <w:r>
        <w:rPr>
          <w:rFonts w:ascii="Verdana" w:hAnsi="Verdana"/>
          <w:sz w:val="20"/>
          <w:szCs w:val="20"/>
          <w:lang w:val="es-ES"/>
        </w:rPr>
        <w:t xml:space="preserve"> ―de acuerdo con sus ámbitos de competencia― el</w:t>
      </w:r>
      <w:r w:rsidRPr="004E472B">
        <w:rPr>
          <w:rFonts w:ascii="Verdana" w:hAnsi="Verdana"/>
          <w:sz w:val="20"/>
          <w:szCs w:val="20"/>
          <w:lang w:val="es-ES"/>
        </w:rPr>
        <w:t xml:space="preserve"> alcance</w:t>
      </w:r>
      <w:r>
        <w:rPr>
          <w:rFonts w:ascii="Verdana" w:hAnsi="Verdana"/>
          <w:sz w:val="20"/>
          <w:szCs w:val="20"/>
          <w:lang w:val="es-ES"/>
        </w:rPr>
        <w:t xml:space="preserve"> de las reparaciones</w:t>
      </w:r>
      <w:r w:rsidRPr="004E472B">
        <w:rPr>
          <w:rFonts w:ascii="Verdana" w:hAnsi="Verdana"/>
          <w:sz w:val="20"/>
          <w:szCs w:val="20"/>
          <w:lang w:val="es-ES"/>
        </w:rPr>
        <w:t xml:space="preserve"> y las formas de ejecución de las mismas. De </w:t>
      </w:r>
      <w:r w:rsidRPr="004E472B">
        <w:rPr>
          <w:rFonts w:ascii="Verdana" w:hAnsi="Verdana"/>
          <w:sz w:val="20"/>
          <w:szCs w:val="20"/>
          <w:lang w:val="es-ES"/>
        </w:rPr>
        <w:lastRenderedPageBreak/>
        <w:t xml:space="preserve">acuerdo con los estándares de este Tribunal y del derecho internacional de los derechos humanos, el alcance de estas medidas debe ser de carácter integral, y de </w:t>
      </w:r>
      <w:r>
        <w:rPr>
          <w:rFonts w:ascii="Verdana" w:hAnsi="Verdana"/>
          <w:sz w:val="20"/>
          <w:szCs w:val="20"/>
          <w:lang w:val="es-ES"/>
        </w:rPr>
        <w:t xml:space="preserve">ser </w:t>
      </w:r>
      <w:r w:rsidRPr="004E472B">
        <w:rPr>
          <w:rFonts w:ascii="Verdana" w:hAnsi="Verdana"/>
          <w:sz w:val="20"/>
          <w:szCs w:val="20"/>
          <w:lang w:val="es-ES"/>
        </w:rPr>
        <w:t>posible, con el fin de devolver a la persona al momento previo en el que se produjo la violación (</w:t>
      </w:r>
      <w:r w:rsidRPr="004E472B">
        <w:rPr>
          <w:rFonts w:ascii="Verdana" w:hAnsi="Verdana"/>
          <w:i/>
          <w:sz w:val="20"/>
          <w:szCs w:val="20"/>
          <w:lang w:val="es-ES"/>
        </w:rPr>
        <w:t>restitutio in integrum</w:t>
      </w:r>
      <w:r w:rsidRPr="004E472B">
        <w:rPr>
          <w:rFonts w:ascii="Verdana" w:hAnsi="Verdana"/>
          <w:sz w:val="20"/>
          <w:szCs w:val="20"/>
          <w:lang w:val="es-ES"/>
        </w:rPr>
        <w:t xml:space="preserve">). Dentro de estas medidas se encuentran, según el caso, la restitución de bienes o derechos, la rehabilitación, la satisfacción, la compensación y las garantías de no repetición, </w:t>
      </w:r>
      <w:r w:rsidRPr="004E472B">
        <w:rPr>
          <w:rFonts w:ascii="Verdana" w:hAnsi="Verdana"/>
          <w:i/>
          <w:sz w:val="20"/>
          <w:szCs w:val="20"/>
          <w:lang w:val="es-ES"/>
        </w:rPr>
        <w:t>inter alia</w:t>
      </w:r>
      <w:r w:rsidRPr="004E472B">
        <w:rPr>
          <w:rFonts w:ascii="Verdana" w:hAnsi="Verdana"/>
          <w:sz w:val="20"/>
          <w:szCs w:val="20"/>
          <w:vertAlign w:val="superscript"/>
          <w:lang w:val="es-ES"/>
        </w:rPr>
        <w:footnoteReference w:id="80"/>
      </w:r>
      <w:r w:rsidRPr="004E472B">
        <w:rPr>
          <w:rFonts w:ascii="Verdana" w:hAnsi="Verdana"/>
          <w:sz w:val="20"/>
          <w:szCs w:val="20"/>
          <w:lang w:val="es-ES"/>
        </w:rPr>
        <w:t>.</w:t>
      </w:r>
    </w:p>
    <w:p w:rsidR="00F249DD" w:rsidRPr="004E472B" w:rsidRDefault="00F249DD" w:rsidP="003935C5">
      <w:pPr>
        <w:jc w:val="both"/>
        <w:rPr>
          <w:rFonts w:ascii="Verdana" w:hAnsi="Verdana"/>
          <w:sz w:val="20"/>
          <w:szCs w:val="20"/>
          <w:lang w:val="es-ES"/>
        </w:rPr>
      </w:pPr>
    </w:p>
    <w:p w:rsidR="00F249DD" w:rsidRPr="006921EC" w:rsidRDefault="00F249DD" w:rsidP="003935C5">
      <w:pPr>
        <w:numPr>
          <w:ilvl w:val="0"/>
          <w:numId w:val="56"/>
        </w:numPr>
        <w:tabs>
          <w:tab w:val="clear" w:pos="1170"/>
        </w:tabs>
        <w:ind w:left="0"/>
        <w:jc w:val="both"/>
        <w:rPr>
          <w:rFonts w:ascii="Verdana" w:hAnsi="Verdana"/>
          <w:b/>
          <w:sz w:val="20"/>
          <w:szCs w:val="20"/>
          <w:lang w:val="es-ES"/>
        </w:rPr>
      </w:pPr>
      <w:r w:rsidRPr="006921EC">
        <w:rPr>
          <w:rFonts w:ascii="Verdana" w:hAnsi="Verdana"/>
          <w:sz w:val="20"/>
          <w:szCs w:val="20"/>
          <w:lang w:val="es-ES"/>
        </w:rPr>
        <w:t xml:space="preserve">En el presente caso, una vez establecido que el recurso de inconstitucionalidad fue el adecuado para remediar los derechos alegados por el señor Mejía Idrovo, la Corte observa que la sentencia del Tribunal Constitucional de 12 de marzo de 2002, si bien declaró la inconstitucionalidad de los decretos ejecutivos de disponibilidad y baja, así como dispuso en lo general que se repararen los daños a la presunta víctima, </w:t>
      </w:r>
      <w:r w:rsidRPr="00FC3247">
        <w:rPr>
          <w:rFonts w:ascii="Verdana" w:hAnsi="Verdana"/>
          <w:sz w:val="20"/>
          <w:szCs w:val="20"/>
          <w:lang w:val="es-ES"/>
        </w:rPr>
        <w:t>esta careció de precisión y claridad para determinar el alcance de las reparaciones referidas y su forma de ejecución.</w:t>
      </w:r>
      <w:r w:rsidRPr="006921EC">
        <w:rPr>
          <w:rFonts w:ascii="Verdana" w:hAnsi="Verdana"/>
          <w:sz w:val="20"/>
          <w:szCs w:val="20"/>
          <w:lang w:val="es-ES"/>
        </w:rPr>
        <w:t xml:space="preserve"> Posteriormente, la Resolución del Presidente del Tribunal de 30 de mayo de 2002 --la cual desprendió las irregularidades ya </w:t>
      </w:r>
      <w:r w:rsidRPr="00007006">
        <w:rPr>
          <w:rFonts w:ascii="Verdana" w:hAnsi="Verdana"/>
          <w:sz w:val="20"/>
          <w:szCs w:val="20"/>
          <w:lang w:val="es-ES"/>
        </w:rPr>
        <w:t>analizadas (</w:t>
      </w:r>
      <w:r w:rsidRPr="00007006">
        <w:rPr>
          <w:rFonts w:ascii="Verdana" w:hAnsi="Verdana"/>
          <w:i/>
          <w:sz w:val="20"/>
          <w:szCs w:val="20"/>
          <w:lang w:val="es-ES"/>
        </w:rPr>
        <w:t>supra</w:t>
      </w:r>
      <w:r w:rsidRPr="00007006">
        <w:rPr>
          <w:rFonts w:ascii="Verdana" w:hAnsi="Verdana"/>
          <w:sz w:val="20"/>
          <w:szCs w:val="20"/>
          <w:lang w:val="es-ES"/>
        </w:rPr>
        <w:t xml:space="preserve"> párrs. 53, 78 y 79), contribuyó</w:t>
      </w:r>
      <w:r w:rsidRPr="006921EC">
        <w:rPr>
          <w:rFonts w:ascii="Verdana" w:hAnsi="Verdana"/>
          <w:sz w:val="20"/>
          <w:szCs w:val="20"/>
          <w:lang w:val="es-ES"/>
        </w:rPr>
        <w:t xml:space="preserve"> a confundir en </w:t>
      </w:r>
      <w:r>
        <w:rPr>
          <w:rFonts w:ascii="Verdana" w:hAnsi="Verdana"/>
          <w:sz w:val="20"/>
          <w:szCs w:val="20"/>
          <w:lang w:val="es-ES"/>
        </w:rPr>
        <w:t>mayor medida el alcance de la</w:t>
      </w:r>
      <w:r w:rsidRPr="006921EC">
        <w:rPr>
          <w:rFonts w:ascii="Verdana" w:hAnsi="Verdana"/>
          <w:sz w:val="20"/>
          <w:szCs w:val="20"/>
          <w:lang w:val="es-ES"/>
        </w:rPr>
        <w:t xml:space="preserve"> sentencia </w:t>
      </w:r>
      <w:r>
        <w:rPr>
          <w:rFonts w:ascii="Verdana" w:hAnsi="Verdana"/>
          <w:sz w:val="20"/>
          <w:szCs w:val="20"/>
          <w:lang w:val="es-ES"/>
        </w:rPr>
        <w:t xml:space="preserve">emitida por el pleno del Tribunal Constitucional </w:t>
      </w:r>
      <w:r w:rsidRPr="006921EC">
        <w:rPr>
          <w:rFonts w:ascii="Verdana" w:hAnsi="Verdana"/>
          <w:sz w:val="20"/>
          <w:szCs w:val="20"/>
          <w:lang w:val="es-ES"/>
        </w:rPr>
        <w:t>al restringir su aplicación de manera unilateral, declarándola como irretroactiva y por tanto impidiendo el reintegro del accionante a las Fuerzas Armadas.</w:t>
      </w:r>
      <w:r w:rsidRPr="00FC3247">
        <w:rPr>
          <w:rFonts w:ascii="Verdana" w:hAnsi="Verdana"/>
          <w:sz w:val="20"/>
          <w:szCs w:val="20"/>
          <w:lang w:val="es-ES"/>
        </w:rPr>
        <w:t xml:space="preserve"> No obstante, luego la Corte Constitucional esclareció el sentido y alcance de lo ordenado en la sentencia de 12 de marzo de 2002.</w:t>
      </w:r>
    </w:p>
    <w:p w:rsidR="00F249DD" w:rsidRPr="006921EC" w:rsidRDefault="00F249DD" w:rsidP="003935C5">
      <w:pPr>
        <w:jc w:val="both"/>
        <w:rPr>
          <w:rFonts w:ascii="Verdana" w:hAnsi="Verdana"/>
          <w:b/>
          <w:sz w:val="20"/>
          <w:szCs w:val="20"/>
          <w:lang w:val="es-ES"/>
        </w:rPr>
      </w:pPr>
    </w:p>
    <w:p w:rsidR="00F249DD" w:rsidRPr="006921EC" w:rsidRDefault="00F249DD" w:rsidP="003935C5">
      <w:pPr>
        <w:numPr>
          <w:ilvl w:val="0"/>
          <w:numId w:val="56"/>
        </w:numPr>
        <w:tabs>
          <w:tab w:val="clear" w:pos="1170"/>
        </w:tabs>
        <w:ind w:left="0"/>
        <w:jc w:val="both"/>
        <w:rPr>
          <w:rFonts w:ascii="Verdana" w:hAnsi="Verdana"/>
          <w:sz w:val="20"/>
          <w:szCs w:val="20"/>
          <w:u w:val="single"/>
          <w:lang w:val="es-ES"/>
        </w:rPr>
      </w:pPr>
      <w:r w:rsidRPr="006921EC">
        <w:rPr>
          <w:rFonts w:ascii="Verdana" w:hAnsi="Verdana"/>
          <w:sz w:val="20"/>
          <w:szCs w:val="20"/>
          <w:lang w:val="es-ES"/>
        </w:rPr>
        <w:t xml:space="preserve">En razón de lo anterior, la Corte estima que </w:t>
      </w:r>
      <w:r w:rsidRPr="00FC3247">
        <w:rPr>
          <w:rFonts w:ascii="Verdana" w:hAnsi="Verdana"/>
          <w:sz w:val="20"/>
          <w:szCs w:val="20"/>
          <w:lang w:val="es-ES"/>
        </w:rPr>
        <w:t xml:space="preserve">en el presente caso </w:t>
      </w:r>
      <w:r w:rsidRPr="006921EC">
        <w:rPr>
          <w:rFonts w:ascii="Verdana" w:hAnsi="Verdana"/>
          <w:sz w:val="20"/>
          <w:szCs w:val="20"/>
          <w:lang w:val="es-ES"/>
        </w:rPr>
        <w:t>el recurso de inconstitucionalidad si bien fue el idóneo para proteger la situación jurídica infringida, careció de efectividad al no remediar la situación planteada y no haber permitido que produjera el resultado para el cual fue concebido</w:t>
      </w:r>
      <w:r w:rsidRPr="00A45324">
        <w:rPr>
          <w:rFonts w:ascii="Verdana" w:hAnsi="Verdana"/>
          <w:sz w:val="20"/>
          <w:szCs w:val="20"/>
          <w:vertAlign w:val="superscript"/>
          <w:lang w:val="es-ES"/>
        </w:rPr>
        <w:footnoteReference w:id="81"/>
      </w:r>
      <w:r w:rsidRPr="006921EC">
        <w:rPr>
          <w:rFonts w:ascii="Verdana" w:hAnsi="Verdana"/>
          <w:sz w:val="20"/>
          <w:szCs w:val="20"/>
          <w:lang w:val="es-ES"/>
        </w:rPr>
        <w:t xml:space="preserve">, al no precisar el alcance de lo ordenado, en contravención con lo dispuesto en el artículo 25.1 de la Convención. </w:t>
      </w:r>
    </w:p>
    <w:p w:rsidR="00F249DD" w:rsidRDefault="00F249DD" w:rsidP="003935C5">
      <w:pPr>
        <w:pStyle w:val="Ttulo4"/>
        <w:numPr>
          <w:ilvl w:val="0"/>
          <w:numId w:val="59"/>
        </w:numPr>
        <w:ind w:left="720" w:firstLine="0"/>
      </w:pPr>
      <w:r w:rsidRPr="00C30789">
        <w:t xml:space="preserve">Respecto del alcance de la sentencia de inconstitucionalidad en cuanto al ascenso al grado de General </w:t>
      </w:r>
    </w:p>
    <w:p w:rsidR="00F249DD" w:rsidRPr="007040F4" w:rsidRDefault="00F249DD" w:rsidP="003935C5">
      <w:pPr>
        <w:jc w:val="both"/>
        <w:rPr>
          <w:rFonts w:ascii="Verdana" w:hAnsi="Verdana"/>
          <w:sz w:val="20"/>
          <w:szCs w:val="20"/>
          <w:lang w:val="es-ES"/>
        </w:rPr>
      </w:pPr>
    </w:p>
    <w:p w:rsidR="00F249DD" w:rsidRPr="00F20254" w:rsidRDefault="00F249DD" w:rsidP="003935C5">
      <w:pPr>
        <w:numPr>
          <w:ilvl w:val="0"/>
          <w:numId w:val="56"/>
        </w:numPr>
        <w:tabs>
          <w:tab w:val="clear" w:pos="1170"/>
        </w:tabs>
        <w:ind w:left="0"/>
        <w:jc w:val="both"/>
        <w:rPr>
          <w:rFonts w:ascii="Verdana" w:hAnsi="Verdana"/>
          <w:sz w:val="20"/>
          <w:szCs w:val="20"/>
          <w:lang w:val="es-ES"/>
        </w:rPr>
      </w:pPr>
      <w:r w:rsidRPr="007040F4">
        <w:rPr>
          <w:rFonts w:ascii="Verdana" w:hAnsi="Verdana"/>
          <w:sz w:val="20"/>
          <w:szCs w:val="20"/>
          <w:lang w:val="es-ES"/>
        </w:rPr>
        <w:t xml:space="preserve">La Corte nota que el señor Mejía Idrovo ha insistido mediante diversos escritos en que la sentencia del Tribunal Constitucional que declaró inconstitucional los </w:t>
      </w:r>
      <w:r>
        <w:rPr>
          <w:rFonts w:ascii="Verdana" w:hAnsi="Verdana"/>
          <w:sz w:val="20"/>
          <w:szCs w:val="20"/>
          <w:lang w:val="es-ES"/>
        </w:rPr>
        <w:t>d</w:t>
      </w:r>
      <w:r w:rsidRPr="007040F4">
        <w:rPr>
          <w:rFonts w:ascii="Verdana" w:hAnsi="Verdana"/>
          <w:sz w:val="20"/>
          <w:szCs w:val="20"/>
          <w:lang w:val="es-ES"/>
        </w:rPr>
        <w:t xml:space="preserve">ecretos </w:t>
      </w:r>
      <w:r>
        <w:rPr>
          <w:rFonts w:ascii="Verdana" w:hAnsi="Verdana"/>
          <w:sz w:val="20"/>
          <w:szCs w:val="20"/>
          <w:lang w:val="es-ES"/>
        </w:rPr>
        <w:t>e</w:t>
      </w:r>
      <w:r w:rsidRPr="007040F4">
        <w:rPr>
          <w:rFonts w:ascii="Verdana" w:hAnsi="Verdana"/>
          <w:sz w:val="20"/>
          <w:szCs w:val="20"/>
          <w:lang w:val="es-ES"/>
        </w:rPr>
        <w:t xml:space="preserve">jecutivos, así como la sentencia de la Corte Constitucional, </w:t>
      </w:r>
      <w:r w:rsidRPr="00F20254">
        <w:rPr>
          <w:rFonts w:ascii="Verdana" w:hAnsi="Verdana"/>
          <w:sz w:val="20"/>
          <w:szCs w:val="20"/>
          <w:lang w:val="es-ES"/>
        </w:rPr>
        <w:t xml:space="preserve">intrínsecamente incluyen que se le ascienda al grado superior de General de Brigada.  Además, </w:t>
      </w:r>
      <w:r w:rsidRPr="0059593D">
        <w:rPr>
          <w:rFonts w:ascii="Verdana" w:hAnsi="Verdana"/>
          <w:sz w:val="20"/>
          <w:szCs w:val="20"/>
          <w:lang w:val="es-ES"/>
        </w:rPr>
        <w:t>en sus alegatos finales, el señor Mejía Idrovo señaló que el 22 de marzo de 2011 el Consejo de Oficiales Generales resolvió calificarlo como no apto para el ascenso al grado de General de Brigada</w:t>
      </w:r>
      <w:r>
        <w:rPr>
          <w:rFonts w:ascii="Verdana" w:hAnsi="Verdana"/>
          <w:sz w:val="20"/>
          <w:szCs w:val="20"/>
          <w:lang w:val="es-ES"/>
        </w:rPr>
        <w:t>.</w:t>
      </w:r>
      <w:r w:rsidRPr="0059593D">
        <w:rPr>
          <w:rFonts w:ascii="Verdana" w:hAnsi="Verdana"/>
          <w:sz w:val="20"/>
          <w:szCs w:val="20"/>
          <w:lang w:val="es-ES"/>
        </w:rPr>
        <w:t xml:space="preserve"> Por lo que dicho Consejo </w:t>
      </w:r>
      <w:r w:rsidRPr="0090657C">
        <w:rPr>
          <w:rFonts w:ascii="Verdana" w:hAnsi="Verdana"/>
          <w:sz w:val="20"/>
          <w:szCs w:val="20"/>
          <w:lang w:val="es-ES"/>
        </w:rPr>
        <w:t xml:space="preserve">“no procedió conforme lo ordenado en la sentencia </w:t>
      </w:r>
      <w:r>
        <w:rPr>
          <w:rFonts w:ascii="Verdana" w:hAnsi="Verdana"/>
          <w:sz w:val="20"/>
          <w:szCs w:val="20"/>
          <w:lang w:val="es-ES"/>
        </w:rPr>
        <w:t>de la Corte Constitucional en marzo de 2009</w:t>
      </w:r>
      <w:r w:rsidRPr="0090657C">
        <w:rPr>
          <w:rFonts w:ascii="Verdana" w:hAnsi="Verdana"/>
          <w:sz w:val="20"/>
          <w:szCs w:val="20"/>
          <w:lang w:val="es-ES"/>
        </w:rPr>
        <w:t xml:space="preserve"> </w:t>
      </w:r>
      <w:r>
        <w:rPr>
          <w:rFonts w:ascii="Verdana" w:hAnsi="Verdana"/>
          <w:sz w:val="20"/>
          <w:szCs w:val="20"/>
          <w:lang w:val="es-ES"/>
        </w:rPr>
        <w:t>[…]</w:t>
      </w:r>
      <w:r w:rsidRPr="0090657C">
        <w:rPr>
          <w:rFonts w:ascii="Verdana" w:hAnsi="Verdana"/>
          <w:sz w:val="20"/>
          <w:szCs w:val="20"/>
          <w:lang w:val="es-ES"/>
        </w:rPr>
        <w:t>, sino que volvió al inicio, como que José Idrovo recién se presentara a un proceso de calificación para su ascenso”.</w:t>
      </w:r>
      <w:r>
        <w:rPr>
          <w:rFonts w:ascii="Verdana" w:hAnsi="Verdana"/>
          <w:sz w:val="20"/>
          <w:szCs w:val="20"/>
          <w:lang w:val="es-ES"/>
        </w:rPr>
        <w:t xml:space="preserve"> </w:t>
      </w:r>
      <w:r w:rsidRPr="0059593D">
        <w:rPr>
          <w:rFonts w:ascii="Verdana" w:hAnsi="Verdana"/>
          <w:sz w:val="20"/>
          <w:szCs w:val="20"/>
          <w:lang w:val="es-ES"/>
        </w:rPr>
        <w:t>Posteriormente, mediante prueba superviniente, los representantes y el Estado</w:t>
      </w:r>
      <w:r w:rsidRPr="00E54456">
        <w:rPr>
          <w:rFonts w:ascii="Verdana" w:hAnsi="Verdana"/>
          <w:sz w:val="20"/>
          <w:szCs w:val="20"/>
          <w:lang w:val="es-ES"/>
        </w:rPr>
        <w:t xml:space="preserve"> informaron que ante un pedido de impugnación, el</w:t>
      </w:r>
      <w:r w:rsidRPr="00F20254">
        <w:rPr>
          <w:rFonts w:ascii="Verdana" w:hAnsi="Verdana"/>
          <w:sz w:val="20"/>
          <w:szCs w:val="20"/>
          <w:lang w:val="es-ES"/>
        </w:rPr>
        <w:t xml:space="preserve"> 6 de abril de 2011 el mismo Consejo ratificó su decisión.</w:t>
      </w:r>
    </w:p>
    <w:p w:rsidR="00F249DD" w:rsidRPr="007040F4" w:rsidRDefault="00F249DD" w:rsidP="003935C5">
      <w:pPr>
        <w:jc w:val="both"/>
        <w:rPr>
          <w:rFonts w:ascii="Verdana" w:hAnsi="Verdana"/>
          <w:sz w:val="20"/>
          <w:szCs w:val="20"/>
          <w:lang w:val="es-ES"/>
        </w:rPr>
      </w:pPr>
    </w:p>
    <w:p w:rsidR="00F249DD" w:rsidRPr="007040F4" w:rsidRDefault="00F249DD" w:rsidP="003935C5">
      <w:pPr>
        <w:numPr>
          <w:ilvl w:val="0"/>
          <w:numId w:val="56"/>
        </w:numPr>
        <w:tabs>
          <w:tab w:val="clear" w:pos="1170"/>
        </w:tabs>
        <w:ind w:left="0"/>
        <w:jc w:val="both"/>
        <w:rPr>
          <w:rFonts w:ascii="Verdana" w:hAnsi="Verdana"/>
          <w:sz w:val="20"/>
          <w:szCs w:val="20"/>
          <w:lang w:val="es-ES"/>
        </w:rPr>
      </w:pPr>
      <w:r>
        <w:rPr>
          <w:rFonts w:ascii="Verdana" w:hAnsi="Verdana"/>
          <w:sz w:val="20"/>
          <w:szCs w:val="20"/>
          <w:lang w:val="es-ES"/>
        </w:rPr>
        <w:t xml:space="preserve">Al respecto, la Corte </w:t>
      </w:r>
      <w:r w:rsidRPr="0059593D">
        <w:rPr>
          <w:rFonts w:ascii="Verdana" w:hAnsi="Verdana"/>
          <w:sz w:val="20"/>
          <w:szCs w:val="20"/>
          <w:lang w:val="es-ES"/>
        </w:rPr>
        <w:t xml:space="preserve">observa </w:t>
      </w:r>
      <w:r w:rsidRPr="007040F4">
        <w:rPr>
          <w:rFonts w:ascii="Verdana" w:hAnsi="Verdana"/>
          <w:sz w:val="20"/>
          <w:szCs w:val="20"/>
          <w:lang w:val="es-ES"/>
        </w:rPr>
        <w:t>lo establecido en las citadas sentencias del T</w:t>
      </w:r>
      <w:r>
        <w:rPr>
          <w:rFonts w:ascii="Verdana" w:hAnsi="Verdana"/>
          <w:sz w:val="20"/>
          <w:szCs w:val="20"/>
          <w:lang w:val="es-ES"/>
        </w:rPr>
        <w:t xml:space="preserve">ribunal </w:t>
      </w:r>
      <w:r w:rsidRPr="007040F4">
        <w:rPr>
          <w:rFonts w:ascii="Verdana" w:hAnsi="Verdana"/>
          <w:sz w:val="20"/>
          <w:szCs w:val="20"/>
          <w:lang w:val="es-ES"/>
        </w:rPr>
        <w:t>C</w:t>
      </w:r>
      <w:r>
        <w:rPr>
          <w:rFonts w:ascii="Verdana" w:hAnsi="Verdana"/>
          <w:sz w:val="20"/>
          <w:szCs w:val="20"/>
          <w:lang w:val="es-ES"/>
        </w:rPr>
        <w:t>onstitucional</w:t>
      </w:r>
      <w:r w:rsidRPr="007040F4">
        <w:rPr>
          <w:rFonts w:ascii="Verdana" w:hAnsi="Verdana"/>
          <w:sz w:val="20"/>
          <w:szCs w:val="20"/>
          <w:lang w:val="es-ES"/>
        </w:rPr>
        <w:t xml:space="preserve"> y C</w:t>
      </w:r>
      <w:r>
        <w:rPr>
          <w:rFonts w:ascii="Verdana" w:hAnsi="Verdana"/>
          <w:sz w:val="20"/>
          <w:szCs w:val="20"/>
          <w:lang w:val="es-ES"/>
        </w:rPr>
        <w:t xml:space="preserve">orte </w:t>
      </w:r>
      <w:r w:rsidRPr="007040F4">
        <w:rPr>
          <w:rFonts w:ascii="Verdana" w:hAnsi="Verdana"/>
          <w:sz w:val="20"/>
          <w:szCs w:val="20"/>
          <w:lang w:val="es-ES"/>
        </w:rPr>
        <w:t>C</w:t>
      </w:r>
      <w:r>
        <w:rPr>
          <w:rFonts w:ascii="Verdana" w:hAnsi="Verdana"/>
          <w:sz w:val="20"/>
          <w:szCs w:val="20"/>
          <w:lang w:val="es-ES"/>
        </w:rPr>
        <w:t>onstitucional,</w:t>
      </w:r>
      <w:r w:rsidRPr="007040F4">
        <w:rPr>
          <w:rFonts w:ascii="Verdana" w:hAnsi="Verdana"/>
          <w:sz w:val="20"/>
          <w:szCs w:val="20"/>
          <w:lang w:val="es-ES"/>
        </w:rPr>
        <w:t xml:space="preserve"> en específico lo dispuesto en la sentencia de aclaración de la Corte Constitucional de 11 de marzo de 20</w:t>
      </w:r>
      <w:r>
        <w:rPr>
          <w:rFonts w:ascii="Verdana" w:hAnsi="Verdana"/>
          <w:sz w:val="20"/>
          <w:szCs w:val="20"/>
          <w:lang w:val="es-ES"/>
        </w:rPr>
        <w:t>10</w:t>
      </w:r>
      <w:r w:rsidRPr="007040F4">
        <w:rPr>
          <w:rFonts w:ascii="Verdana" w:hAnsi="Verdana"/>
          <w:sz w:val="20"/>
          <w:szCs w:val="20"/>
          <w:lang w:val="es-ES"/>
        </w:rPr>
        <w:t>, mediante la cual dispuso que la reincorporación debe darse en las condiciones que se encontraba al momento de la emisión de los decretos declarados inconstitucionales, es decir</w:t>
      </w:r>
      <w:r>
        <w:rPr>
          <w:rFonts w:ascii="Verdana" w:hAnsi="Verdana"/>
          <w:sz w:val="20"/>
          <w:szCs w:val="20"/>
          <w:lang w:val="es-ES"/>
        </w:rPr>
        <w:t>,</w:t>
      </w:r>
      <w:r w:rsidRPr="007040F4">
        <w:rPr>
          <w:rFonts w:ascii="Verdana" w:hAnsi="Verdana"/>
          <w:sz w:val="20"/>
          <w:szCs w:val="20"/>
          <w:lang w:val="es-ES"/>
        </w:rPr>
        <w:t xml:space="preserve"> su reincorporación al </w:t>
      </w:r>
      <w:r>
        <w:rPr>
          <w:rFonts w:ascii="Verdana" w:hAnsi="Verdana"/>
          <w:sz w:val="20"/>
          <w:szCs w:val="20"/>
          <w:lang w:val="es-ES"/>
        </w:rPr>
        <w:t>g</w:t>
      </w:r>
      <w:r w:rsidRPr="007040F4">
        <w:rPr>
          <w:rFonts w:ascii="Verdana" w:hAnsi="Verdana"/>
          <w:sz w:val="20"/>
          <w:szCs w:val="20"/>
          <w:lang w:val="es-ES"/>
        </w:rPr>
        <w:t>rado de Coronel (</w:t>
      </w:r>
      <w:r w:rsidRPr="007040F4">
        <w:rPr>
          <w:rFonts w:ascii="Verdana" w:hAnsi="Verdana"/>
          <w:i/>
          <w:sz w:val="20"/>
          <w:szCs w:val="20"/>
          <w:lang w:val="es-ES"/>
        </w:rPr>
        <w:t>supra</w:t>
      </w:r>
      <w:r w:rsidRPr="007040F4">
        <w:rPr>
          <w:rFonts w:ascii="Verdana" w:hAnsi="Verdana"/>
          <w:sz w:val="20"/>
          <w:szCs w:val="20"/>
          <w:lang w:val="es-ES"/>
        </w:rPr>
        <w:t xml:space="preserve"> párr. </w:t>
      </w:r>
      <w:r>
        <w:rPr>
          <w:rFonts w:ascii="Verdana" w:hAnsi="Verdana"/>
          <w:sz w:val="20"/>
          <w:szCs w:val="20"/>
          <w:lang w:val="es-ES"/>
        </w:rPr>
        <w:t>58</w:t>
      </w:r>
      <w:r w:rsidRPr="007040F4">
        <w:rPr>
          <w:rFonts w:ascii="Verdana" w:hAnsi="Verdana"/>
          <w:sz w:val="20"/>
          <w:szCs w:val="20"/>
          <w:lang w:val="es-ES"/>
        </w:rPr>
        <w:t xml:space="preserve">). </w:t>
      </w:r>
    </w:p>
    <w:p w:rsidR="00F249DD" w:rsidRPr="007040F4" w:rsidRDefault="00F249DD" w:rsidP="003935C5">
      <w:pPr>
        <w:jc w:val="both"/>
        <w:rPr>
          <w:rFonts w:ascii="Verdana" w:hAnsi="Verdana"/>
          <w:sz w:val="20"/>
          <w:szCs w:val="20"/>
          <w:lang w:val="es-ES"/>
        </w:rPr>
      </w:pPr>
    </w:p>
    <w:p w:rsidR="00F249DD" w:rsidRPr="007040F4" w:rsidRDefault="00F249DD" w:rsidP="003935C5">
      <w:pPr>
        <w:numPr>
          <w:ilvl w:val="0"/>
          <w:numId w:val="56"/>
        </w:numPr>
        <w:tabs>
          <w:tab w:val="clear" w:pos="1170"/>
        </w:tabs>
        <w:ind w:left="0"/>
        <w:jc w:val="both"/>
        <w:rPr>
          <w:rFonts w:ascii="Verdana" w:hAnsi="Verdana"/>
          <w:sz w:val="20"/>
          <w:szCs w:val="20"/>
          <w:lang w:val="es-ES"/>
        </w:rPr>
      </w:pPr>
      <w:r w:rsidRPr="007040F4">
        <w:rPr>
          <w:rFonts w:ascii="Verdana" w:hAnsi="Verdana"/>
          <w:sz w:val="20"/>
          <w:szCs w:val="20"/>
          <w:lang w:val="es-ES"/>
        </w:rPr>
        <w:t>Asimismo, el Tribunal observa que la sentencia de aclaración de la Corte Constitucional precisó que:</w:t>
      </w:r>
    </w:p>
    <w:p w:rsidR="00F249DD" w:rsidRPr="001C0CD1" w:rsidRDefault="00F249DD" w:rsidP="003935C5">
      <w:pPr>
        <w:jc w:val="both"/>
        <w:rPr>
          <w:rFonts w:ascii="Verdana" w:hAnsi="Verdana"/>
          <w:sz w:val="16"/>
          <w:szCs w:val="16"/>
          <w:lang w:val="es-ES"/>
        </w:rPr>
      </w:pPr>
    </w:p>
    <w:p w:rsidR="00F249DD" w:rsidRPr="001C0CD1" w:rsidRDefault="00F249DD" w:rsidP="003935C5">
      <w:pPr>
        <w:ind w:left="720" w:right="720"/>
        <w:jc w:val="both"/>
        <w:rPr>
          <w:rFonts w:ascii="Verdana" w:hAnsi="Verdana"/>
          <w:sz w:val="16"/>
          <w:szCs w:val="16"/>
          <w:lang w:val="es-ES"/>
        </w:rPr>
      </w:pPr>
      <w:r w:rsidRPr="001C0CD1">
        <w:rPr>
          <w:rFonts w:ascii="Verdana" w:hAnsi="Verdana"/>
          <w:sz w:val="16"/>
          <w:szCs w:val="16"/>
          <w:lang w:val="es-ES"/>
        </w:rPr>
        <w:t>[E]l caso objeto de análisis</w:t>
      </w:r>
      <w:r>
        <w:rPr>
          <w:rFonts w:ascii="Verdana" w:hAnsi="Verdana"/>
          <w:sz w:val="16"/>
          <w:szCs w:val="16"/>
          <w:lang w:val="es-ES"/>
        </w:rPr>
        <w:t>,</w:t>
      </w:r>
      <w:r w:rsidRPr="001C0CD1">
        <w:rPr>
          <w:rFonts w:ascii="Verdana" w:hAnsi="Verdana"/>
          <w:sz w:val="16"/>
          <w:szCs w:val="16"/>
          <w:lang w:val="es-ES"/>
        </w:rPr>
        <w:t xml:space="preserve"> es de aquellos en que es imposible retrotraerse al estado anterior, de manera absoluta, porque hacerlo, equivaldría a desconocer situaciones que emergieron al mundo jurídico dentro de las Fuerzas Armadas. […] La Corte insiste en que de haberse cumplido con todos los requisitos para el correspondiente ascenso del accionante a</w:t>
      </w:r>
      <w:r>
        <w:rPr>
          <w:rFonts w:ascii="Verdana" w:hAnsi="Verdana"/>
          <w:sz w:val="16"/>
          <w:szCs w:val="16"/>
          <w:lang w:val="es-ES"/>
        </w:rPr>
        <w:t>l</w:t>
      </w:r>
      <w:r w:rsidRPr="001C0CD1">
        <w:rPr>
          <w:rFonts w:ascii="Verdana" w:hAnsi="Verdana"/>
          <w:sz w:val="16"/>
          <w:szCs w:val="16"/>
          <w:lang w:val="es-ES"/>
        </w:rPr>
        <w:t xml:space="preserve"> Grado de General de Brigada, esto deberá efectuarse conforme a la </w:t>
      </w:r>
      <w:r>
        <w:rPr>
          <w:rFonts w:ascii="Verdana" w:hAnsi="Verdana"/>
          <w:sz w:val="16"/>
          <w:szCs w:val="16"/>
          <w:lang w:val="es-ES"/>
        </w:rPr>
        <w:t>L</w:t>
      </w:r>
      <w:r w:rsidRPr="001C0CD1">
        <w:rPr>
          <w:rFonts w:ascii="Verdana" w:hAnsi="Verdana"/>
          <w:sz w:val="16"/>
          <w:szCs w:val="16"/>
          <w:lang w:val="es-ES"/>
        </w:rPr>
        <w:t xml:space="preserve">ey y </w:t>
      </w:r>
      <w:r>
        <w:rPr>
          <w:rFonts w:ascii="Verdana" w:hAnsi="Verdana"/>
          <w:sz w:val="16"/>
          <w:szCs w:val="16"/>
          <w:lang w:val="es-ES"/>
        </w:rPr>
        <w:t>R</w:t>
      </w:r>
      <w:r w:rsidRPr="001C0CD1">
        <w:rPr>
          <w:rFonts w:ascii="Verdana" w:hAnsi="Verdana"/>
          <w:sz w:val="16"/>
          <w:szCs w:val="16"/>
          <w:lang w:val="es-ES"/>
        </w:rPr>
        <w:t>eglamentos que rigen la actividad militar. […] La Corte reconoce los derechos patrimoniales del accionante; es decir, el derecho a recibir una indemnización material de acuerdo a las normas legales y reglamentarias</w:t>
      </w:r>
      <w:r w:rsidRPr="001C0CD1">
        <w:rPr>
          <w:rFonts w:ascii="Verdana" w:hAnsi="Verdana"/>
          <w:sz w:val="16"/>
          <w:szCs w:val="16"/>
          <w:vertAlign w:val="superscript"/>
          <w:lang w:val="es-ES"/>
        </w:rPr>
        <w:footnoteReference w:id="82"/>
      </w:r>
      <w:r w:rsidRPr="001C0CD1">
        <w:rPr>
          <w:rFonts w:ascii="Verdana" w:hAnsi="Verdana"/>
          <w:sz w:val="16"/>
          <w:szCs w:val="16"/>
          <w:lang w:val="es-ES"/>
        </w:rPr>
        <w:t xml:space="preserve">. </w:t>
      </w:r>
    </w:p>
    <w:p w:rsidR="00F249DD" w:rsidRPr="007040F4" w:rsidRDefault="00F249DD" w:rsidP="003935C5">
      <w:pPr>
        <w:jc w:val="both"/>
        <w:rPr>
          <w:rFonts w:ascii="Verdana" w:hAnsi="Verdana"/>
          <w:sz w:val="20"/>
          <w:szCs w:val="20"/>
          <w:u w:val="single"/>
          <w:lang w:val="es-ES"/>
        </w:rPr>
      </w:pPr>
    </w:p>
    <w:p w:rsidR="00F249DD" w:rsidRPr="00D020E0" w:rsidRDefault="00F249DD" w:rsidP="003935C5">
      <w:pPr>
        <w:numPr>
          <w:ilvl w:val="0"/>
          <w:numId w:val="56"/>
        </w:numPr>
        <w:tabs>
          <w:tab w:val="clear" w:pos="1170"/>
        </w:tabs>
        <w:ind w:left="0"/>
        <w:jc w:val="both"/>
        <w:rPr>
          <w:rFonts w:ascii="Verdana" w:hAnsi="Verdana"/>
          <w:sz w:val="20"/>
          <w:szCs w:val="20"/>
          <w:u w:val="single"/>
          <w:lang w:val="es-ES"/>
        </w:rPr>
      </w:pPr>
      <w:r w:rsidRPr="00D020E0">
        <w:rPr>
          <w:rFonts w:ascii="Verdana" w:hAnsi="Verdana"/>
          <w:sz w:val="20"/>
          <w:szCs w:val="20"/>
          <w:lang w:val="es-ES"/>
        </w:rPr>
        <w:t xml:space="preserve">En razón de lo anterior, </w:t>
      </w:r>
      <w:r w:rsidRPr="0059593D">
        <w:rPr>
          <w:rFonts w:ascii="Verdana" w:hAnsi="Verdana"/>
          <w:sz w:val="20"/>
          <w:szCs w:val="20"/>
          <w:lang w:val="es-ES"/>
        </w:rPr>
        <w:t xml:space="preserve">la Corte constata que dichas decisiones </w:t>
      </w:r>
      <w:r>
        <w:rPr>
          <w:rFonts w:ascii="Verdana" w:hAnsi="Verdana"/>
          <w:sz w:val="20"/>
          <w:szCs w:val="20"/>
          <w:lang w:val="es-ES"/>
        </w:rPr>
        <w:t xml:space="preserve">de 2009 y 2010, </w:t>
      </w:r>
      <w:r w:rsidRPr="0059593D">
        <w:rPr>
          <w:rFonts w:ascii="Verdana" w:hAnsi="Verdana"/>
          <w:sz w:val="20"/>
          <w:szCs w:val="20"/>
          <w:lang w:val="es-ES"/>
        </w:rPr>
        <w:t>son</w:t>
      </w:r>
      <w:r w:rsidRPr="00C0121F">
        <w:rPr>
          <w:rFonts w:ascii="Verdana" w:hAnsi="Verdana"/>
          <w:sz w:val="20"/>
          <w:szCs w:val="20"/>
          <w:lang w:val="es-ES"/>
        </w:rPr>
        <w:t xml:space="preserve"> claras</w:t>
      </w:r>
      <w:r w:rsidRPr="00D020E0">
        <w:rPr>
          <w:rFonts w:ascii="Verdana" w:hAnsi="Verdana"/>
          <w:sz w:val="20"/>
          <w:szCs w:val="20"/>
          <w:lang w:val="es-ES"/>
        </w:rPr>
        <w:t xml:space="preserve"> al establecer la reincorporación del accionante al grado en el que se encontraba y no así su inmediato ascenso</w:t>
      </w:r>
      <w:r>
        <w:rPr>
          <w:rFonts w:ascii="Verdana" w:hAnsi="Verdana"/>
          <w:sz w:val="20"/>
          <w:szCs w:val="20"/>
          <w:lang w:val="es-ES"/>
        </w:rPr>
        <w:t>.</w:t>
      </w:r>
    </w:p>
    <w:p w:rsidR="00F249DD" w:rsidRPr="007040F4" w:rsidRDefault="00F249DD" w:rsidP="003935C5">
      <w:pPr>
        <w:pStyle w:val="Ttulo3"/>
        <w:numPr>
          <w:ilvl w:val="0"/>
          <w:numId w:val="0"/>
        </w:numPr>
        <w:rPr>
          <w:lang w:val="es-ES"/>
        </w:rPr>
      </w:pPr>
      <w:bookmarkStart w:id="241" w:name="_Toc294626203"/>
      <w:bookmarkStart w:id="242" w:name="_Toc294633779"/>
      <w:bookmarkStart w:id="243" w:name="_Toc294634489"/>
      <w:bookmarkStart w:id="244" w:name="_Toc294635317"/>
      <w:bookmarkStart w:id="245" w:name="_Toc294862710"/>
      <w:bookmarkStart w:id="246" w:name="_Toc294862773"/>
      <w:bookmarkStart w:id="247" w:name="_Toc295380324"/>
      <w:bookmarkStart w:id="248" w:name="_Toc295394476"/>
      <w:bookmarkStart w:id="249" w:name="_Toc295394630"/>
      <w:bookmarkStart w:id="250" w:name="_Toc295986082"/>
      <w:bookmarkStart w:id="251" w:name="_Toc295986299"/>
      <w:bookmarkStart w:id="252" w:name="_Toc295986419"/>
      <w:r w:rsidRPr="007040F4">
        <w:rPr>
          <w:lang w:val="es-ES"/>
        </w:rPr>
        <w:t>b)</w:t>
      </w:r>
      <w:r w:rsidRPr="007040F4">
        <w:rPr>
          <w:lang w:val="es-ES"/>
        </w:rPr>
        <w:tab/>
      </w:r>
      <w:r>
        <w:rPr>
          <w:lang w:val="es-ES"/>
        </w:rPr>
        <w:t>T</w:t>
      </w:r>
      <w:hyperlink w:anchor="_Toc255292703" w:history="1">
        <w:r w:rsidRPr="007040F4">
          <w:rPr>
            <w:rStyle w:val="Hipervnculo"/>
            <w:rFonts w:cs="Arial"/>
            <w:color w:val="auto"/>
            <w:u w:val="none"/>
            <w:lang w:val="es-ES"/>
          </w:rPr>
          <w:t>utela judicial efectiva en l</w:t>
        </w:r>
        <w:r>
          <w:rPr>
            <w:rStyle w:val="Hipervnculo"/>
            <w:rFonts w:cs="Arial"/>
            <w:color w:val="auto"/>
            <w:u w:val="none"/>
            <w:lang w:val="es-ES"/>
          </w:rPr>
          <w:t xml:space="preserve">a ejecución de fallos internos (Artículos 25.2.c) </w:t>
        </w:r>
        <w:r w:rsidRPr="007040F4">
          <w:rPr>
            <w:rStyle w:val="Hipervnculo"/>
            <w:rFonts w:cs="Arial"/>
            <w:color w:val="auto"/>
            <w:u w:val="none"/>
            <w:lang w:val="es-ES"/>
          </w:rPr>
          <w:t>de la Convención Americana)</w:t>
        </w:r>
        <w:bookmarkEnd w:id="241"/>
        <w:bookmarkEnd w:id="242"/>
        <w:bookmarkEnd w:id="243"/>
        <w:bookmarkEnd w:id="244"/>
        <w:bookmarkEnd w:id="245"/>
        <w:bookmarkEnd w:id="246"/>
        <w:bookmarkEnd w:id="247"/>
        <w:bookmarkEnd w:id="248"/>
        <w:bookmarkEnd w:id="249"/>
        <w:bookmarkEnd w:id="250"/>
        <w:bookmarkEnd w:id="251"/>
        <w:bookmarkEnd w:id="252"/>
        <w:r w:rsidRPr="007040F4">
          <w:rPr>
            <w:rStyle w:val="Hipervnculo"/>
            <w:rFonts w:cs="Arial"/>
            <w:webHidden/>
            <w:color w:val="auto"/>
            <w:u w:val="none"/>
            <w:lang w:val="es-ES"/>
          </w:rPr>
          <w:tab/>
        </w:r>
      </w:hyperlink>
    </w:p>
    <w:p w:rsidR="00F249DD" w:rsidRPr="007040F4" w:rsidRDefault="00F249DD" w:rsidP="003935C5">
      <w:pPr>
        <w:jc w:val="both"/>
        <w:rPr>
          <w:rFonts w:ascii="Verdana" w:hAnsi="Verdana"/>
          <w:sz w:val="20"/>
          <w:szCs w:val="20"/>
          <w:lang w:val="es-ES"/>
        </w:rPr>
      </w:pPr>
    </w:p>
    <w:p w:rsidR="00F249DD" w:rsidRPr="007040F4" w:rsidRDefault="00F249DD" w:rsidP="003935C5">
      <w:pPr>
        <w:numPr>
          <w:ilvl w:val="0"/>
          <w:numId w:val="56"/>
        </w:numPr>
        <w:tabs>
          <w:tab w:val="clear" w:pos="1170"/>
        </w:tabs>
        <w:ind w:left="0"/>
        <w:jc w:val="both"/>
        <w:rPr>
          <w:rFonts w:ascii="Verdana" w:hAnsi="Verdana"/>
          <w:sz w:val="20"/>
          <w:szCs w:val="20"/>
          <w:lang w:val="es-ES"/>
        </w:rPr>
      </w:pPr>
      <w:r w:rsidRPr="007040F4">
        <w:rPr>
          <w:rFonts w:ascii="Verdana" w:hAnsi="Verdana"/>
          <w:sz w:val="20"/>
          <w:szCs w:val="20"/>
          <w:lang w:val="es-ES"/>
        </w:rPr>
        <w:t>El artículo 25.2</w:t>
      </w:r>
      <w:r>
        <w:rPr>
          <w:rFonts w:ascii="Verdana" w:hAnsi="Verdana"/>
          <w:sz w:val="20"/>
          <w:szCs w:val="20"/>
          <w:lang w:val="es-ES"/>
        </w:rPr>
        <w:t>.</w:t>
      </w:r>
      <w:r w:rsidRPr="007040F4">
        <w:rPr>
          <w:rFonts w:ascii="Verdana" w:hAnsi="Verdana"/>
          <w:sz w:val="20"/>
          <w:szCs w:val="20"/>
          <w:lang w:val="es-ES"/>
        </w:rPr>
        <w:t xml:space="preserve">c) de </w:t>
      </w:r>
      <w:r w:rsidRPr="0059593D">
        <w:rPr>
          <w:rFonts w:ascii="Verdana" w:hAnsi="Verdana"/>
          <w:sz w:val="20"/>
          <w:szCs w:val="20"/>
          <w:lang w:val="es-ES"/>
        </w:rPr>
        <w:t>la Convención establece</w:t>
      </w:r>
      <w:r w:rsidRPr="00C0121F">
        <w:rPr>
          <w:rFonts w:ascii="Verdana" w:hAnsi="Verdana"/>
          <w:sz w:val="20"/>
          <w:szCs w:val="20"/>
          <w:lang w:val="es-ES"/>
        </w:rPr>
        <w:t xml:space="preserve"> que</w:t>
      </w:r>
      <w:r w:rsidRPr="007040F4">
        <w:rPr>
          <w:rFonts w:ascii="Verdana" w:hAnsi="Verdana"/>
          <w:sz w:val="20"/>
          <w:szCs w:val="20"/>
          <w:lang w:val="es-ES"/>
        </w:rPr>
        <w:t xml:space="preserve"> los Estados se comprometen a “garantizar el cumplimiento, por las autoridades competentes, de toda decisión en que se haya estimado procedente el recurso”</w:t>
      </w:r>
      <w:r w:rsidRPr="007040F4">
        <w:rPr>
          <w:rFonts w:ascii="Verdana" w:hAnsi="Verdana"/>
          <w:sz w:val="20"/>
          <w:szCs w:val="20"/>
          <w:vertAlign w:val="superscript"/>
          <w:lang w:val="es-ES"/>
        </w:rPr>
        <w:footnoteReference w:id="83"/>
      </w:r>
      <w:r w:rsidRPr="007040F4">
        <w:rPr>
          <w:rFonts w:ascii="Verdana" w:hAnsi="Verdana"/>
          <w:sz w:val="20"/>
          <w:szCs w:val="20"/>
          <w:lang w:val="es-ES"/>
        </w:rPr>
        <w:t>.</w:t>
      </w:r>
    </w:p>
    <w:p w:rsidR="00F249DD" w:rsidRPr="007040F4" w:rsidRDefault="00F249DD" w:rsidP="003935C5">
      <w:pPr>
        <w:jc w:val="both"/>
        <w:rPr>
          <w:rFonts w:ascii="Verdana" w:hAnsi="Verdana"/>
          <w:sz w:val="20"/>
          <w:szCs w:val="20"/>
          <w:lang w:val="es-ES"/>
        </w:rPr>
      </w:pPr>
    </w:p>
    <w:p w:rsidR="00F249DD" w:rsidRDefault="00F249DD" w:rsidP="003935C5">
      <w:pPr>
        <w:numPr>
          <w:ilvl w:val="0"/>
          <w:numId w:val="56"/>
        </w:numPr>
        <w:tabs>
          <w:tab w:val="clear" w:pos="1170"/>
        </w:tabs>
        <w:ind w:left="0"/>
        <w:jc w:val="both"/>
        <w:rPr>
          <w:rFonts w:ascii="Verdana" w:hAnsi="Verdana"/>
          <w:sz w:val="20"/>
          <w:szCs w:val="20"/>
          <w:lang w:val="es-ES"/>
        </w:rPr>
      </w:pPr>
      <w:r w:rsidRPr="00EA549D">
        <w:rPr>
          <w:rFonts w:ascii="Verdana" w:hAnsi="Verdana"/>
          <w:sz w:val="20"/>
          <w:szCs w:val="20"/>
          <w:highlight w:val="yellow"/>
          <w:lang w:val="es-ES"/>
        </w:rPr>
        <w:t>Así, la Corte ha señalado que “[e]n los términos del artículo 25 de la Convención, es posible identificar dos responsabilidades concretas del Estado. La primera, consagrar normativamente y asegurar la debida aplicación de recursos efectivos ante las autoridades competentes, que amparen a todas las personas bajo su jurisdicción contra actos que violen sus derechos fundamentales o que conlleven a la determinación de los derechos y obligaciones de éstas. La segunda, garantizar los medios para ejecutar las respectivas decisiones y sentencias definitivas emitidas por tales autoridades competentes</w:t>
      </w:r>
      <w:r w:rsidRPr="007040F4">
        <w:rPr>
          <w:rFonts w:ascii="Verdana" w:hAnsi="Verdana"/>
          <w:sz w:val="20"/>
          <w:szCs w:val="20"/>
          <w:vertAlign w:val="superscript"/>
          <w:lang w:val="es-ES"/>
        </w:rPr>
        <w:footnoteReference w:id="84"/>
      </w:r>
      <w:r w:rsidRPr="007040F4">
        <w:rPr>
          <w:rFonts w:ascii="Verdana" w:hAnsi="Verdana"/>
          <w:sz w:val="20"/>
          <w:szCs w:val="20"/>
          <w:lang w:val="es-ES"/>
        </w:rPr>
        <w:t>, de manera que se protejan efectivamente los derechos declarados o reconocidos. El proceso debe tender a la materialización de la protección del derecho reconocido en el pronunciamiento judicial mediante la aplicación idónea de dicho pronunciamiento</w:t>
      </w:r>
      <w:r w:rsidRPr="007040F4">
        <w:rPr>
          <w:rFonts w:ascii="Verdana" w:hAnsi="Verdana"/>
          <w:sz w:val="20"/>
          <w:szCs w:val="20"/>
          <w:vertAlign w:val="superscript"/>
          <w:lang w:val="es-ES"/>
        </w:rPr>
        <w:footnoteReference w:id="85"/>
      </w:r>
      <w:r w:rsidRPr="007040F4">
        <w:rPr>
          <w:rFonts w:ascii="Verdana" w:hAnsi="Verdana"/>
          <w:sz w:val="20"/>
          <w:szCs w:val="20"/>
          <w:lang w:val="es-ES"/>
        </w:rPr>
        <w:t>”.</w:t>
      </w:r>
      <w:r>
        <w:rPr>
          <w:rFonts w:ascii="Verdana" w:hAnsi="Verdana"/>
          <w:sz w:val="20"/>
          <w:szCs w:val="20"/>
          <w:lang w:val="es-ES"/>
        </w:rPr>
        <w:t xml:space="preserve"> </w:t>
      </w:r>
      <w:r w:rsidRPr="007040F4">
        <w:rPr>
          <w:rFonts w:ascii="Verdana" w:hAnsi="Verdana"/>
          <w:sz w:val="20"/>
          <w:szCs w:val="20"/>
          <w:lang w:val="es-ES"/>
        </w:rPr>
        <w:t>Por tanto, “la efectividad de las sentencias depende de su ejecución. Esto último, debido a que una sentencia con carácter de cosa juzgada otorga certeza sobre el derecho o controversia discutida en el caso concreto y, por ende, tiene como uno de sus efectos la obligatoriedad o necesidad de cumplimiento. Lo contrario supone la negación misma del derecho involucrado”</w:t>
      </w:r>
      <w:r w:rsidRPr="007040F4">
        <w:rPr>
          <w:rFonts w:ascii="Verdana" w:hAnsi="Verdana"/>
          <w:sz w:val="20"/>
          <w:szCs w:val="20"/>
          <w:vertAlign w:val="superscript"/>
          <w:lang w:val="es-ES"/>
        </w:rPr>
        <w:footnoteReference w:id="86"/>
      </w:r>
      <w:r w:rsidRPr="007040F4">
        <w:rPr>
          <w:rFonts w:ascii="Verdana" w:hAnsi="Verdana"/>
          <w:sz w:val="20"/>
          <w:szCs w:val="20"/>
          <w:lang w:val="es-ES"/>
        </w:rPr>
        <w:t>.</w:t>
      </w:r>
      <w:r w:rsidRPr="00EE302A">
        <w:rPr>
          <w:rFonts w:ascii="Verdana" w:hAnsi="Verdana"/>
          <w:sz w:val="20"/>
          <w:szCs w:val="20"/>
          <w:lang w:val="es-ES"/>
        </w:rPr>
        <w:t xml:space="preserve"> </w:t>
      </w:r>
    </w:p>
    <w:p w:rsidR="00F249DD" w:rsidRPr="007040F4" w:rsidRDefault="00F249DD" w:rsidP="003935C5">
      <w:pPr>
        <w:jc w:val="both"/>
        <w:rPr>
          <w:rFonts w:ascii="Verdana" w:hAnsi="Verdana"/>
          <w:sz w:val="20"/>
          <w:szCs w:val="20"/>
          <w:lang w:val="es-ES"/>
        </w:rPr>
      </w:pPr>
    </w:p>
    <w:p w:rsidR="00F249DD" w:rsidRPr="007040F4" w:rsidRDefault="00F249DD" w:rsidP="003935C5">
      <w:pPr>
        <w:numPr>
          <w:ilvl w:val="0"/>
          <w:numId w:val="56"/>
        </w:numPr>
        <w:tabs>
          <w:tab w:val="clear" w:pos="1170"/>
        </w:tabs>
        <w:ind w:left="0"/>
        <w:jc w:val="both"/>
        <w:rPr>
          <w:rFonts w:ascii="Verdana" w:hAnsi="Verdana"/>
          <w:sz w:val="20"/>
          <w:szCs w:val="20"/>
          <w:lang w:val="es-ES"/>
        </w:rPr>
      </w:pPr>
      <w:r w:rsidRPr="007040F4">
        <w:rPr>
          <w:rFonts w:ascii="Verdana" w:hAnsi="Verdana"/>
          <w:sz w:val="20"/>
          <w:szCs w:val="20"/>
          <w:lang w:val="es-ES"/>
        </w:rPr>
        <w:t xml:space="preserve">La Corte considera que la ejecución de las sentencias debe ser regida por aquellos estándares específicos que permitan hacer efectivos los principios, </w:t>
      </w:r>
      <w:r w:rsidRPr="007040F4">
        <w:rPr>
          <w:rFonts w:ascii="Verdana" w:hAnsi="Verdana"/>
          <w:i/>
          <w:iCs/>
          <w:sz w:val="20"/>
          <w:szCs w:val="20"/>
          <w:lang w:val="es-ES"/>
        </w:rPr>
        <w:t>inter alia,</w:t>
      </w:r>
      <w:r w:rsidRPr="007040F4">
        <w:rPr>
          <w:rFonts w:ascii="Verdana" w:hAnsi="Verdana"/>
          <w:sz w:val="20"/>
          <w:szCs w:val="20"/>
          <w:lang w:val="es-ES"/>
        </w:rPr>
        <w:t xml:space="preserve"> de tutela judicial, debido proceso, seguridad jurídica, independencia judicial, y estado de derecho. La Corte concuerda con el Tribunal Europeo de Derechos Humanos al considerar que para lograr plenamente la efectividad de la sentencia la ejecución debe ser completa, perfecta, integral</w:t>
      </w:r>
      <w:r w:rsidRPr="007040F4">
        <w:rPr>
          <w:rFonts w:ascii="Verdana" w:hAnsi="Verdana"/>
          <w:sz w:val="20"/>
          <w:szCs w:val="20"/>
          <w:vertAlign w:val="superscript"/>
          <w:lang w:val="es-ES"/>
        </w:rPr>
        <w:footnoteReference w:id="87"/>
      </w:r>
      <w:r w:rsidRPr="007040F4">
        <w:rPr>
          <w:rFonts w:ascii="Verdana" w:hAnsi="Verdana"/>
          <w:sz w:val="20"/>
          <w:szCs w:val="20"/>
          <w:lang w:val="es-ES"/>
        </w:rPr>
        <w:t xml:space="preserve"> y sin demora</w:t>
      </w:r>
      <w:r w:rsidRPr="007040F4">
        <w:rPr>
          <w:rFonts w:ascii="Verdana" w:hAnsi="Verdana"/>
          <w:sz w:val="20"/>
          <w:szCs w:val="20"/>
          <w:vertAlign w:val="superscript"/>
          <w:lang w:val="es-ES"/>
        </w:rPr>
        <w:footnoteReference w:id="88"/>
      </w:r>
      <w:r w:rsidRPr="007040F4">
        <w:rPr>
          <w:rFonts w:ascii="Verdana" w:hAnsi="Verdana"/>
          <w:sz w:val="20"/>
          <w:szCs w:val="20"/>
          <w:lang w:val="es-ES"/>
        </w:rPr>
        <w:t xml:space="preserve">. </w:t>
      </w:r>
    </w:p>
    <w:p w:rsidR="00F249DD" w:rsidRPr="007040F4" w:rsidRDefault="00F249DD" w:rsidP="003935C5">
      <w:pPr>
        <w:jc w:val="both"/>
        <w:rPr>
          <w:rFonts w:ascii="Verdana" w:hAnsi="Verdana"/>
          <w:sz w:val="20"/>
          <w:szCs w:val="20"/>
          <w:lang w:val="es-ES"/>
        </w:rPr>
      </w:pPr>
    </w:p>
    <w:p w:rsidR="00F249DD" w:rsidRPr="00FE6CCD" w:rsidRDefault="00F249DD" w:rsidP="003935C5">
      <w:pPr>
        <w:numPr>
          <w:ilvl w:val="0"/>
          <w:numId w:val="56"/>
        </w:numPr>
        <w:tabs>
          <w:tab w:val="clear" w:pos="1170"/>
        </w:tabs>
        <w:ind w:left="0"/>
        <w:jc w:val="both"/>
        <w:rPr>
          <w:rFonts w:ascii="Verdana" w:hAnsi="Verdana"/>
          <w:sz w:val="20"/>
          <w:szCs w:val="20"/>
          <w:lang w:val="es-ES"/>
        </w:rPr>
      </w:pPr>
      <w:r w:rsidRPr="007040F4">
        <w:rPr>
          <w:rFonts w:ascii="Verdana" w:hAnsi="Verdana"/>
          <w:sz w:val="20"/>
          <w:szCs w:val="20"/>
          <w:lang w:val="es-ES"/>
        </w:rPr>
        <w:t>Asimismo, el principio de tutela judicial efectiva requiere que los procedimientos de ejecución sean accesibles para las partes, sin obstáculos o demoras indebidas, a fin de que alcancen su objetivo de manera rápida, sencilla e integral</w:t>
      </w:r>
      <w:r w:rsidRPr="007040F4">
        <w:rPr>
          <w:rFonts w:ascii="Verdana" w:hAnsi="Verdana"/>
          <w:sz w:val="20"/>
          <w:szCs w:val="20"/>
          <w:vertAlign w:val="superscript"/>
          <w:lang w:val="es-ES"/>
        </w:rPr>
        <w:footnoteReference w:id="89"/>
      </w:r>
      <w:r w:rsidRPr="007040F4">
        <w:rPr>
          <w:rFonts w:ascii="Verdana" w:hAnsi="Verdana"/>
          <w:sz w:val="20"/>
          <w:szCs w:val="20"/>
          <w:lang w:val="es-ES"/>
        </w:rPr>
        <w:t>. Adicionalmente, las disposiciones que rigen la independencia del orden jurisdiccional deben estar formuladas de manera idónea para asegurar la puntual ejecución de las sentencias sin que exista interferencia por los otros poderes del Estado</w:t>
      </w:r>
      <w:r w:rsidRPr="007040F4">
        <w:rPr>
          <w:rFonts w:ascii="Verdana" w:hAnsi="Verdana"/>
          <w:sz w:val="20"/>
          <w:szCs w:val="20"/>
          <w:vertAlign w:val="superscript"/>
          <w:lang w:val="es-ES"/>
        </w:rPr>
        <w:footnoteReference w:id="90"/>
      </w:r>
      <w:r w:rsidRPr="007040F4">
        <w:rPr>
          <w:rFonts w:ascii="Verdana" w:hAnsi="Verdana"/>
          <w:sz w:val="20"/>
          <w:szCs w:val="20"/>
          <w:lang w:val="es-ES"/>
        </w:rPr>
        <w:t xml:space="preserve"> y garantizar el carácter vinculante y obligatorio de las decisiones de última instancia</w:t>
      </w:r>
      <w:r w:rsidRPr="007040F4">
        <w:rPr>
          <w:rFonts w:ascii="Verdana" w:hAnsi="Verdana"/>
          <w:sz w:val="20"/>
          <w:szCs w:val="20"/>
          <w:vertAlign w:val="superscript"/>
          <w:lang w:val="es-ES"/>
        </w:rPr>
        <w:footnoteReference w:id="91"/>
      </w:r>
      <w:r w:rsidRPr="007040F4">
        <w:rPr>
          <w:rFonts w:ascii="Verdana" w:hAnsi="Verdana"/>
          <w:sz w:val="20"/>
          <w:szCs w:val="20"/>
          <w:lang w:val="es-ES"/>
        </w:rPr>
        <w:t>. La Corte estima que en un ordenamiento</w:t>
      </w:r>
      <w:r>
        <w:rPr>
          <w:rFonts w:ascii="Verdana" w:hAnsi="Verdana"/>
          <w:sz w:val="20"/>
          <w:szCs w:val="20"/>
          <w:lang w:val="es-ES"/>
        </w:rPr>
        <w:t xml:space="preserve"> basado sobre el principio del E</w:t>
      </w:r>
      <w:r w:rsidRPr="007040F4">
        <w:rPr>
          <w:rFonts w:ascii="Verdana" w:hAnsi="Verdana"/>
          <w:sz w:val="20"/>
          <w:szCs w:val="20"/>
          <w:lang w:val="es-ES"/>
        </w:rPr>
        <w:t>sta</w:t>
      </w:r>
      <w:r>
        <w:rPr>
          <w:rFonts w:ascii="Verdana" w:hAnsi="Verdana"/>
          <w:sz w:val="20"/>
          <w:szCs w:val="20"/>
          <w:lang w:val="es-ES"/>
        </w:rPr>
        <w:t>do de D</w:t>
      </w:r>
      <w:r w:rsidRPr="007040F4">
        <w:rPr>
          <w:rFonts w:ascii="Verdana" w:hAnsi="Verdana"/>
          <w:sz w:val="20"/>
          <w:szCs w:val="20"/>
          <w:lang w:val="es-ES"/>
        </w:rPr>
        <w:t>erecho todas las autoridades públicas, dentro del marco de su competencia, deben atender las decisiones judiciales, así como dar impulso y ejecución a las mismas sin obstaculizar el sentido y alcance de la decisión ni retrasar indebidamente su ejecución</w:t>
      </w:r>
      <w:r w:rsidRPr="007040F4">
        <w:rPr>
          <w:rFonts w:ascii="Verdana" w:hAnsi="Verdana"/>
          <w:sz w:val="20"/>
          <w:szCs w:val="20"/>
          <w:vertAlign w:val="superscript"/>
          <w:lang w:val="es-ES"/>
        </w:rPr>
        <w:footnoteReference w:id="92"/>
      </w:r>
      <w:r w:rsidRPr="007040F4">
        <w:rPr>
          <w:rFonts w:ascii="Verdana" w:hAnsi="Verdana"/>
          <w:sz w:val="20"/>
          <w:szCs w:val="20"/>
          <w:lang w:val="es-ES"/>
        </w:rPr>
        <w:t>.</w:t>
      </w:r>
    </w:p>
    <w:p w:rsidR="00F249DD" w:rsidRPr="007040F4" w:rsidRDefault="00F249DD" w:rsidP="003935C5">
      <w:pPr>
        <w:jc w:val="both"/>
        <w:rPr>
          <w:rFonts w:ascii="Verdana" w:hAnsi="Verdana"/>
          <w:sz w:val="20"/>
          <w:szCs w:val="20"/>
          <w:lang w:val="es-ES"/>
        </w:rPr>
      </w:pPr>
    </w:p>
    <w:p w:rsidR="00F249DD" w:rsidRPr="00D446C7" w:rsidRDefault="00F249DD" w:rsidP="003935C5">
      <w:pPr>
        <w:numPr>
          <w:ilvl w:val="0"/>
          <w:numId w:val="56"/>
        </w:numPr>
        <w:tabs>
          <w:tab w:val="clear" w:pos="1170"/>
        </w:tabs>
        <w:ind w:left="0"/>
        <w:jc w:val="both"/>
        <w:rPr>
          <w:rFonts w:ascii="Verdana" w:hAnsi="Verdana"/>
          <w:sz w:val="20"/>
          <w:szCs w:val="20"/>
          <w:lang w:val="es-ES"/>
        </w:rPr>
      </w:pPr>
      <w:r w:rsidRPr="007040F4">
        <w:rPr>
          <w:rFonts w:ascii="Verdana" w:hAnsi="Verdana"/>
          <w:sz w:val="20"/>
          <w:szCs w:val="20"/>
          <w:lang w:val="es-ES"/>
        </w:rPr>
        <w:t>En el presente caso el señor Mejía</w:t>
      </w:r>
      <w:r>
        <w:rPr>
          <w:rFonts w:ascii="Verdana" w:hAnsi="Verdana"/>
          <w:sz w:val="20"/>
          <w:szCs w:val="20"/>
          <w:lang w:val="es-ES"/>
        </w:rPr>
        <w:t xml:space="preserve"> Idrovo</w:t>
      </w:r>
      <w:r w:rsidRPr="007040F4">
        <w:rPr>
          <w:rFonts w:ascii="Verdana" w:hAnsi="Verdana"/>
          <w:sz w:val="20"/>
          <w:szCs w:val="20"/>
          <w:lang w:val="es-ES"/>
        </w:rPr>
        <w:t xml:space="preserve"> interpuso en el 2001 el recurso de inconstitucionalidad que atendió parte de sus pretensiones mediante </w:t>
      </w:r>
      <w:r>
        <w:rPr>
          <w:rFonts w:ascii="Verdana" w:hAnsi="Verdana"/>
          <w:sz w:val="20"/>
          <w:szCs w:val="20"/>
          <w:lang w:val="es-ES"/>
        </w:rPr>
        <w:t>s</w:t>
      </w:r>
      <w:r w:rsidRPr="007040F4">
        <w:rPr>
          <w:rFonts w:ascii="Verdana" w:hAnsi="Verdana"/>
          <w:sz w:val="20"/>
          <w:szCs w:val="20"/>
          <w:lang w:val="es-ES"/>
        </w:rPr>
        <w:t>entencia de 12 de marzo de 2002 emitida por el Tribunal Constitucional (</w:t>
      </w:r>
      <w:r w:rsidRPr="007040F4">
        <w:rPr>
          <w:rFonts w:ascii="Verdana" w:hAnsi="Verdana"/>
          <w:i/>
          <w:sz w:val="20"/>
          <w:szCs w:val="20"/>
          <w:lang w:val="es-ES"/>
        </w:rPr>
        <w:t>supra</w:t>
      </w:r>
      <w:r w:rsidRPr="007040F4">
        <w:rPr>
          <w:rFonts w:ascii="Verdana" w:hAnsi="Verdana"/>
          <w:sz w:val="20"/>
          <w:szCs w:val="20"/>
          <w:lang w:val="es-ES"/>
        </w:rPr>
        <w:t xml:space="preserve"> párr</w:t>
      </w:r>
      <w:r>
        <w:rPr>
          <w:rFonts w:ascii="Verdana" w:hAnsi="Verdana"/>
          <w:sz w:val="20"/>
          <w:szCs w:val="20"/>
          <w:lang w:val="es-ES"/>
        </w:rPr>
        <w:t>s. 48 y 49</w:t>
      </w:r>
      <w:r w:rsidRPr="007040F4">
        <w:rPr>
          <w:rFonts w:ascii="Verdana" w:hAnsi="Verdana"/>
          <w:sz w:val="20"/>
          <w:szCs w:val="20"/>
          <w:lang w:val="es-ES"/>
        </w:rPr>
        <w:t>)</w:t>
      </w:r>
      <w:r>
        <w:rPr>
          <w:rFonts w:ascii="Verdana" w:hAnsi="Verdana"/>
          <w:sz w:val="20"/>
          <w:szCs w:val="20"/>
          <w:lang w:val="es-ES"/>
        </w:rPr>
        <w:t>.</w:t>
      </w:r>
      <w:r w:rsidRPr="007040F4">
        <w:rPr>
          <w:rFonts w:ascii="Verdana" w:hAnsi="Verdana"/>
          <w:sz w:val="20"/>
          <w:szCs w:val="20"/>
          <w:lang w:val="es-ES"/>
        </w:rPr>
        <w:t xml:space="preserve"> </w:t>
      </w:r>
      <w:r w:rsidRPr="00CD1462">
        <w:rPr>
          <w:rFonts w:ascii="Verdana" w:hAnsi="Verdana"/>
          <w:sz w:val="20"/>
          <w:szCs w:val="20"/>
          <w:lang w:val="es-ES"/>
        </w:rPr>
        <w:t xml:space="preserve">Luego de la emisión de su </w:t>
      </w:r>
      <w:r w:rsidRPr="00CD1462">
        <w:rPr>
          <w:rFonts w:ascii="Verdana" w:hAnsi="Verdana"/>
          <w:sz w:val="20"/>
          <w:szCs w:val="20"/>
          <w:lang w:val="es-ES"/>
        </w:rPr>
        <w:lastRenderedPageBreak/>
        <w:t>fallo, dicho Tribunal dirigió algunas comunicaciones a diversas instituciones del Estado en las que les solicitó un informe respecto al cumplimiento de la referida resolución</w:t>
      </w:r>
      <w:r w:rsidRPr="00CD1462">
        <w:rPr>
          <w:rStyle w:val="Refdenotaalpie"/>
          <w:rFonts w:ascii="Verdana" w:hAnsi="Verdana"/>
          <w:sz w:val="20"/>
          <w:szCs w:val="20"/>
          <w:lang w:val="es-ES"/>
        </w:rPr>
        <w:footnoteReference w:id="93"/>
      </w:r>
      <w:r w:rsidRPr="00CD1462">
        <w:rPr>
          <w:rFonts w:ascii="Verdana" w:hAnsi="Verdana"/>
          <w:sz w:val="20"/>
          <w:szCs w:val="20"/>
          <w:lang w:val="es-ES"/>
        </w:rPr>
        <w:t>. En respuesta a ello, dicha</w:t>
      </w:r>
      <w:r>
        <w:rPr>
          <w:rFonts w:ascii="Verdana" w:hAnsi="Verdana"/>
          <w:sz w:val="20"/>
          <w:szCs w:val="20"/>
          <w:lang w:val="es-ES"/>
        </w:rPr>
        <w:t>s</w:t>
      </w:r>
      <w:r w:rsidRPr="00CD1462">
        <w:rPr>
          <w:rFonts w:ascii="Verdana" w:hAnsi="Verdana"/>
          <w:sz w:val="20"/>
          <w:szCs w:val="20"/>
          <w:lang w:val="es-ES"/>
        </w:rPr>
        <w:t xml:space="preserve"> instituciones informaron sobre las acciones llevadas a cabo al efecto, sin objetar dicho requerimiento</w:t>
      </w:r>
      <w:r w:rsidRPr="00CD1462">
        <w:rPr>
          <w:rStyle w:val="Refdenotaalpie"/>
          <w:rFonts w:ascii="Verdana" w:hAnsi="Verdana"/>
          <w:sz w:val="20"/>
          <w:szCs w:val="20"/>
          <w:lang w:val="es-ES"/>
        </w:rPr>
        <w:footnoteReference w:id="94"/>
      </w:r>
      <w:r w:rsidRPr="00CD1462">
        <w:rPr>
          <w:rFonts w:ascii="Verdana" w:hAnsi="Verdana"/>
          <w:sz w:val="20"/>
          <w:szCs w:val="20"/>
          <w:lang w:val="es-ES"/>
        </w:rPr>
        <w:t>.</w:t>
      </w:r>
      <w:r w:rsidRPr="00A049D4">
        <w:rPr>
          <w:rFonts w:ascii="Verdana" w:hAnsi="Verdana"/>
          <w:sz w:val="20"/>
          <w:szCs w:val="20"/>
          <w:lang w:val="es-ES"/>
        </w:rPr>
        <w:t xml:space="preserve"> La Constitución del Ecuador de 2008 incorporó la acción por incumplimiento, para garantizar “el cumplimiento de las sentencias” y que los actos públicos no violen los derechos constitucionales</w:t>
      </w:r>
      <w:r w:rsidRPr="00A049D4">
        <w:rPr>
          <w:rFonts w:ascii="Verdana" w:hAnsi="Verdana"/>
          <w:sz w:val="20"/>
          <w:szCs w:val="20"/>
          <w:vertAlign w:val="superscript"/>
          <w:lang w:val="es-ES"/>
        </w:rPr>
        <w:footnoteReference w:id="95"/>
      </w:r>
      <w:r w:rsidRPr="00D446C7">
        <w:rPr>
          <w:rFonts w:ascii="Verdana" w:hAnsi="Verdana"/>
          <w:sz w:val="20"/>
          <w:szCs w:val="20"/>
          <w:lang w:val="es-ES"/>
        </w:rPr>
        <w:t xml:space="preserve">. El 22 de abril del 2009 el señor Mejía Idrovo interpuso </w:t>
      </w:r>
      <w:r>
        <w:rPr>
          <w:rFonts w:ascii="Verdana" w:hAnsi="Verdana"/>
          <w:sz w:val="20"/>
          <w:szCs w:val="20"/>
          <w:lang w:val="es-ES"/>
        </w:rPr>
        <w:t xml:space="preserve">un </w:t>
      </w:r>
      <w:r w:rsidRPr="00D446C7">
        <w:rPr>
          <w:rFonts w:ascii="Verdana" w:hAnsi="Verdana"/>
          <w:sz w:val="20"/>
          <w:szCs w:val="20"/>
          <w:lang w:val="es-ES"/>
        </w:rPr>
        <w:t>recurso</w:t>
      </w:r>
      <w:r>
        <w:rPr>
          <w:rFonts w:ascii="Verdana" w:hAnsi="Verdana"/>
          <w:sz w:val="20"/>
          <w:szCs w:val="20"/>
          <w:lang w:val="es-ES"/>
        </w:rPr>
        <w:t xml:space="preserve"> de incumplimiento</w:t>
      </w:r>
      <w:r w:rsidRPr="00D446C7">
        <w:rPr>
          <w:rFonts w:ascii="Verdana" w:hAnsi="Verdana"/>
          <w:sz w:val="20"/>
          <w:szCs w:val="20"/>
          <w:lang w:val="es-ES"/>
        </w:rPr>
        <w:t xml:space="preserve"> ante la Corte Constitucional, la cual dictó sentencia el 8 de </w:t>
      </w:r>
      <w:r>
        <w:rPr>
          <w:rFonts w:ascii="Verdana" w:hAnsi="Verdana"/>
          <w:sz w:val="20"/>
          <w:szCs w:val="20"/>
          <w:lang w:val="es-ES"/>
        </w:rPr>
        <w:t>octu</w:t>
      </w:r>
      <w:r w:rsidRPr="00D446C7">
        <w:rPr>
          <w:rFonts w:ascii="Verdana" w:hAnsi="Verdana"/>
          <w:sz w:val="20"/>
          <w:szCs w:val="20"/>
          <w:lang w:val="es-ES"/>
        </w:rPr>
        <w:t>bre de 2009 y ordenó su reincorporación, los pagos patrimoniales y los derechos de repetición (</w:t>
      </w:r>
      <w:r w:rsidRPr="00D446C7">
        <w:rPr>
          <w:rFonts w:ascii="Verdana" w:hAnsi="Verdana"/>
          <w:i/>
          <w:sz w:val="20"/>
          <w:szCs w:val="20"/>
          <w:lang w:val="es-ES"/>
        </w:rPr>
        <w:t>supra</w:t>
      </w:r>
      <w:r w:rsidRPr="00D446C7">
        <w:rPr>
          <w:rFonts w:ascii="Verdana" w:hAnsi="Verdana"/>
          <w:sz w:val="20"/>
          <w:szCs w:val="20"/>
          <w:lang w:val="es-ES"/>
        </w:rPr>
        <w:t xml:space="preserve"> párr</w:t>
      </w:r>
      <w:r>
        <w:rPr>
          <w:rFonts w:ascii="Verdana" w:hAnsi="Verdana"/>
          <w:sz w:val="20"/>
          <w:szCs w:val="20"/>
          <w:lang w:val="es-ES"/>
        </w:rPr>
        <w:t>.</w:t>
      </w:r>
      <w:r w:rsidRPr="00D446C7">
        <w:rPr>
          <w:rFonts w:ascii="Verdana" w:hAnsi="Verdana"/>
          <w:sz w:val="20"/>
          <w:szCs w:val="20"/>
          <w:lang w:val="es-ES"/>
        </w:rPr>
        <w:t xml:space="preserve"> </w:t>
      </w:r>
      <w:r>
        <w:rPr>
          <w:rFonts w:ascii="Verdana" w:hAnsi="Verdana"/>
          <w:sz w:val="20"/>
          <w:szCs w:val="20"/>
          <w:lang w:val="es-ES"/>
        </w:rPr>
        <w:t>56</w:t>
      </w:r>
      <w:r w:rsidRPr="00D446C7">
        <w:rPr>
          <w:rFonts w:ascii="Verdana" w:hAnsi="Verdana"/>
          <w:sz w:val="20"/>
          <w:szCs w:val="20"/>
          <w:lang w:val="es-ES"/>
        </w:rPr>
        <w:t xml:space="preserve">). El 18 de octubre de 2010 el señor Mejía Idrovo fue reincorporado a las fuerzas armadas al </w:t>
      </w:r>
      <w:r>
        <w:rPr>
          <w:rFonts w:ascii="Verdana" w:hAnsi="Verdana"/>
          <w:sz w:val="20"/>
          <w:szCs w:val="20"/>
          <w:lang w:val="es-ES"/>
        </w:rPr>
        <w:t>g</w:t>
      </w:r>
      <w:r w:rsidRPr="00D446C7">
        <w:rPr>
          <w:rFonts w:ascii="Verdana" w:hAnsi="Verdana"/>
          <w:sz w:val="20"/>
          <w:szCs w:val="20"/>
          <w:lang w:val="es-ES"/>
        </w:rPr>
        <w:t xml:space="preserve">rado de </w:t>
      </w:r>
      <w:r>
        <w:rPr>
          <w:rFonts w:ascii="Verdana" w:hAnsi="Verdana"/>
          <w:sz w:val="20"/>
          <w:szCs w:val="20"/>
          <w:lang w:val="es-ES"/>
        </w:rPr>
        <w:t>c</w:t>
      </w:r>
      <w:r w:rsidRPr="00D446C7">
        <w:rPr>
          <w:rFonts w:ascii="Verdana" w:hAnsi="Verdana"/>
          <w:sz w:val="20"/>
          <w:szCs w:val="20"/>
          <w:lang w:val="es-ES"/>
        </w:rPr>
        <w:t xml:space="preserve">oronel. Mediante escritos de alegatos finales de las partes, la Corte ha tomado conocimiento que el Estado ha realizado ciertas diligencias para determinar el monto indemnizatorio a favor de la víctima a </w:t>
      </w:r>
      <w:r w:rsidRPr="0007269E">
        <w:rPr>
          <w:rFonts w:ascii="Verdana" w:hAnsi="Verdana"/>
          <w:sz w:val="20"/>
          <w:szCs w:val="20"/>
          <w:lang w:val="es-ES"/>
        </w:rPr>
        <w:t>través de la Comisión</w:t>
      </w:r>
      <w:r w:rsidRPr="00D446C7">
        <w:rPr>
          <w:rFonts w:ascii="Verdana" w:hAnsi="Verdana"/>
          <w:sz w:val="20"/>
          <w:szCs w:val="20"/>
          <w:lang w:val="es-ES"/>
        </w:rPr>
        <w:t xml:space="preserve"> Multidisciplinaria (</w:t>
      </w:r>
      <w:r w:rsidRPr="00D446C7">
        <w:rPr>
          <w:rFonts w:ascii="Verdana" w:hAnsi="Verdana"/>
          <w:i/>
          <w:sz w:val="20"/>
          <w:szCs w:val="20"/>
          <w:lang w:val="es-ES"/>
        </w:rPr>
        <w:t>infra</w:t>
      </w:r>
      <w:r w:rsidRPr="00D446C7">
        <w:rPr>
          <w:rFonts w:ascii="Verdana" w:hAnsi="Verdana"/>
          <w:sz w:val="20"/>
          <w:szCs w:val="20"/>
          <w:lang w:val="es-ES"/>
        </w:rPr>
        <w:t xml:space="preserve"> párr. </w:t>
      </w:r>
      <w:r>
        <w:rPr>
          <w:rFonts w:ascii="Verdana" w:hAnsi="Verdana"/>
          <w:sz w:val="20"/>
          <w:szCs w:val="20"/>
          <w:lang w:val="es-ES"/>
        </w:rPr>
        <w:t>151</w:t>
      </w:r>
      <w:r w:rsidRPr="00D446C7">
        <w:rPr>
          <w:rFonts w:ascii="Verdana" w:hAnsi="Verdana"/>
          <w:sz w:val="20"/>
          <w:szCs w:val="20"/>
          <w:lang w:val="es-ES"/>
        </w:rPr>
        <w:t xml:space="preserve">). No obstante, hasta el momento no se han concretado a cabalidad el cumplimiento de todos los puntos dispuestos en dicha sentencia. </w:t>
      </w:r>
    </w:p>
    <w:p w:rsidR="00F249DD" w:rsidRDefault="00F249DD" w:rsidP="003935C5">
      <w:pPr>
        <w:jc w:val="both"/>
        <w:rPr>
          <w:rFonts w:ascii="Verdana" w:hAnsi="Verdana"/>
          <w:sz w:val="20"/>
          <w:szCs w:val="20"/>
          <w:lang w:val="es-ES"/>
        </w:rPr>
      </w:pPr>
    </w:p>
    <w:p w:rsidR="00F249DD" w:rsidRPr="00D17AA0" w:rsidRDefault="00F249DD" w:rsidP="003935C5">
      <w:pPr>
        <w:numPr>
          <w:ilvl w:val="0"/>
          <w:numId w:val="56"/>
        </w:numPr>
        <w:tabs>
          <w:tab w:val="clear" w:pos="1170"/>
        </w:tabs>
        <w:ind w:left="0"/>
        <w:jc w:val="both"/>
        <w:rPr>
          <w:rFonts w:ascii="Verdana" w:hAnsi="Verdana"/>
          <w:sz w:val="20"/>
          <w:szCs w:val="20"/>
          <w:lang w:val="es-ES"/>
        </w:rPr>
      </w:pPr>
      <w:r w:rsidRPr="00D17AA0">
        <w:rPr>
          <w:rFonts w:ascii="Verdana" w:hAnsi="Verdana"/>
          <w:sz w:val="20"/>
          <w:szCs w:val="20"/>
          <w:lang w:val="es-ES"/>
        </w:rPr>
        <w:t>Al respecto, durante la audiencia pública ante la Corte, el perito Jaime Rafael Vintimilla se refirió al proceso de ejecución de las sentencias en Ecuador y manifestó que</w:t>
      </w:r>
      <w:r>
        <w:rPr>
          <w:rFonts w:ascii="Verdana" w:hAnsi="Verdana"/>
          <w:sz w:val="20"/>
          <w:szCs w:val="20"/>
          <w:lang w:val="es-ES"/>
        </w:rPr>
        <w:t xml:space="preserve"> el T</w:t>
      </w:r>
      <w:r w:rsidRPr="00D17AA0">
        <w:rPr>
          <w:rFonts w:ascii="Verdana" w:hAnsi="Verdana"/>
          <w:sz w:val="20"/>
          <w:szCs w:val="20"/>
          <w:lang w:val="es-ES"/>
        </w:rPr>
        <w:t>ribunal Constitucional es el que debía presionar y tomar las medidas del caso para obligar el cumplimiento de la sentencia, sin embargo, esa obligación se ha visto opacada por tales como cambios permanentes en la legislación, el formalismo excesivo, la arbitrariedad en la interpretación de los ejecutores de la sentencia que se atribuyen funciones que no tienen, y confusione</w:t>
      </w:r>
      <w:r>
        <w:rPr>
          <w:rFonts w:ascii="Verdana" w:hAnsi="Verdana"/>
          <w:sz w:val="20"/>
          <w:szCs w:val="20"/>
          <w:lang w:val="es-ES"/>
        </w:rPr>
        <w:t>s conceptuales</w:t>
      </w:r>
      <w:r w:rsidRPr="00D17AA0">
        <w:rPr>
          <w:rFonts w:ascii="Verdana" w:hAnsi="Verdana"/>
          <w:sz w:val="20"/>
          <w:szCs w:val="20"/>
          <w:lang w:val="es-ES"/>
        </w:rPr>
        <w:t>. Refiriéndose al artículo 278 inciso 2 de la Constitución</w:t>
      </w:r>
      <w:r>
        <w:rPr>
          <w:rFonts w:ascii="Verdana" w:hAnsi="Verdana"/>
          <w:sz w:val="20"/>
          <w:szCs w:val="20"/>
          <w:lang w:val="es-ES"/>
        </w:rPr>
        <w:t xml:space="preserve">  vigente  </w:t>
      </w:r>
      <w:r w:rsidRPr="00D17AA0">
        <w:rPr>
          <w:rFonts w:ascii="Verdana" w:hAnsi="Verdana"/>
          <w:sz w:val="20"/>
          <w:szCs w:val="20"/>
          <w:lang w:val="es-ES"/>
        </w:rPr>
        <w:t xml:space="preserve">al momento de los hechos (1998) expresó que si transcurría “el plazo de treinta días desde la publicación de la resolución del tribunal en el Registro Oficial, </w:t>
      </w:r>
      <w:r>
        <w:rPr>
          <w:rFonts w:ascii="Verdana" w:hAnsi="Verdana"/>
          <w:sz w:val="20"/>
          <w:szCs w:val="20"/>
          <w:lang w:val="es-ES"/>
        </w:rPr>
        <w:t>[</w:t>
      </w:r>
      <w:r w:rsidRPr="00D17AA0">
        <w:rPr>
          <w:rFonts w:ascii="Verdana" w:hAnsi="Verdana"/>
          <w:sz w:val="20"/>
          <w:szCs w:val="20"/>
          <w:lang w:val="es-ES"/>
        </w:rPr>
        <w:t>y</w:t>
      </w:r>
      <w:r>
        <w:rPr>
          <w:rFonts w:ascii="Verdana" w:hAnsi="Verdana"/>
          <w:sz w:val="20"/>
          <w:szCs w:val="20"/>
          <w:lang w:val="es-ES"/>
        </w:rPr>
        <w:t>]</w:t>
      </w:r>
      <w:r w:rsidRPr="00D17AA0">
        <w:rPr>
          <w:rFonts w:ascii="Verdana" w:hAnsi="Verdana"/>
          <w:sz w:val="20"/>
          <w:szCs w:val="20"/>
          <w:lang w:val="es-ES"/>
        </w:rPr>
        <w:t xml:space="preserve"> el </w:t>
      </w:r>
      <w:r w:rsidRPr="005F7994">
        <w:rPr>
          <w:rFonts w:ascii="Verdana" w:hAnsi="Verdana"/>
          <w:sz w:val="20"/>
          <w:szCs w:val="20"/>
          <w:lang w:val="es-ES"/>
        </w:rPr>
        <w:t xml:space="preserve">funcionario o funcionarios responsables </w:t>
      </w:r>
      <w:r w:rsidRPr="00FC3247">
        <w:rPr>
          <w:rFonts w:ascii="Verdana" w:hAnsi="Verdana"/>
          <w:sz w:val="20"/>
          <w:szCs w:val="20"/>
          <w:lang w:val="es-ES"/>
        </w:rPr>
        <w:t>no</w:t>
      </w:r>
      <w:r w:rsidRPr="005F7994">
        <w:rPr>
          <w:rFonts w:ascii="Verdana" w:hAnsi="Verdana"/>
          <w:sz w:val="20"/>
          <w:szCs w:val="20"/>
          <w:lang w:val="es-ES"/>
        </w:rPr>
        <w:t xml:space="preserve"> la cumplieran de oficio”,</w:t>
      </w:r>
      <w:r w:rsidRPr="00D17AA0">
        <w:rPr>
          <w:rFonts w:ascii="Verdana" w:hAnsi="Verdana"/>
          <w:sz w:val="20"/>
          <w:szCs w:val="20"/>
          <w:lang w:val="es-ES"/>
        </w:rPr>
        <w:t xml:space="preserve"> el Tribunal Constitucional “debía remitir a los jueces penales, para que [fueran] ellos los que [pudieran aplicar] una norma”, y que al respecto hay </w:t>
      </w:r>
      <w:r>
        <w:rPr>
          <w:rFonts w:ascii="Verdana" w:hAnsi="Verdana"/>
          <w:sz w:val="20"/>
          <w:szCs w:val="20"/>
          <w:lang w:val="es-ES"/>
        </w:rPr>
        <w:t>“</w:t>
      </w:r>
      <w:r w:rsidRPr="00D17AA0">
        <w:rPr>
          <w:rFonts w:ascii="Verdana" w:hAnsi="Verdana"/>
          <w:sz w:val="20"/>
          <w:szCs w:val="20"/>
          <w:lang w:val="es-ES"/>
        </w:rPr>
        <w:t xml:space="preserve">una remisión al Código Sustantivo Penal, donde se tratan los delitos de prevaricato o desacato”. Agregó que </w:t>
      </w:r>
      <w:r>
        <w:rPr>
          <w:rFonts w:ascii="Verdana" w:hAnsi="Verdana"/>
          <w:sz w:val="20"/>
          <w:szCs w:val="20"/>
          <w:lang w:val="es-ES"/>
        </w:rPr>
        <w:t>“</w:t>
      </w:r>
      <w:r w:rsidRPr="00D17AA0">
        <w:rPr>
          <w:rFonts w:ascii="Verdana" w:hAnsi="Verdana"/>
          <w:sz w:val="20"/>
          <w:szCs w:val="20"/>
          <w:lang w:val="es-ES"/>
        </w:rPr>
        <w:t xml:space="preserve">no es que el Tribunal Constitucional podía, de </w:t>
      </w:r>
      <w:r>
        <w:rPr>
          <w:rFonts w:ascii="Verdana" w:hAnsi="Verdana"/>
          <w:sz w:val="20"/>
          <w:szCs w:val="20"/>
          <w:lang w:val="es-ES"/>
        </w:rPr>
        <w:t xml:space="preserve">alguna </w:t>
      </w:r>
      <w:r w:rsidRPr="00D17AA0">
        <w:rPr>
          <w:rFonts w:ascii="Verdana" w:hAnsi="Verdana"/>
          <w:sz w:val="20"/>
          <w:szCs w:val="20"/>
          <w:lang w:val="es-ES"/>
        </w:rPr>
        <w:t>manera, sancionar directamente</w:t>
      </w:r>
      <w:r>
        <w:rPr>
          <w:rFonts w:ascii="Verdana" w:hAnsi="Verdana"/>
          <w:sz w:val="20"/>
          <w:szCs w:val="20"/>
          <w:lang w:val="es-ES"/>
        </w:rPr>
        <w:t>,</w:t>
      </w:r>
      <w:r w:rsidRPr="00D17AA0">
        <w:rPr>
          <w:rFonts w:ascii="Verdana" w:hAnsi="Verdana"/>
          <w:sz w:val="20"/>
          <w:szCs w:val="20"/>
          <w:lang w:val="es-ES"/>
        </w:rPr>
        <w:t xml:space="preserve"> [</w:t>
      </w:r>
      <w:r>
        <w:rPr>
          <w:rFonts w:ascii="Verdana" w:hAnsi="Verdana"/>
          <w:sz w:val="20"/>
          <w:szCs w:val="20"/>
          <w:lang w:val="es-ES"/>
        </w:rPr>
        <w:t>p</w:t>
      </w:r>
      <w:r w:rsidRPr="00D17AA0">
        <w:rPr>
          <w:rFonts w:ascii="Verdana" w:hAnsi="Verdana"/>
          <w:sz w:val="20"/>
          <w:szCs w:val="20"/>
          <w:lang w:val="es-ES"/>
        </w:rPr>
        <w:t>or lo que</w:t>
      </w:r>
      <w:r>
        <w:rPr>
          <w:rFonts w:ascii="Verdana" w:hAnsi="Verdana"/>
          <w:sz w:val="20"/>
          <w:szCs w:val="20"/>
          <w:lang w:val="es-ES"/>
        </w:rPr>
        <w:t xml:space="preserve"> n</w:t>
      </w:r>
      <w:r w:rsidRPr="00D17AA0">
        <w:rPr>
          <w:rFonts w:ascii="Verdana" w:hAnsi="Verdana"/>
          <w:sz w:val="20"/>
          <w:szCs w:val="20"/>
          <w:lang w:val="es-ES"/>
        </w:rPr>
        <w:t xml:space="preserve">]o ha habido sanciones en la práctica. Se ha quedado en la mera amenaza”. Por último, el señor Vintimilla manifestó que con la Constitución de Montecristi </w:t>
      </w:r>
      <w:r w:rsidRPr="00D17AA0">
        <w:rPr>
          <w:rFonts w:ascii="Verdana" w:hAnsi="Verdana"/>
          <w:sz w:val="20"/>
          <w:szCs w:val="20"/>
          <w:lang w:val="es-ES"/>
        </w:rPr>
        <w:lastRenderedPageBreak/>
        <w:t>(Constitución de 2008) se ha incorporado la acción de incumplimiento para que toda sentencia omisa o incumplida pueda llevarse a efecto, siendo “una herramienta que ha venido a colmar un vacío procesal y cultural que adolece en el Ecuador y que ha generado inseguridad y […] hasta de</w:t>
      </w:r>
      <w:r>
        <w:rPr>
          <w:rFonts w:ascii="Verdana" w:hAnsi="Verdana"/>
          <w:sz w:val="20"/>
          <w:szCs w:val="20"/>
          <w:lang w:val="es-ES"/>
        </w:rPr>
        <w:t>sidia</w:t>
      </w:r>
      <w:r w:rsidRPr="00D17AA0">
        <w:rPr>
          <w:rFonts w:ascii="Verdana" w:hAnsi="Verdana"/>
          <w:sz w:val="20"/>
          <w:szCs w:val="20"/>
          <w:lang w:val="es-ES"/>
        </w:rPr>
        <w:t xml:space="preserve">. No obstante, “yo diría que es muy difícil el cumplimiento, muchas veces hay que rogar para que se cumpla, hay que hacer un peregrinaje, pero no es que se cumpla inmediatamente”. </w:t>
      </w:r>
    </w:p>
    <w:p w:rsidR="00F249DD" w:rsidRPr="007040F4" w:rsidRDefault="00F249DD" w:rsidP="003935C5">
      <w:pPr>
        <w:jc w:val="both"/>
        <w:rPr>
          <w:rFonts w:ascii="Verdana" w:hAnsi="Verdana"/>
          <w:sz w:val="20"/>
          <w:szCs w:val="20"/>
          <w:lang w:val="es-ES"/>
        </w:rPr>
      </w:pPr>
    </w:p>
    <w:p w:rsidR="00F249DD" w:rsidRPr="007040F4" w:rsidRDefault="00F249DD" w:rsidP="003935C5">
      <w:pPr>
        <w:numPr>
          <w:ilvl w:val="0"/>
          <w:numId w:val="56"/>
        </w:numPr>
        <w:tabs>
          <w:tab w:val="clear" w:pos="1170"/>
        </w:tabs>
        <w:ind w:left="0"/>
        <w:jc w:val="both"/>
        <w:rPr>
          <w:rFonts w:ascii="Verdana" w:hAnsi="Verdana"/>
          <w:sz w:val="20"/>
          <w:szCs w:val="20"/>
          <w:lang w:val="es-ES"/>
        </w:rPr>
      </w:pPr>
      <w:r w:rsidRPr="007040F4">
        <w:rPr>
          <w:rFonts w:ascii="Verdana" w:hAnsi="Verdana"/>
          <w:sz w:val="20"/>
          <w:szCs w:val="20"/>
          <w:lang w:val="es-ES"/>
        </w:rPr>
        <w:t>Así, el artículo 93 de la Constitución de 2008 dispone que “</w:t>
      </w:r>
      <w:r>
        <w:rPr>
          <w:rFonts w:ascii="Verdana" w:hAnsi="Verdana"/>
          <w:sz w:val="20"/>
          <w:szCs w:val="20"/>
          <w:lang w:val="es-ES"/>
        </w:rPr>
        <w:t>[l</w:t>
      </w:r>
      <w:r w:rsidRPr="00697451">
        <w:rPr>
          <w:rFonts w:ascii="Verdana" w:hAnsi="Verdana"/>
          <w:sz w:val="20"/>
          <w:szCs w:val="20"/>
          <w:lang w:val="es-CR"/>
        </w:rPr>
        <w:t>]</w:t>
      </w:r>
      <w:r w:rsidRPr="007040F4">
        <w:rPr>
          <w:rFonts w:ascii="Verdana" w:hAnsi="Verdana"/>
          <w:sz w:val="20"/>
          <w:szCs w:val="20"/>
          <w:lang w:val="es-ES"/>
        </w:rPr>
        <w:t xml:space="preserve">a acción por incumplimiento tendrá por objeto garantizar la aplicación de las normas que integran el sistema jurídico, así como el cumplimiento de sentencias o informes de organismos internacionales de derechos humanos, cuando la norma o decisión cuyo cumplimiento se persigue contenga una obligación de hacer o no hacer clara, expresa y exigible. La acción se interpondrá ante la Corte </w:t>
      </w:r>
      <w:r w:rsidRPr="00615158">
        <w:rPr>
          <w:rFonts w:ascii="Verdana" w:hAnsi="Verdana"/>
          <w:sz w:val="20"/>
          <w:szCs w:val="20"/>
          <w:lang w:val="es-ES"/>
        </w:rPr>
        <w:t>Constitucional”.</w:t>
      </w:r>
    </w:p>
    <w:p w:rsidR="00F249DD" w:rsidRPr="007040F4" w:rsidRDefault="00F249DD" w:rsidP="003935C5">
      <w:pPr>
        <w:jc w:val="both"/>
        <w:rPr>
          <w:rFonts w:ascii="Verdana" w:hAnsi="Verdana"/>
          <w:sz w:val="20"/>
          <w:szCs w:val="20"/>
          <w:lang w:val="es-ES"/>
        </w:rPr>
      </w:pPr>
    </w:p>
    <w:p w:rsidR="00F249DD" w:rsidRPr="007040F4" w:rsidRDefault="00F249DD" w:rsidP="003935C5">
      <w:pPr>
        <w:numPr>
          <w:ilvl w:val="0"/>
          <w:numId w:val="56"/>
        </w:numPr>
        <w:tabs>
          <w:tab w:val="clear" w:pos="1170"/>
        </w:tabs>
        <w:ind w:left="0"/>
        <w:jc w:val="both"/>
        <w:rPr>
          <w:rFonts w:ascii="Verdana" w:hAnsi="Verdana"/>
          <w:sz w:val="20"/>
          <w:szCs w:val="20"/>
          <w:lang w:val="es-ES"/>
        </w:rPr>
      </w:pPr>
      <w:r>
        <w:rPr>
          <w:rFonts w:ascii="Verdana" w:hAnsi="Verdana"/>
          <w:sz w:val="20"/>
          <w:szCs w:val="20"/>
          <w:lang w:val="es-ES"/>
        </w:rPr>
        <w:t>En atención a dicha</w:t>
      </w:r>
      <w:r w:rsidRPr="007040F4">
        <w:rPr>
          <w:rFonts w:ascii="Verdana" w:hAnsi="Verdana"/>
          <w:sz w:val="20"/>
          <w:szCs w:val="20"/>
          <w:lang w:val="es-ES"/>
        </w:rPr>
        <w:t xml:space="preserve"> norma, el perito Alex Iván Valle Franco, señaló en audiencia pública que: </w:t>
      </w:r>
    </w:p>
    <w:p w:rsidR="00F249DD" w:rsidRPr="007040F4" w:rsidRDefault="00F249DD" w:rsidP="003935C5">
      <w:pPr>
        <w:jc w:val="both"/>
        <w:rPr>
          <w:rFonts w:ascii="Verdana" w:hAnsi="Verdana"/>
          <w:sz w:val="20"/>
          <w:szCs w:val="20"/>
          <w:lang w:val="es-ES"/>
        </w:rPr>
      </w:pPr>
    </w:p>
    <w:p w:rsidR="00F249DD" w:rsidRPr="007040F4" w:rsidRDefault="00F249DD" w:rsidP="003935C5">
      <w:pPr>
        <w:ind w:left="720" w:right="720"/>
        <w:jc w:val="both"/>
        <w:rPr>
          <w:rFonts w:ascii="Verdana" w:hAnsi="Verdana"/>
          <w:sz w:val="16"/>
          <w:szCs w:val="16"/>
          <w:lang w:val="es-ES"/>
        </w:rPr>
      </w:pPr>
      <w:r w:rsidRPr="007040F4">
        <w:rPr>
          <w:rFonts w:ascii="Verdana" w:hAnsi="Verdana"/>
          <w:sz w:val="16"/>
          <w:szCs w:val="16"/>
          <w:lang w:val="es-ES"/>
        </w:rPr>
        <w:t>[</w:t>
      </w:r>
      <w:r>
        <w:rPr>
          <w:rFonts w:ascii="Verdana" w:hAnsi="Verdana"/>
          <w:sz w:val="16"/>
          <w:szCs w:val="16"/>
          <w:lang w:val="es-ES"/>
        </w:rPr>
        <w:t>e</w:t>
      </w:r>
      <w:r w:rsidRPr="007040F4">
        <w:rPr>
          <w:rFonts w:ascii="Verdana" w:hAnsi="Verdana"/>
          <w:sz w:val="16"/>
          <w:szCs w:val="16"/>
          <w:lang w:val="es-ES"/>
        </w:rPr>
        <w:t>]sta garantía tiene como fortaleza principal […] establecer seguridad jurídica, […] y el estar en concordancia con los nuevos principios que se ha dado para los servidores y servidoras públicas en la actual constitución bajo los principios de eficiencia, oportunidad, eficacia y demás, porque si bien es cierto había sentencias de ciertos tribunales o resoluciones a nivel internacional que no se cumplían y que a [su] vez no existía o de pronto un mecanismo idóneo eficaz, al tener ahora la acción de incumplimiento.</w:t>
      </w:r>
    </w:p>
    <w:p w:rsidR="00F249DD" w:rsidRPr="007040F4" w:rsidRDefault="00F249DD" w:rsidP="003935C5">
      <w:pPr>
        <w:jc w:val="both"/>
        <w:rPr>
          <w:rFonts w:ascii="Verdana" w:hAnsi="Verdana"/>
          <w:sz w:val="20"/>
          <w:szCs w:val="20"/>
          <w:lang w:val="es-ES"/>
        </w:rPr>
      </w:pPr>
    </w:p>
    <w:p w:rsidR="00F249DD" w:rsidRPr="00615158" w:rsidRDefault="00F249DD" w:rsidP="003935C5">
      <w:pPr>
        <w:numPr>
          <w:ilvl w:val="0"/>
          <w:numId w:val="56"/>
        </w:numPr>
        <w:tabs>
          <w:tab w:val="clear" w:pos="1170"/>
        </w:tabs>
        <w:ind w:left="0"/>
        <w:jc w:val="both"/>
        <w:rPr>
          <w:rFonts w:ascii="Verdana" w:hAnsi="Verdana"/>
          <w:sz w:val="20"/>
          <w:szCs w:val="20"/>
          <w:lang w:val="es-ES"/>
        </w:rPr>
      </w:pPr>
      <w:r w:rsidRPr="00615158">
        <w:rPr>
          <w:rFonts w:ascii="Verdana" w:hAnsi="Verdana"/>
          <w:sz w:val="20"/>
          <w:szCs w:val="20"/>
          <w:lang w:val="es-ES"/>
        </w:rPr>
        <w:t xml:space="preserve">En vista de lo anterior, la Corte encuentra que </w:t>
      </w:r>
      <w:r w:rsidRPr="007363BA">
        <w:rPr>
          <w:rFonts w:ascii="Verdana" w:hAnsi="Verdana"/>
          <w:sz w:val="20"/>
          <w:szCs w:val="20"/>
          <w:highlight w:val="yellow"/>
          <w:lang w:val="es-ES"/>
        </w:rPr>
        <w:t>el Estado no cumplió por un período prolongado con una tutela judicial efectiva para ejecutar sus propios fallos internos. Luego de nueve años de haberse declarado la inconstitucionalidad de los Decretos Ejecutivos Nos. 1185 y 1680 que ordenaron la disposición y baja del ejército al señor Mejía Idrovo, el Estado no había dado cumplimiento efectivo con las obligaciones derivadas del fallo. Lo anterior generó una violación en perjuicio de la víctima al dejarlo en un estado de indefensión e inseguridad jurídica, que le impidió restablecer debidamente los derechos reclamados y reconocidos por las autoridades competentes</w:t>
      </w:r>
      <w:r w:rsidRPr="00615158">
        <w:rPr>
          <w:rFonts w:ascii="Verdana" w:hAnsi="Verdana"/>
          <w:sz w:val="20"/>
          <w:szCs w:val="20"/>
          <w:lang w:val="es-ES"/>
        </w:rPr>
        <w:t>. Asimismo, siendo que el fallo del Tribunal Constitucional era autoejecutable, las autoridades responsables de su implementación fueron omisas en acatarlo. Fue recién siete años después de emitido dicho fallo, que la víctima contó con medidas necesarias para reclamar tal incumplimient</w:t>
      </w:r>
      <w:r w:rsidRPr="00CB1691">
        <w:rPr>
          <w:rFonts w:ascii="Verdana" w:hAnsi="Verdana"/>
          <w:sz w:val="20"/>
          <w:szCs w:val="20"/>
          <w:lang w:val="es-ES"/>
        </w:rPr>
        <w:t>o.</w:t>
      </w:r>
      <w:r w:rsidRPr="00615158">
        <w:rPr>
          <w:rFonts w:ascii="Verdana" w:hAnsi="Verdana"/>
          <w:sz w:val="20"/>
          <w:szCs w:val="20"/>
          <w:lang w:val="es-ES"/>
        </w:rPr>
        <w:t xml:space="preserve"> No obstante, hasta la fecha no se ha cumplido </w:t>
      </w:r>
      <w:r w:rsidRPr="00FC3247">
        <w:rPr>
          <w:rFonts w:ascii="Verdana" w:hAnsi="Verdana"/>
          <w:sz w:val="20"/>
          <w:szCs w:val="20"/>
          <w:lang w:val="es-ES"/>
        </w:rPr>
        <w:t>en todos los extremos</w:t>
      </w:r>
      <w:r w:rsidRPr="00615158">
        <w:rPr>
          <w:rFonts w:ascii="Verdana" w:hAnsi="Verdana"/>
          <w:sz w:val="20"/>
          <w:szCs w:val="20"/>
          <w:lang w:val="es-ES"/>
        </w:rPr>
        <w:t xml:space="preserve"> con lo ordenado en la sentencia de la Corte Constitucional (</w:t>
      </w:r>
      <w:r w:rsidRPr="00615158">
        <w:rPr>
          <w:rFonts w:ascii="Verdana" w:hAnsi="Verdana"/>
          <w:i/>
          <w:sz w:val="20"/>
          <w:szCs w:val="20"/>
          <w:lang w:val="es-ES"/>
        </w:rPr>
        <w:t>supra</w:t>
      </w:r>
      <w:r w:rsidRPr="00615158">
        <w:rPr>
          <w:rFonts w:ascii="Verdana" w:hAnsi="Verdana"/>
          <w:sz w:val="20"/>
          <w:szCs w:val="20"/>
          <w:lang w:val="es-ES"/>
        </w:rPr>
        <w:t xml:space="preserve"> párr</w:t>
      </w:r>
      <w:r>
        <w:rPr>
          <w:rFonts w:ascii="Verdana" w:hAnsi="Verdana"/>
          <w:sz w:val="20"/>
          <w:szCs w:val="20"/>
          <w:lang w:val="es-ES"/>
        </w:rPr>
        <w:t>s</w:t>
      </w:r>
      <w:r w:rsidRPr="00615158">
        <w:rPr>
          <w:rFonts w:ascii="Verdana" w:hAnsi="Verdana"/>
          <w:sz w:val="20"/>
          <w:szCs w:val="20"/>
          <w:lang w:val="es-ES"/>
        </w:rPr>
        <w:t>. 56</w:t>
      </w:r>
      <w:r>
        <w:rPr>
          <w:rFonts w:ascii="Verdana" w:hAnsi="Verdana"/>
          <w:sz w:val="20"/>
          <w:szCs w:val="20"/>
          <w:lang w:val="es-ES"/>
        </w:rPr>
        <w:t xml:space="preserve"> y </w:t>
      </w:r>
      <w:r w:rsidRPr="00FC3247">
        <w:rPr>
          <w:rFonts w:ascii="Verdana" w:hAnsi="Verdana"/>
          <w:sz w:val="20"/>
          <w:szCs w:val="20"/>
          <w:lang w:val="es-ES"/>
        </w:rPr>
        <w:t xml:space="preserve">107 </w:t>
      </w:r>
      <w:r w:rsidRPr="00A45324">
        <w:rPr>
          <w:rFonts w:ascii="Verdana" w:hAnsi="Verdana"/>
          <w:i/>
          <w:sz w:val="20"/>
          <w:szCs w:val="20"/>
          <w:lang w:val="es-ES"/>
        </w:rPr>
        <w:t>infra</w:t>
      </w:r>
      <w:r>
        <w:rPr>
          <w:rFonts w:ascii="Verdana" w:hAnsi="Verdana"/>
          <w:sz w:val="20"/>
          <w:szCs w:val="20"/>
          <w:lang w:val="es-ES"/>
        </w:rPr>
        <w:t xml:space="preserve"> párrs. </w:t>
      </w:r>
      <w:r w:rsidRPr="007C688C">
        <w:rPr>
          <w:rFonts w:ascii="Verdana" w:hAnsi="Verdana"/>
          <w:sz w:val="20"/>
          <w:szCs w:val="20"/>
          <w:lang w:val="es-ES"/>
        </w:rPr>
        <w:t>154 y 155).</w:t>
      </w:r>
      <w:r w:rsidRPr="00615158">
        <w:rPr>
          <w:rFonts w:ascii="Verdana" w:hAnsi="Verdana"/>
          <w:sz w:val="20"/>
          <w:szCs w:val="20"/>
          <w:lang w:val="es-ES"/>
        </w:rPr>
        <w:t xml:space="preserve"> Por tanto, el Estado, a través del Poder Judicial y demás autorid</w:t>
      </w:r>
      <w:r>
        <w:rPr>
          <w:rFonts w:ascii="Verdana" w:hAnsi="Verdana"/>
          <w:sz w:val="20"/>
          <w:szCs w:val="20"/>
          <w:lang w:val="es-ES"/>
        </w:rPr>
        <w:t>ades encargadas de hacer ejecutar</w:t>
      </w:r>
      <w:r w:rsidRPr="00615158">
        <w:rPr>
          <w:rFonts w:ascii="Verdana" w:hAnsi="Verdana"/>
          <w:sz w:val="20"/>
          <w:szCs w:val="20"/>
          <w:lang w:val="es-ES"/>
        </w:rPr>
        <w:t xml:space="preserve"> el fallo, ha incumplido con su deber de garantizar el </w:t>
      </w:r>
      <w:r>
        <w:rPr>
          <w:rFonts w:ascii="Verdana" w:hAnsi="Verdana"/>
          <w:sz w:val="20"/>
          <w:szCs w:val="20"/>
          <w:lang w:val="es-ES"/>
        </w:rPr>
        <w:t xml:space="preserve">acatamiento </w:t>
      </w:r>
      <w:r w:rsidRPr="00615158">
        <w:rPr>
          <w:rFonts w:ascii="Verdana" w:hAnsi="Verdana"/>
          <w:sz w:val="20"/>
          <w:szCs w:val="20"/>
          <w:lang w:val="es-ES"/>
        </w:rPr>
        <w:t xml:space="preserve">íntegro de las citadas sentencias, en violación de lo dispuesto en el artículo 25.2.c) de la Convención. </w:t>
      </w:r>
    </w:p>
    <w:p w:rsidR="00F249DD" w:rsidRPr="007040F4" w:rsidRDefault="00F249DD" w:rsidP="003935C5">
      <w:pPr>
        <w:jc w:val="both"/>
        <w:rPr>
          <w:rFonts w:ascii="Verdana" w:hAnsi="Verdana"/>
          <w:sz w:val="20"/>
          <w:szCs w:val="20"/>
          <w:lang w:val="es-ES"/>
        </w:rPr>
      </w:pPr>
      <w:r w:rsidRPr="007040F4">
        <w:rPr>
          <w:rFonts w:ascii="Verdana" w:hAnsi="Verdana"/>
          <w:sz w:val="20"/>
          <w:szCs w:val="20"/>
          <w:lang w:val="es-ES"/>
        </w:rPr>
        <w:t xml:space="preserve"> </w:t>
      </w:r>
    </w:p>
    <w:p w:rsidR="00F249DD" w:rsidRDefault="00F249DD" w:rsidP="003935C5">
      <w:pPr>
        <w:numPr>
          <w:ilvl w:val="0"/>
          <w:numId w:val="56"/>
        </w:numPr>
        <w:tabs>
          <w:tab w:val="clear" w:pos="1170"/>
        </w:tabs>
        <w:ind w:left="0"/>
        <w:jc w:val="both"/>
        <w:rPr>
          <w:rFonts w:ascii="Verdana" w:hAnsi="Verdana"/>
          <w:sz w:val="20"/>
          <w:szCs w:val="20"/>
          <w:lang w:val="es-ES"/>
        </w:rPr>
      </w:pPr>
      <w:r w:rsidRPr="00843660">
        <w:rPr>
          <w:rFonts w:ascii="Verdana" w:hAnsi="Verdana"/>
          <w:sz w:val="20"/>
          <w:szCs w:val="20"/>
          <w:lang w:val="es-ES"/>
        </w:rPr>
        <w:t xml:space="preserve">En conclusión del presente </w:t>
      </w:r>
      <w:r>
        <w:rPr>
          <w:rFonts w:ascii="Verdana" w:hAnsi="Verdana"/>
          <w:sz w:val="20"/>
          <w:szCs w:val="20"/>
          <w:lang w:val="es-ES"/>
        </w:rPr>
        <w:t>C</w:t>
      </w:r>
      <w:r w:rsidRPr="00843660">
        <w:rPr>
          <w:rFonts w:ascii="Verdana" w:hAnsi="Verdana"/>
          <w:sz w:val="20"/>
          <w:szCs w:val="20"/>
          <w:lang w:val="es-ES"/>
        </w:rPr>
        <w:t>apítulo, la Corte considera que el Estado no garantizó un recurso efectivo que remediara la situación jurídica infringida y tampoco garantizó la ejecución de los fallos internos, mediante una tutela judicial efectiva, en violación de los artículos 25.1 y 25.2.c) de la Convención Americana, en perjuicio del señor</w:t>
      </w:r>
      <w:r>
        <w:rPr>
          <w:rFonts w:ascii="Verdana" w:hAnsi="Verdana"/>
          <w:sz w:val="20"/>
          <w:szCs w:val="20"/>
          <w:lang w:val="es-ES"/>
        </w:rPr>
        <w:t xml:space="preserve"> </w:t>
      </w:r>
      <w:r w:rsidRPr="0059593D">
        <w:rPr>
          <w:rFonts w:ascii="Verdana" w:hAnsi="Verdana"/>
          <w:sz w:val="20"/>
          <w:szCs w:val="20"/>
          <w:lang w:val="es-ES"/>
        </w:rPr>
        <w:t>José Alfredo Mejía Idrovo.</w:t>
      </w:r>
      <w:r w:rsidRPr="00843660">
        <w:rPr>
          <w:rFonts w:ascii="Verdana" w:hAnsi="Verdana"/>
          <w:sz w:val="20"/>
          <w:szCs w:val="20"/>
          <w:lang w:val="es-ES"/>
        </w:rPr>
        <w:t xml:space="preserve">  </w:t>
      </w:r>
    </w:p>
    <w:p w:rsidR="00F249DD" w:rsidRPr="007040F4" w:rsidRDefault="00F249DD" w:rsidP="003935C5">
      <w:pPr>
        <w:jc w:val="both"/>
        <w:rPr>
          <w:rFonts w:ascii="Verdana" w:hAnsi="Verdana"/>
          <w:sz w:val="20"/>
          <w:szCs w:val="20"/>
          <w:lang w:val="es-ES"/>
        </w:rPr>
      </w:pPr>
    </w:p>
    <w:p w:rsidR="00F249DD" w:rsidRPr="00A04CE3" w:rsidRDefault="00F249DD" w:rsidP="003935C5">
      <w:pPr>
        <w:pStyle w:val="Ttulo1"/>
        <w:jc w:val="center"/>
        <w:rPr>
          <w:caps/>
          <w:smallCaps w:val="0"/>
          <w:webHidden/>
          <w:lang w:val="es-ES"/>
        </w:rPr>
      </w:pPr>
      <w:bookmarkStart w:id="253" w:name="_Toc294622621"/>
      <w:bookmarkStart w:id="254" w:name="_Toc294623396"/>
      <w:bookmarkStart w:id="255" w:name="_Toc294623651"/>
      <w:bookmarkStart w:id="256" w:name="_Toc294626204"/>
      <w:bookmarkStart w:id="257" w:name="_Toc294633780"/>
      <w:bookmarkStart w:id="258" w:name="_Toc294634490"/>
      <w:bookmarkStart w:id="259" w:name="_Toc294635318"/>
      <w:bookmarkStart w:id="260" w:name="_Toc294862711"/>
      <w:bookmarkStart w:id="261" w:name="_Toc294862774"/>
      <w:bookmarkStart w:id="262" w:name="_Toc295380325"/>
      <w:bookmarkStart w:id="263" w:name="_Toc295394477"/>
      <w:bookmarkStart w:id="264" w:name="_Toc295394631"/>
      <w:bookmarkStart w:id="265" w:name="_Toc295986083"/>
      <w:bookmarkStart w:id="266" w:name="_Toc295986300"/>
      <w:bookmarkStart w:id="267" w:name="_Toc295986420"/>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rsidR="00F249DD" w:rsidRDefault="00F249DD" w:rsidP="003935C5">
      <w:pPr>
        <w:pStyle w:val="StyleHeading111ptJustified"/>
        <w:numPr>
          <w:ilvl w:val="0"/>
          <w:numId w:val="0"/>
        </w:numPr>
        <w:rPr>
          <w:caps/>
          <w:smallCaps w:val="0"/>
          <w:webHidden/>
          <w:sz w:val="20"/>
          <w:lang w:val="es-ES"/>
        </w:rPr>
      </w:pPr>
      <w:bookmarkStart w:id="268" w:name="_Toc294622622"/>
      <w:bookmarkStart w:id="269" w:name="_Toc294623397"/>
      <w:bookmarkStart w:id="270" w:name="_Toc294623652"/>
      <w:bookmarkStart w:id="271" w:name="_Toc294626205"/>
      <w:bookmarkStart w:id="272" w:name="_Toc294633781"/>
      <w:bookmarkStart w:id="273" w:name="_Toc294634491"/>
      <w:bookmarkStart w:id="274" w:name="_Toc294635319"/>
      <w:bookmarkStart w:id="275" w:name="_Toc294862712"/>
      <w:bookmarkStart w:id="276" w:name="_Toc294862775"/>
      <w:bookmarkStart w:id="277" w:name="_Toc295380326"/>
      <w:bookmarkStart w:id="278" w:name="_Toc295394478"/>
      <w:bookmarkStart w:id="279" w:name="_Toc295394632"/>
      <w:bookmarkStart w:id="280" w:name="_Toc295986084"/>
      <w:bookmarkStart w:id="281" w:name="_Toc295986301"/>
      <w:bookmarkStart w:id="282" w:name="_Toc295986421"/>
      <w:r w:rsidRPr="00FC3247">
        <w:rPr>
          <w:caps/>
          <w:smallCaps w:val="0"/>
          <w:webHidden/>
          <w:sz w:val="20"/>
          <w:lang w:val="es-ES"/>
        </w:rPr>
        <w:t xml:space="preserve">Deber de Adoptar Disposiciones de Derecho Interno </w:t>
      </w:r>
    </w:p>
    <w:p w:rsidR="00F249DD" w:rsidRPr="00A04CE3" w:rsidRDefault="00F249DD" w:rsidP="003935C5">
      <w:pPr>
        <w:pStyle w:val="StyleHeading111ptJustified"/>
        <w:numPr>
          <w:ilvl w:val="0"/>
          <w:numId w:val="0"/>
        </w:numPr>
        <w:rPr>
          <w:caps/>
          <w:smallCaps w:val="0"/>
          <w:webHidden/>
          <w:sz w:val="20"/>
          <w:lang w:val="es-ES"/>
        </w:rPr>
      </w:pPr>
      <w:r w:rsidRPr="00FC3247">
        <w:rPr>
          <w:caps/>
          <w:smallCaps w:val="0"/>
          <w:webHidden/>
          <w:sz w:val="20"/>
          <w:lang w:val="es-ES"/>
        </w:rPr>
        <w:t>e Igualdad ante la Ley</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r w:rsidRPr="00FC3247">
        <w:rPr>
          <w:caps/>
          <w:smallCaps w:val="0"/>
          <w:webHidden/>
          <w:sz w:val="20"/>
          <w:lang w:val="es-ES"/>
        </w:rPr>
        <w:t xml:space="preserve"> </w:t>
      </w:r>
    </w:p>
    <w:p w:rsidR="00F249DD" w:rsidRPr="00A04CE3" w:rsidRDefault="00F249DD" w:rsidP="003935C5">
      <w:pPr>
        <w:pStyle w:val="StyleHeading111ptJustified"/>
        <w:numPr>
          <w:ilvl w:val="0"/>
          <w:numId w:val="0"/>
        </w:numPr>
        <w:rPr>
          <w:caps/>
          <w:smallCaps w:val="0"/>
          <w:sz w:val="20"/>
          <w:lang w:val="es-ES"/>
        </w:rPr>
      </w:pPr>
      <w:bookmarkStart w:id="283" w:name="_Toc294622623"/>
      <w:bookmarkStart w:id="284" w:name="_Toc294623398"/>
      <w:bookmarkStart w:id="285" w:name="_Toc294623653"/>
      <w:bookmarkStart w:id="286" w:name="_Toc294626206"/>
      <w:bookmarkStart w:id="287" w:name="_Toc294633782"/>
      <w:bookmarkStart w:id="288" w:name="_Toc294634492"/>
      <w:bookmarkStart w:id="289" w:name="_Toc294635320"/>
      <w:bookmarkStart w:id="290" w:name="_Toc294862713"/>
      <w:bookmarkStart w:id="291" w:name="_Toc294862776"/>
      <w:bookmarkStart w:id="292" w:name="_Toc295380327"/>
      <w:bookmarkStart w:id="293" w:name="_Toc295394479"/>
      <w:bookmarkStart w:id="294" w:name="_Toc295394633"/>
      <w:bookmarkStart w:id="295" w:name="_Toc295986085"/>
      <w:bookmarkStart w:id="296" w:name="_Toc295986302"/>
      <w:bookmarkStart w:id="297" w:name="_Toc295986422"/>
      <w:r w:rsidRPr="00FC3247">
        <w:rPr>
          <w:caps/>
          <w:smallCaps w:val="0"/>
          <w:webHidden/>
          <w:sz w:val="20"/>
          <w:lang w:val="es-ES"/>
        </w:rPr>
        <w:t>(Artículos 2 y 24 de la Convención Americana)</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rsidR="00F249DD" w:rsidRDefault="00F249DD" w:rsidP="003935C5">
      <w:pPr>
        <w:pStyle w:val="Ttulo4"/>
        <w:numPr>
          <w:ilvl w:val="0"/>
          <w:numId w:val="55"/>
        </w:numPr>
        <w:ind w:left="720" w:firstLine="0"/>
        <w:rPr>
          <w:lang w:val="es-ES"/>
        </w:rPr>
      </w:pPr>
      <w:r w:rsidRPr="00B813C6">
        <w:rPr>
          <w:lang w:val="es-ES"/>
        </w:rPr>
        <w:t>Respecto la alegada violación del artículo 2 de la C</w:t>
      </w:r>
      <w:r>
        <w:rPr>
          <w:lang w:val="es-ES"/>
        </w:rPr>
        <w:t>onvención Americana</w:t>
      </w:r>
      <w:r w:rsidRPr="00B813C6">
        <w:rPr>
          <w:lang w:val="es-ES"/>
        </w:rPr>
        <w:t xml:space="preserve"> </w:t>
      </w:r>
    </w:p>
    <w:p w:rsidR="00F249DD" w:rsidRDefault="00F249DD" w:rsidP="003935C5">
      <w:pPr>
        <w:spacing w:before="280" w:after="280"/>
        <w:rPr>
          <w:rFonts w:ascii="Verdana" w:hAnsi="Verdana"/>
          <w:sz w:val="20"/>
          <w:szCs w:val="20"/>
          <w:lang w:val="es-ES"/>
        </w:rPr>
      </w:pPr>
      <w:r w:rsidRPr="007040F4">
        <w:rPr>
          <w:rFonts w:ascii="Verdana" w:hAnsi="Verdana"/>
          <w:bCs/>
          <w:i/>
          <w:sz w:val="20"/>
          <w:szCs w:val="20"/>
          <w:lang w:val="es-ES"/>
        </w:rPr>
        <w:t>Alegatos de las partes</w:t>
      </w:r>
    </w:p>
    <w:p w:rsidR="00F249DD" w:rsidRPr="00843660" w:rsidRDefault="00F249DD" w:rsidP="003935C5">
      <w:pPr>
        <w:numPr>
          <w:ilvl w:val="0"/>
          <w:numId w:val="56"/>
        </w:numPr>
        <w:tabs>
          <w:tab w:val="clear" w:pos="1170"/>
        </w:tabs>
        <w:ind w:left="0"/>
        <w:jc w:val="both"/>
        <w:rPr>
          <w:rFonts w:ascii="Verdana" w:hAnsi="Verdana"/>
          <w:sz w:val="20"/>
          <w:szCs w:val="20"/>
          <w:lang w:val="es-ES"/>
        </w:rPr>
      </w:pPr>
      <w:r w:rsidRPr="00843660">
        <w:rPr>
          <w:rFonts w:ascii="Verdana" w:hAnsi="Verdana"/>
          <w:sz w:val="20"/>
          <w:szCs w:val="20"/>
          <w:lang w:val="es-ES"/>
        </w:rPr>
        <w:lastRenderedPageBreak/>
        <w:t xml:space="preserve">La Comisión Interamericana no alegó la violación del artículo 2 de la </w:t>
      </w:r>
      <w:r w:rsidRPr="009938D4">
        <w:rPr>
          <w:rFonts w:ascii="Verdana" w:hAnsi="Verdana"/>
          <w:sz w:val="20"/>
          <w:szCs w:val="20"/>
          <w:lang w:val="es-ES"/>
        </w:rPr>
        <w:t xml:space="preserve">Convención Americana. En su escrito de solicitudes y argumentos, los representantes manifestaron que la actuación de las autoridades nacionales demuestra que el </w:t>
      </w:r>
      <w:r w:rsidRPr="00C81BD7">
        <w:rPr>
          <w:rFonts w:ascii="Verdana" w:hAnsi="Verdana"/>
          <w:sz w:val="20"/>
          <w:szCs w:val="20"/>
          <w:lang w:val="es-ES"/>
        </w:rPr>
        <w:t xml:space="preserve">Estado </w:t>
      </w:r>
      <w:r w:rsidRPr="00FC3247">
        <w:rPr>
          <w:rFonts w:ascii="Verdana" w:hAnsi="Verdana"/>
          <w:sz w:val="20"/>
          <w:szCs w:val="20"/>
          <w:lang w:val="es-ES"/>
        </w:rPr>
        <w:t>“</w:t>
      </w:r>
      <w:r w:rsidRPr="00C81BD7">
        <w:rPr>
          <w:rFonts w:ascii="Verdana" w:hAnsi="Verdana"/>
          <w:sz w:val="20"/>
          <w:szCs w:val="20"/>
          <w:lang w:val="es-ES"/>
        </w:rPr>
        <w:t>no</w:t>
      </w:r>
      <w:r w:rsidRPr="009938D4">
        <w:rPr>
          <w:rFonts w:ascii="Verdana" w:hAnsi="Verdana"/>
          <w:sz w:val="20"/>
          <w:szCs w:val="20"/>
          <w:lang w:val="es-ES"/>
        </w:rPr>
        <w:t xml:space="preserve"> ha dado cumplimiento a la obligación contenida en el artículo 2 de la Convención Americana al no haber adoptado, con arreglo a sus procedimientos constitucionales, las medidas legislativas o de otro carácter que fueran necesarias para hacer efectivos los derechos </w:t>
      </w:r>
      <w:r>
        <w:rPr>
          <w:rFonts w:ascii="Verdana" w:hAnsi="Verdana"/>
          <w:sz w:val="20"/>
          <w:szCs w:val="20"/>
          <w:lang w:val="es-ES"/>
        </w:rPr>
        <w:t>[</w:t>
      </w:r>
      <w:r w:rsidRPr="009938D4">
        <w:rPr>
          <w:rFonts w:ascii="Verdana" w:hAnsi="Verdana"/>
          <w:sz w:val="20"/>
          <w:szCs w:val="20"/>
          <w:lang w:val="es-ES"/>
        </w:rPr>
        <w:t>del señor Mejía Idrovo, ya que</w:t>
      </w:r>
      <w:r>
        <w:rPr>
          <w:rFonts w:ascii="Verdana" w:hAnsi="Verdana"/>
          <w:sz w:val="20"/>
          <w:szCs w:val="20"/>
          <w:lang w:val="es-ES"/>
        </w:rPr>
        <w:t>]</w:t>
      </w:r>
      <w:r w:rsidRPr="009938D4">
        <w:rPr>
          <w:rFonts w:ascii="Verdana" w:hAnsi="Verdana"/>
          <w:sz w:val="20"/>
          <w:szCs w:val="20"/>
          <w:lang w:val="es-ES"/>
        </w:rPr>
        <w:t xml:space="preserve"> han transcurrido 8 desde años desde que el órgano de control constitucional sentenció que los decretos ejecutivos eran inconstitucionales, pues el procedimiento observado por el Ejecutivo para separar al recurrente de las filas del Ejército fue violatorio del debido proceso</w:t>
      </w:r>
      <w:r w:rsidRPr="0009020C">
        <w:rPr>
          <w:rFonts w:ascii="Verdana" w:hAnsi="Verdana"/>
          <w:sz w:val="20"/>
          <w:szCs w:val="20"/>
          <w:lang w:val="es-ES"/>
        </w:rPr>
        <w:t>”.</w:t>
      </w:r>
      <w:r w:rsidRPr="00594E5A">
        <w:rPr>
          <w:rFonts w:ascii="Verdana" w:hAnsi="Verdana"/>
          <w:sz w:val="20"/>
          <w:szCs w:val="20"/>
          <w:lang w:val="es-ES"/>
        </w:rPr>
        <w:t xml:space="preserve"> </w:t>
      </w:r>
      <w:r w:rsidRPr="0007269E">
        <w:rPr>
          <w:rFonts w:ascii="Verdana" w:hAnsi="Verdana"/>
          <w:sz w:val="20"/>
          <w:szCs w:val="20"/>
          <w:lang w:val="es-ES"/>
        </w:rPr>
        <w:t>Agregaron que</w:t>
      </w:r>
      <w:r>
        <w:rPr>
          <w:rFonts w:ascii="Verdana" w:hAnsi="Verdana"/>
          <w:sz w:val="20"/>
          <w:szCs w:val="20"/>
          <w:lang w:val="es-ES"/>
        </w:rPr>
        <w:t xml:space="preserve"> </w:t>
      </w:r>
      <w:r w:rsidRPr="00594E5A">
        <w:rPr>
          <w:rFonts w:ascii="Verdana" w:hAnsi="Verdana"/>
          <w:sz w:val="20"/>
          <w:szCs w:val="20"/>
          <w:lang w:val="es-ES"/>
        </w:rPr>
        <w:t>“</w:t>
      </w:r>
      <w:r>
        <w:rPr>
          <w:rFonts w:ascii="Verdana" w:hAnsi="Verdana"/>
          <w:sz w:val="20"/>
          <w:szCs w:val="20"/>
          <w:lang w:val="es-ES"/>
        </w:rPr>
        <w:t>[s]</w:t>
      </w:r>
      <w:r w:rsidRPr="00594E5A">
        <w:rPr>
          <w:rFonts w:ascii="Verdana" w:hAnsi="Verdana"/>
          <w:sz w:val="20"/>
          <w:szCs w:val="20"/>
          <w:lang w:val="es-ES"/>
        </w:rPr>
        <w:t xml:space="preserve">i consideraba el </w:t>
      </w:r>
      <w:r>
        <w:rPr>
          <w:rFonts w:ascii="Verdana" w:hAnsi="Verdana"/>
          <w:sz w:val="20"/>
          <w:szCs w:val="20"/>
          <w:lang w:val="es-ES"/>
        </w:rPr>
        <w:t xml:space="preserve">[Estado] </w:t>
      </w:r>
      <w:r w:rsidRPr="00594E5A">
        <w:rPr>
          <w:rFonts w:ascii="Verdana" w:hAnsi="Verdana"/>
          <w:sz w:val="20"/>
          <w:szCs w:val="20"/>
          <w:lang w:val="es-ES"/>
        </w:rPr>
        <w:t>que por disposición constitucional el recurso no tiene</w:t>
      </w:r>
      <w:r w:rsidRPr="00843660">
        <w:rPr>
          <w:rFonts w:ascii="Verdana" w:hAnsi="Verdana"/>
          <w:sz w:val="20"/>
          <w:szCs w:val="20"/>
          <w:lang w:val="es-ES"/>
        </w:rPr>
        <w:t xml:space="preserve"> efecto retroactivo, </w:t>
      </w:r>
      <w:r>
        <w:rPr>
          <w:rFonts w:ascii="Verdana" w:hAnsi="Verdana"/>
          <w:sz w:val="20"/>
          <w:szCs w:val="20"/>
          <w:lang w:val="es-ES"/>
        </w:rPr>
        <w:t xml:space="preserve">era </w:t>
      </w:r>
      <w:r w:rsidRPr="00843660">
        <w:rPr>
          <w:rFonts w:ascii="Verdana" w:hAnsi="Verdana"/>
          <w:sz w:val="20"/>
          <w:szCs w:val="20"/>
          <w:lang w:val="es-ES"/>
        </w:rPr>
        <w:t xml:space="preserve">entonces su obligación </w:t>
      </w:r>
      <w:r>
        <w:rPr>
          <w:rFonts w:ascii="Verdana" w:hAnsi="Verdana"/>
          <w:sz w:val="20"/>
          <w:szCs w:val="20"/>
          <w:lang w:val="es-ES"/>
        </w:rPr>
        <w:t>[</w:t>
      </w:r>
      <w:r w:rsidRPr="00843660">
        <w:rPr>
          <w:rFonts w:ascii="Verdana" w:hAnsi="Verdana"/>
          <w:sz w:val="20"/>
          <w:szCs w:val="20"/>
          <w:lang w:val="es-ES"/>
        </w:rPr>
        <w:t>realizar</w:t>
      </w:r>
      <w:r>
        <w:rPr>
          <w:rFonts w:ascii="Verdana" w:hAnsi="Verdana"/>
          <w:sz w:val="20"/>
          <w:szCs w:val="20"/>
          <w:lang w:val="es-ES"/>
        </w:rPr>
        <w:t>]</w:t>
      </w:r>
      <w:r w:rsidRPr="00843660">
        <w:rPr>
          <w:rFonts w:ascii="Verdana" w:hAnsi="Verdana"/>
          <w:sz w:val="20"/>
          <w:szCs w:val="20"/>
          <w:lang w:val="es-ES"/>
        </w:rPr>
        <w:t xml:space="preserve"> una reforma constitucional que proteja los derechos reconocidos en las sentencias del </w:t>
      </w:r>
      <w:r>
        <w:rPr>
          <w:rFonts w:ascii="Verdana" w:hAnsi="Verdana"/>
          <w:sz w:val="20"/>
          <w:szCs w:val="20"/>
          <w:lang w:val="es-ES"/>
        </w:rPr>
        <w:t>t</w:t>
      </w:r>
      <w:r w:rsidRPr="00843660">
        <w:rPr>
          <w:rFonts w:ascii="Verdana" w:hAnsi="Verdana"/>
          <w:sz w:val="20"/>
          <w:szCs w:val="20"/>
          <w:lang w:val="es-ES"/>
        </w:rPr>
        <w:t xml:space="preserve">ribunal. </w:t>
      </w:r>
      <w:r w:rsidRPr="00972E17">
        <w:rPr>
          <w:rFonts w:ascii="Verdana" w:hAnsi="Verdana"/>
          <w:sz w:val="20"/>
          <w:szCs w:val="20"/>
          <w:lang w:val="es-ES"/>
        </w:rPr>
        <w:t xml:space="preserve">Sin embargo, lejos de ocurrir ello, el </w:t>
      </w:r>
      <w:r>
        <w:rPr>
          <w:rFonts w:ascii="Verdana" w:hAnsi="Verdana"/>
          <w:sz w:val="20"/>
          <w:szCs w:val="20"/>
          <w:lang w:val="es-ES"/>
        </w:rPr>
        <w:t>Estado “</w:t>
      </w:r>
      <w:r w:rsidRPr="00843660">
        <w:rPr>
          <w:rFonts w:ascii="Verdana" w:hAnsi="Verdana"/>
          <w:sz w:val="20"/>
          <w:szCs w:val="20"/>
          <w:lang w:val="es-ES"/>
        </w:rPr>
        <w:t xml:space="preserve">se </w:t>
      </w:r>
      <w:r>
        <w:rPr>
          <w:rFonts w:ascii="Verdana" w:hAnsi="Verdana"/>
          <w:sz w:val="20"/>
          <w:szCs w:val="20"/>
          <w:lang w:val="es-ES"/>
        </w:rPr>
        <w:t xml:space="preserve">ha </w:t>
      </w:r>
      <w:r w:rsidRPr="00843660">
        <w:rPr>
          <w:rFonts w:ascii="Verdana" w:hAnsi="Verdana"/>
          <w:sz w:val="20"/>
          <w:szCs w:val="20"/>
          <w:lang w:val="es-ES"/>
        </w:rPr>
        <w:t>limit</w:t>
      </w:r>
      <w:r>
        <w:rPr>
          <w:rFonts w:ascii="Verdana" w:hAnsi="Verdana"/>
          <w:sz w:val="20"/>
          <w:szCs w:val="20"/>
          <w:lang w:val="es-ES"/>
        </w:rPr>
        <w:t>ado</w:t>
      </w:r>
      <w:r w:rsidRPr="00843660">
        <w:rPr>
          <w:rFonts w:ascii="Verdana" w:hAnsi="Verdana"/>
          <w:sz w:val="20"/>
          <w:szCs w:val="20"/>
          <w:lang w:val="es-ES"/>
        </w:rPr>
        <w:t xml:space="preserve"> a decir que no hay nada que cumplir y que </w:t>
      </w:r>
      <w:r>
        <w:rPr>
          <w:rFonts w:ascii="Verdana" w:hAnsi="Verdana"/>
          <w:sz w:val="20"/>
          <w:szCs w:val="20"/>
          <w:lang w:val="es-ES"/>
        </w:rPr>
        <w:t>sus decretos están en vigencia”.</w:t>
      </w:r>
      <w:r w:rsidRPr="00843660">
        <w:rPr>
          <w:rFonts w:ascii="Verdana" w:hAnsi="Verdana"/>
          <w:sz w:val="20"/>
          <w:szCs w:val="20"/>
          <w:lang w:val="es-ES"/>
        </w:rPr>
        <w:t xml:space="preserve">  “Al proceder de esta forma el Estado ha dejado en el desamparo a la presunta víctima</w:t>
      </w:r>
      <w:r>
        <w:rPr>
          <w:rFonts w:ascii="Verdana" w:hAnsi="Verdana"/>
          <w:sz w:val="20"/>
          <w:szCs w:val="20"/>
          <w:lang w:val="es-ES"/>
        </w:rPr>
        <w:t>,</w:t>
      </w:r>
      <w:r w:rsidRPr="00843660">
        <w:rPr>
          <w:rFonts w:ascii="Verdana" w:hAnsi="Verdana"/>
          <w:sz w:val="20"/>
          <w:szCs w:val="20"/>
          <w:lang w:val="es-ES"/>
        </w:rPr>
        <w:t xml:space="preserve"> sin que haya efectuado una acción tendiente a establecer mecanismos legales o administrativos que permitan adecuar el derecho interno para que los recursos </w:t>
      </w:r>
      <w:r w:rsidRPr="0059593D">
        <w:rPr>
          <w:rFonts w:ascii="Verdana" w:hAnsi="Verdana"/>
          <w:sz w:val="20"/>
          <w:szCs w:val="20"/>
          <w:lang w:val="es-ES"/>
        </w:rPr>
        <w:t>sean efectivos”, lo cual ha violado el artículo 2 de la Convención. Posteriormente, los representantes no se pronunciaron respecto de la alegada violación del artículo 2 de la Convención Americana</w:t>
      </w:r>
      <w:r w:rsidRPr="00843660">
        <w:rPr>
          <w:rFonts w:ascii="Verdana" w:hAnsi="Verdana"/>
          <w:sz w:val="20"/>
          <w:szCs w:val="20"/>
          <w:lang w:val="es-ES"/>
        </w:rPr>
        <w:t xml:space="preserve"> ni durante la audiencia pública ni en sus alegatos finales.  </w:t>
      </w:r>
    </w:p>
    <w:p w:rsidR="00F249DD" w:rsidRPr="00843660" w:rsidRDefault="00F249DD" w:rsidP="003935C5">
      <w:pPr>
        <w:jc w:val="both"/>
        <w:rPr>
          <w:rFonts w:ascii="Verdana" w:hAnsi="Verdana"/>
          <w:sz w:val="20"/>
          <w:szCs w:val="20"/>
          <w:lang w:val="es-ES"/>
        </w:rPr>
      </w:pPr>
    </w:p>
    <w:p w:rsidR="00F249DD" w:rsidRPr="00B813C6" w:rsidRDefault="00F249DD" w:rsidP="003935C5">
      <w:pPr>
        <w:numPr>
          <w:ilvl w:val="0"/>
          <w:numId w:val="56"/>
        </w:numPr>
        <w:tabs>
          <w:tab w:val="clear" w:pos="1170"/>
        </w:tabs>
        <w:ind w:left="0"/>
        <w:jc w:val="both"/>
        <w:rPr>
          <w:rFonts w:ascii="Verdana" w:hAnsi="Verdana"/>
          <w:sz w:val="20"/>
          <w:szCs w:val="20"/>
          <w:lang w:val="es-ES"/>
        </w:rPr>
      </w:pPr>
      <w:r w:rsidRPr="00843660">
        <w:rPr>
          <w:rFonts w:ascii="Verdana" w:hAnsi="Verdana"/>
          <w:sz w:val="20"/>
          <w:szCs w:val="20"/>
          <w:lang w:val="es-ES"/>
        </w:rPr>
        <w:t xml:space="preserve">Por su parte, el Estado rechazó el argumento de la violación del artículo 2 de la Convención y señaló que alegar la violación de esta disposición es apresurado, incoherente y poco cauteloso en tanto </w:t>
      </w:r>
      <w:r>
        <w:rPr>
          <w:rFonts w:ascii="Verdana" w:hAnsi="Verdana"/>
          <w:sz w:val="20"/>
          <w:szCs w:val="20"/>
          <w:lang w:val="es-ES"/>
        </w:rPr>
        <w:t>“</w:t>
      </w:r>
      <w:r w:rsidRPr="00843660">
        <w:rPr>
          <w:rFonts w:ascii="Verdana" w:hAnsi="Verdana"/>
          <w:sz w:val="20"/>
          <w:szCs w:val="20"/>
          <w:lang w:val="es-ES"/>
        </w:rPr>
        <w:t>la resolución del Tribunal Constitucional y de la sentencia emitida por la Corte Constitucional aún está desplegando sus efectos jurídicos de cumplimiento</w:t>
      </w:r>
      <w:r>
        <w:rPr>
          <w:rFonts w:ascii="Verdana" w:hAnsi="Verdana"/>
          <w:sz w:val="20"/>
          <w:szCs w:val="20"/>
          <w:lang w:val="es-ES"/>
        </w:rPr>
        <w:t>”</w:t>
      </w:r>
      <w:r w:rsidRPr="00843660">
        <w:rPr>
          <w:rFonts w:ascii="Verdana" w:hAnsi="Verdana"/>
          <w:sz w:val="20"/>
          <w:szCs w:val="20"/>
          <w:lang w:val="es-ES"/>
        </w:rPr>
        <w:t xml:space="preserve">. Agregó que reconoce que esta disposición no solo lo obliga a adoptar normas, sino, en general, medidas de </w:t>
      </w:r>
      <w:r>
        <w:rPr>
          <w:rFonts w:ascii="Verdana" w:hAnsi="Verdana"/>
          <w:sz w:val="20"/>
          <w:szCs w:val="20"/>
          <w:lang w:val="es-ES"/>
        </w:rPr>
        <w:t>otro</w:t>
      </w:r>
      <w:r w:rsidRPr="00843660">
        <w:rPr>
          <w:rFonts w:ascii="Verdana" w:hAnsi="Verdana"/>
          <w:sz w:val="20"/>
          <w:szCs w:val="20"/>
          <w:lang w:val="es-ES"/>
        </w:rPr>
        <w:t xml:space="preserve"> carácter –institucional o económico- para garantizar el cumplimiento efectivo de la Convención. En ese sentido, señaló que </w:t>
      </w:r>
      <w:r>
        <w:rPr>
          <w:rFonts w:ascii="Verdana" w:hAnsi="Verdana"/>
          <w:sz w:val="20"/>
          <w:szCs w:val="20"/>
          <w:lang w:val="es-ES"/>
        </w:rPr>
        <w:t>“[</w:t>
      </w:r>
      <w:r w:rsidRPr="00843660">
        <w:rPr>
          <w:rFonts w:ascii="Verdana" w:hAnsi="Verdana"/>
          <w:sz w:val="20"/>
          <w:szCs w:val="20"/>
          <w:lang w:val="es-ES"/>
        </w:rPr>
        <w:t>e</w:t>
      </w:r>
      <w:r>
        <w:rPr>
          <w:rFonts w:ascii="Verdana" w:hAnsi="Verdana"/>
          <w:sz w:val="20"/>
          <w:szCs w:val="20"/>
          <w:lang w:val="es-ES"/>
        </w:rPr>
        <w:t>]</w:t>
      </w:r>
      <w:r w:rsidRPr="00843660">
        <w:rPr>
          <w:rFonts w:ascii="Verdana" w:hAnsi="Verdana"/>
          <w:sz w:val="20"/>
          <w:szCs w:val="20"/>
          <w:lang w:val="es-ES"/>
        </w:rPr>
        <w:t>l Estado</w:t>
      </w:r>
      <w:r>
        <w:rPr>
          <w:rFonts w:ascii="Verdana" w:hAnsi="Verdana"/>
          <w:sz w:val="20"/>
          <w:szCs w:val="20"/>
          <w:lang w:val="es-ES"/>
        </w:rPr>
        <w:t xml:space="preserve"> […] </w:t>
      </w:r>
      <w:r w:rsidRPr="00843660">
        <w:rPr>
          <w:rFonts w:ascii="Verdana" w:hAnsi="Verdana"/>
          <w:sz w:val="20"/>
          <w:szCs w:val="20"/>
          <w:lang w:val="es-ES"/>
        </w:rPr>
        <w:t>se encuentra en pleno proceso de adopción de medidas legislativas de armonización constitucional</w:t>
      </w:r>
      <w:r>
        <w:rPr>
          <w:rFonts w:ascii="Verdana" w:hAnsi="Verdana"/>
          <w:sz w:val="20"/>
          <w:szCs w:val="20"/>
          <w:lang w:val="es-ES"/>
        </w:rPr>
        <w:t xml:space="preserve"> en la Asamblea Nacional</w:t>
      </w:r>
      <w:r w:rsidRPr="00843660">
        <w:rPr>
          <w:rFonts w:ascii="Verdana" w:hAnsi="Verdana"/>
          <w:sz w:val="20"/>
          <w:szCs w:val="20"/>
          <w:lang w:val="es-ES"/>
        </w:rPr>
        <w:t xml:space="preserve"> y en los equipos de investigación jurídica alrededor de la Subsecretaría de Desarrollo Normativo del Ministerio de Justicia y Derechos Humanos</w:t>
      </w:r>
      <w:r>
        <w:rPr>
          <w:rFonts w:ascii="Verdana" w:hAnsi="Verdana"/>
          <w:sz w:val="20"/>
          <w:szCs w:val="20"/>
          <w:lang w:val="es-ES"/>
        </w:rPr>
        <w:t>”</w:t>
      </w:r>
      <w:r w:rsidRPr="00843660">
        <w:rPr>
          <w:rFonts w:ascii="Verdana" w:hAnsi="Verdana"/>
          <w:sz w:val="20"/>
          <w:szCs w:val="20"/>
          <w:lang w:val="es-ES"/>
        </w:rPr>
        <w:t xml:space="preserve">. Por ello, </w:t>
      </w:r>
      <w:r>
        <w:rPr>
          <w:rFonts w:ascii="Verdana" w:hAnsi="Verdana"/>
          <w:sz w:val="20"/>
          <w:szCs w:val="20"/>
          <w:lang w:val="es-ES"/>
        </w:rPr>
        <w:t xml:space="preserve">se debe tomar en </w:t>
      </w:r>
      <w:r w:rsidRPr="00843660">
        <w:rPr>
          <w:rFonts w:ascii="Verdana" w:hAnsi="Verdana"/>
          <w:sz w:val="20"/>
          <w:szCs w:val="20"/>
          <w:lang w:val="es-ES"/>
        </w:rPr>
        <w:t>cuenta el proceso de armonización normativa con la Constitución y que los instrumentos internacionales de derechos humanos se encuentran incorporados en todas las re</w:t>
      </w:r>
      <w:r>
        <w:rPr>
          <w:rFonts w:ascii="Verdana" w:hAnsi="Verdana"/>
          <w:sz w:val="20"/>
          <w:szCs w:val="20"/>
          <w:lang w:val="es-ES"/>
        </w:rPr>
        <w:t>formas adjetivas y sustantivas.</w:t>
      </w:r>
    </w:p>
    <w:p w:rsidR="00F249DD" w:rsidRPr="00B813C6" w:rsidRDefault="00F249DD" w:rsidP="003935C5">
      <w:pPr>
        <w:spacing w:before="280" w:after="280"/>
        <w:rPr>
          <w:rFonts w:ascii="Verdana" w:hAnsi="Verdana"/>
          <w:i/>
          <w:sz w:val="20"/>
          <w:szCs w:val="20"/>
          <w:lang w:val="es-ES"/>
        </w:rPr>
      </w:pPr>
      <w:r w:rsidRPr="007040F4">
        <w:rPr>
          <w:rFonts w:ascii="Verdana" w:hAnsi="Verdana"/>
          <w:i/>
          <w:sz w:val="20"/>
          <w:szCs w:val="20"/>
          <w:lang w:val="es-ES"/>
        </w:rPr>
        <w:t>Consideraciones de la Corte</w:t>
      </w:r>
    </w:p>
    <w:p w:rsidR="00F249DD" w:rsidRPr="00B308C2" w:rsidRDefault="00F249DD" w:rsidP="003935C5">
      <w:pPr>
        <w:pStyle w:val="Prrafodelista"/>
        <w:numPr>
          <w:ilvl w:val="0"/>
          <w:numId w:val="56"/>
        </w:numPr>
        <w:tabs>
          <w:tab w:val="clear" w:pos="1170"/>
        </w:tabs>
        <w:ind w:left="0"/>
        <w:jc w:val="both"/>
        <w:rPr>
          <w:lang w:val="es-CR"/>
        </w:rPr>
      </w:pPr>
      <w:r w:rsidRPr="00B308C2">
        <w:rPr>
          <w:rFonts w:ascii="Verdana" w:hAnsi="Verdana"/>
          <w:sz w:val="20"/>
          <w:szCs w:val="20"/>
          <w:lang w:val="es-ES"/>
        </w:rPr>
        <w:t xml:space="preserve">La Corte observa que los representantes se limitaron en su escrito de solicitudes y pruebas a formular su alegato sin haber ofrecido prueba para </w:t>
      </w:r>
      <w:r w:rsidRPr="00FC3247">
        <w:rPr>
          <w:rFonts w:ascii="Verdana" w:hAnsi="Verdana"/>
          <w:sz w:val="20"/>
          <w:szCs w:val="20"/>
          <w:lang w:val="es-ES"/>
        </w:rPr>
        <w:t xml:space="preserve">la </w:t>
      </w:r>
      <w:r w:rsidRPr="00B308C2">
        <w:rPr>
          <w:rFonts w:ascii="Verdana" w:hAnsi="Verdana"/>
          <w:sz w:val="20"/>
          <w:szCs w:val="20"/>
          <w:lang w:val="es-ES"/>
        </w:rPr>
        <w:t>sustenta</w:t>
      </w:r>
      <w:r w:rsidRPr="00FC3247">
        <w:rPr>
          <w:rFonts w:ascii="Verdana" w:hAnsi="Verdana"/>
          <w:sz w:val="20"/>
          <w:szCs w:val="20"/>
          <w:lang w:val="es-ES"/>
        </w:rPr>
        <w:t>ción</w:t>
      </w:r>
      <w:r w:rsidRPr="00B308C2">
        <w:rPr>
          <w:rFonts w:ascii="Verdana" w:hAnsi="Verdana"/>
          <w:sz w:val="20"/>
          <w:szCs w:val="20"/>
          <w:lang w:val="es-ES"/>
        </w:rPr>
        <w:t xml:space="preserve"> </w:t>
      </w:r>
      <w:r w:rsidRPr="00FC3247">
        <w:rPr>
          <w:rFonts w:ascii="Verdana" w:hAnsi="Verdana"/>
          <w:sz w:val="20"/>
          <w:szCs w:val="20"/>
          <w:lang w:val="es-ES"/>
        </w:rPr>
        <w:t xml:space="preserve">de </w:t>
      </w:r>
      <w:r w:rsidRPr="00B308C2">
        <w:rPr>
          <w:rFonts w:ascii="Verdana" w:hAnsi="Verdana"/>
          <w:sz w:val="20"/>
          <w:szCs w:val="20"/>
          <w:lang w:val="es-ES"/>
        </w:rPr>
        <w:t>la presunta violación del artículo 2 de la Convención</w:t>
      </w:r>
      <w:r w:rsidRPr="00A45324">
        <w:rPr>
          <w:rStyle w:val="Refdenotaalpie"/>
          <w:rFonts w:ascii="Verdana" w:hAnsi="Verdana"/>
          <w:sz w:val="20"/>
          <w:szCs w:val="20"/>
          <w:lang w:val="es-ES"/>
        </w:rPr>
        <w:footnoteReference w:id="96"/>
      </w:r>
      <w:r w:rsidRPr="00FC3247">
        <w:rPr>
          <w:rFonts w:ascii="Verdana" w:hAnsi="Verdana"/>
          <w:sz w:val="20"/>
          <w:szCs w:val="20"/>
          <w:lang w:val="es-ES"/>
        </w:rPr>
        <w:t xml:space="preserve">.  Asimismo, en su escrito de alegatos finales los representantes no se pronunciaron al respecto. En razón de lo anterior, la Corte desestima dicho alegato por falta de elementos. Además, el Tribunal </w:t>
      </w:r>
      <w:r>
        <w:rPr>
          <w:rFonts w:ascii="Verdana" w:hAnsi="Verdana"/>
          <w:sz w:val="20"/>
          <w:szCs w:val="20"/>
          <w:lang w:val="es-ES"/>
        </w:rPr>
        <w:t xml:space="preserve">ya </w:t>
      </w:r>
      <w:r w:rsidRPr="00FC3247">
        <w:rPr>
          <w:rFonts w:ascii="Verdana" w:hAnsi="Verdana"/>
          <w:sz w:val="20"/>
          <w:szCs w:val="20"/>
          <w:lang w:val="es-ES"/>
        </w:rPr>
        <w:t xml:space="preserve">se pronunció </w:t>
      </w:r>
      <w:r>
        <w:rPr>
          <w:rFonts w:ascii="Verdana" w:hAnsi="Verdana"/>
          <w:sz w:val="20"/>
          <w:szCs w:val="20"/>
          <w:lang w:val="es-ES"/>
        </w:rPr>
        <w:t xml:space="preserve">en lo sustantivo </w:t>
      </w:r>
      <w:r w:rsidRPr="00FC3247">
        <w:rPr>
          <w:rFonts w:ascii="Verdana" w:hAnsi="Verdana"/>
          <w:sz w:val="20"/>
          <w:szCs w:val="20"/>
          <w:lang w:val="es-ES"/>
        </w:rPr>
        <w:t>respecto de la falta de ejecución de sentencia en el apartado correspondiente (</w:t>
      </w:r>
      <w:r w:rsidRPr="00FC3247">
        <w:rPr>
          <w:rFonts w:ascii="Verdana" w:hAnsi="Verdana"/>
          <w:i/>
          <w:sz w:val="20"/>
          <w:szCs w:val="20"/>
          <w:lang w:val="es-ES"/>
        </w:rPr>
        <w:t>supra</w:t>
      </w:r>
      <w:r>
        <w:rPr>
          <w:rFonts w:ascii="Verdana" w:hAnsi="Verdana"/>
          <w:sz w:val="20"/>
          <w:szCs w:val="20"/>
          <w:lang w:val="es-ES"/>
        </w:rPr>
        <w:t xml:space="preserve"> </w:t>
      </w:r>
      <w:r w:rsidRPr="00FC3247">
        <w:rPr>
          <w:rFonts w:ascii="Verdana" w:hAnsi="Verdana"/>
          <w:sz w:val="20"/>
          <w:szCs w:val="20"/>
          <w:lang w:val="es-ES"/>
        </w:rPr>
        <w:t>VI. C. b))</w:t>
      </w:r>
    </w:p>
    <w:p w:rsidR="00F249DD" w:rsidRDefault="00F249DD" w:rsidP="003935C5">
      <w:pPr>
        <w:pStyle w:val="Ttulo4"/>
        <w:numPr>
          <w:ilvl w:val="0"/>
          <w:numId w:val="55"/>
        </w:numPr>
        <w:ind w:left="720" w:firstLine="0"/>
        <w:rPr>
          <w:lang w:val="es-ES"/>
        </w:rPr>
      </w:pPr>
      <w:r w:rsidRPr="00C30789">
        <w:rPr>
          <w:lang w:val="es-ES"/>
        </w:rPr>
        <w:lastRenderedPageBreak/>
        <w:t xml:space="preserve">Respecto a la alegada violación del artículo 24 de la Convención Americana </w:t>
      </w:r>
    </w:p>
    <w:p w:rsidR="00F249DD" w:rsidRPr="001F325A" w:rsidRDefault="00F249DD" w:rsidP="003935C5">
      <w:pPr>
        <w:rPr>
          <w:lang w:val="es-ES"/>
        </w:rPr>
      </w:pPr>
    </w:p>
    <w:p w:rsidR="00F249DD" w:rsidRDefault="00F249DD" w:rsidP="003935C5">
      <w:pPr>
        <w:rPr>
          <w:rFonts w:ascii="Verdana" w:hAnsi="Verdana"/>
          <w:bCs/>
          <w:i/>
          <w:sz w:val="20"/>
          <w:szCs w:val="20"/>
          <w:lang w:val="es-ES"/>
        </w:rPr>
      </w:pPr>
      <w:r w:rsidRPr="007040F4">
        <w:rPr>
          <w:rFonts w:ascii="Verdana" w:hAnsi="Verdana"/>
          <w:bCs/>
          <w:i/>
          <w:sz w:val="20"/>
          <w:szCs w:val="20"/>
          <w:lang w:val="es-ES"/>
        </w:rPr>
        <w:t>Alegatos de las partes</w:t>
      </w:r>
    </w:p>
    <w:p w:rsidR="00F249DD" w:rsidRPr="00B813C6" w:rsidRDefault="00F249DD" w:rsidP="003935C5">
      <w:pPr>
        <w:pStyle w:val="Prrafodelista"/>
        <w:ind w:left="0"/>
        <w:jc w:val="both"/>
        <w:rPr>
          <w:lang w:val="es-CR"/>
        </w:rPr>
      </w:pPr>
    </w:p>
    <w:p w:rsidR="00F249DD" w:rsidRPr="00A03204" w:rsidRDefault="00F249DD" w:rsidP="003935C5">
      <w:pPr>
        <w:pStyle w:val="Prrafodelista"/>
        <w:numPr>
          <w:ilvl w:val="0"/>
          <w:numId w:val="56"/>
        </w:numPr>
        <w:tabs>
          <w:tab w:val="clear" w:pos="1170"/>
        </w:tabs>
        <w:ind w:left="0"/>
        <w:jc w:val="both"/>
        <w:rPr>
          <w:rFonts w:ascii="Verdana" w:hAnsi="Verdana"/>
          <w:sz w:val="20"/>
          <w:szCs w:val="20"/>
          <w:lang w:val="es-ES"/>
        </w:rPr>
      </w:pPr>
      <w:r w:rsidRPr="00B813C6">
        <w:rPr>
          <w:rFonts w:ascii="Verdana" w:hAnsi="Verdana"/>
          <w:sz w:val="20"/>
          <w:szCs w:val="20"/>
          <w:lang w:val="es-ES"/>
        </w:rPr>
        <w:t>La Comisión no alegó la violación del artículo 24</w:t>
      </w:r>
      <w:r w:rsidRPr="007040F4">
        <w:rPr>
          <w:rFonts w:ascii="Verdana" w:hAnsi="Verdana" w:cs="Verdana"/>
          <w:sz w:val="20"/>
          <w:szCs w:val="20"/>
          <w:vertAlign w:val="superscript"/>
          <w:lang w:val="es-ES"/>
        </w:rPr>
        <w:footnoteReference w:id="97"/>
      </w:r>
      <w:r w:rsidRPr="00B813C6">
        <w:rPr>
          <w:rFonts w:ascii="Verdana" w:hAnsi="Verdana"/>
          <w:sz w:val="20"/>
          <w:szCs w:val="20"/>
          <w:lang w:val="es-ES"/>
        </w:rPr>
        <w:t xml:space="preserve"> de la Convención Americana.</w:t>
      </w:r>
      <w:r>
        <w:rPr>
          <w:rFonts w:ascii="Verdana" w:hAnsi="Verdana"/>
          <w:sz w:val="20"/>
          <w:szCs w:val="20"/>
          <w:lang w:val="es-ES"/>
        </w:rPr>
        <w:t xml:space="preserve"> </w:t>
      </w:r>
      <w:r w:rsidRPr="00A03204">
        <w:rPr>
          <w:rFonts w:ascii="Verdana" w:hAnsi="Verdana"/>
          <w:sz w:val="20"/>
          <w:szCs w:val="20"/>
          <w:lang w:val="es-ES"/>
        </w:rPr>
        <w:t xml:space="preserve">Los representantes alegaron la violación del artículo 24 por la negativa del ascenso del señor Mejía Idrovo, mientras que se ascendió a otras personas que </w:t>
      </w:r>
      <w:r w:rsidRPr="0047282A">
        <w:rPr>
          <w:rFonts w:ascii="Verdana" w:hAnsi="Verdana"/>
          <w:sz w:val="20"/>
          <w:szCs w:val="20"/>
          <w:lang w:val="es-ES"/>
        </w:rPr>
        <w:t>se encontraban supuestamente en situación</w:t>
      </w:r>
      <w:r w:rsidRPr="00424987">
        <w:rPr>
          <w:rFonts w:ascii="Verdana" w:hAnsi="Verdana"/>
          <w:sz w:val="20"/>
          <w:szCs w:val="20"/>
          <w:lang w:val="es-ES"/>
        </w:rPr>
        <w:t xml:space="preserve"> semejante</w:t>
      </w:r>
      <w:r w:rsidRPr="00A03204">
        <w:rPr>
          <w:rFonts w:ascii="Verdana" w:hAnsi="Verdana"/>
          <w:sz w:val="20"/>
          <w:szCs w:val="20"/>
          <w:lang w:val="es-ES"/>
        </w:rPr>
        <w:t xml:space="preserve"> a la suya. Al respecto, manifestaron que la decisión del Consejo de Oficiales Generales resulta en un “evidente trato desigual </w:t>
      </w:r>
      <w:r>
        <w:rPr>
          <w:rFonts w:ascii="Verdana" w:hAnsi="Verdana"/>
          <w:sz w:val="20"/>
          <w:szCs w:val="20"/>
          <w:lang w:val="es-ES"/>
        </w:rPr>
        <w:t>[</w:t>
      </w:r>
      <w:r w:rsidRPr="00A03204">
        <w:rPr>
          <w:rFonts w:ascii="Verdana" w:hAnsi="Verdana"/>
          <w:sz w:val="20"/>
          <w:szCs w:val="20"/>
          <w:lang w:val="es-ES"/>
        </w:rPr>
        <w:t>con</w:t>
      </w:r>
      <w:r>
        <w:rPr>
          <w:rFonts w:ascii="Verdana" w:hAnsi="Verdana"/>
          <w:sz w:val="20"/>
          <w:szCs w:val="20"/>
          <w:lang w:val="es-ES"/>
        </w:rPr>
        <w:t>]</w:t>
      </w:r>
      <w:r w:rsidRPr="00A03204">
        <w:rPr>
          <w:rFonts w:ascii="Verdana" w:hAnsi="Verdana"/>
          <w:sz w:val="20"/>
          <w:szCs w:val="20"/>
          <w:lang w:val="es-ES"/>
        </w:rPr>
        <w:t xml:space="preserve"> la víctima por parte de [dicho] Consejo […] al favorecer a otros candidatos al grado de </w:t>
      </w:r>
      <w:r>
        <w:rPr>
          <w:rFonts w:ascii="Verdana" w:hAnsi="Verdana"/>
          <w:sz w:val="20"/>
          <w:szCs w:val="20"/>
          <w:lang w:val="es-ES"/>
        </w:rPr>
        <w:t>g</w:t>
      </w:r>
      <w:r w:rsidRPr="00A03204">
        <w:rPr>
          <w:rFonts w:ascii="Verdana" w:hAnsi="Verdana"/>
          <w:sz w:val="20"/>
          <w:szCs w:val="20"/>
          <w:lang w:val="es-ES"/>
        </w:rPr>
        <w:t xml:space="preserve">eneral de </w:t>
      </w:r>
      <w:r>
        <w:rPr>
          <w:rFonts w:ascii="Verdana" w:hAnsi="Verdana"/>
          <w:sz w:val="20"/>
          <w:szCs w:val="20"/>
          <w:lang w:val="es-ES"/>
        </w:rPr>
        <w:t>b</w:t>
      </w:r>
      <w:r w:rsidRPr="00A03204">
        <w:rPr>
          <w:rFonts w:ascii="Verdana" w:hAnsi="Verdana"/>
          <w:sz w:val="20"/>
          <w:szCs w:val="20"/>
          <w:lang w:val="es-ES"/>
        </w:rPr>
        <w:t>rigada” y no ascender al señor Mejía Idrovo. Agregaron que “la discrecionalidad tiene señalados sus límites en la Ley de Personal de las Fuerzas Armadas” y “si [con base en] esa normativa se ascendió a otros oficiales superiores, el no haber procedido de igual forma con el recurrente, viola su derecho a la igualdad ante la ley consagrado en la Constitución”.  Además alegaron que la aplicación del fallo del Tribunal Constitucional fue discriminatorio, debido a que en otros casos se ha ejecutado un fallo semejante</w:t>
      </w:r>
      <w:r>
        <w:rPr>
          <w:rFonts w:ascii="Verdana" w:hAnsi="Verdana"/>
          <w:sz w:val="20"/>
          <w:szCs w:val="20"/>
          <w:lang w:val="es-ES"/>
        </w:rPr>
        <w:t xml:space="preserve"> </w:t>
      </w:r>
      <w:r w:rsidRPr="00424987">
        <w:rPr>
          <w:rFonts w:ascii="Verdana" w:hAnsi="Verdana"/>
          <w:sz w:val="20"/>
          <w:szCs w:val="20"/>
          <w:lang w:val="es-ES"/>
        </w:rPr>
        <w:t xml:space="preserve">y </w:t>
      </w:r>
      <w:r w:rsidRPr="0047282A">
        <w:rPr>
          <w:rFonts w:ascii="Verdana" w:hAnsi="Verdana"/>
          <w:sz w:val="20"/>
          <w:szCs w:val="20"/>
          <w:lang w:val="es-ES"/>
        </w:rPr>
        <w:t>que</w:t>
      </w:r>
      <w:r w:rsidRPr="005034F3">
        <w:rPr>
          <w:rFonts w:ascii="Verdana" w:hAnsi="Verdana"/>
          <w:b/>
          <w:sz w:val="20"/>
          <w:szCs w:val="20"/>
          <w:lang w:val="es-ES"/>
        </w:rPr>
        <w:t xml:space="preserve"> </w:t>
      </w:r>
      <w:r w:rsidRPr="00A03204">
        <w:rPr>
          <w:rFonts w:ascii="Verdana" w:hAnsi="Verdana"/>
          <w:sz w:val="20"/>
          <w:szCs w:val="20"/>
          <w:lang w:val="es-ES"/>
        </w:rPr>
        <w:t xml:space="preserve">al aplicar la irretroactividad se le está dando un “trato diferente”. Cabe señalar que posteriormente, los representantes no se pronunciaron respecto de la alegada violación del artículo 24 de la Convención.  </w:t>
      </w:r>
    </w:p>
    <w:p w:rsidR="00F249DD" w:rsidRDefault="00F249DD" w:rsidP="003935C5">
      <w:pPr>
        <w:jc w:val="both"/>
        <w:rPr>
          <w:rFonts w:ascii="Verdana" w:hAnsi="Verdana"/>
          <w:sz w:val="20"/>
          <w:szCs w:val="20"/>
          <w:lang w:val="es-ES"/>
        </w:rPr>
      </w:pPr>
    </w:p>
    <w:p w:rsidR="00F249DD" w:rsidRPr="00A04CE3" w:rsidRDefault="00F249DD" w:rsidP="003935C5">
      <w:pPr>
        <w:numPr>
          <w:ilvl w:val="0"/>
          <w:numId w:val="56"/>
        </w:numPr>
        <w:tabs>
          <w:tab w:val="clear" w:pos="1170"/>
        </w:tabs>
        <w:ind w:left="0"/>
        <w:jc w:val="both"/>
        <w:rPr>
          <w:rFonts w:ascii="Verdana" w:hAnsi="Verdana"/>
          <w:sz w:val="20"/>
          <w:szCs w:val="20"/>
          <w:lang w:val="es-ES"/>
        </w:rPr>
      </w:pPr>
      <w:r w:rsidRPr="00E05410">
        <w:rPr>
          <w:rFonts w:ascii="Verdana" w:hAnsi="Verdana"/>
          <w:sz w:val="20"/>
          <w:szCs w:val="20"/>
          <w:lang w:val="es-ES"/>
        </w:rPr>
        <w:t xml:space="preserve">El Estado alegó que no existe violación del artículo 24 de la Convención, </w:t>
      </w:r>
      <w:r w:rsidRPr="00FC3247">
        <w:rPr>
          <w:rFonts w:ascii="Verdana" w:hAnsi="Verdana"/>
          <w:sz w:val="20"/>
          <w:szCs w:val="20"/>
          <w:lang w:val="es-ES"/>
        </w:rPr>
        <w:t>y en su contestación a la demanda señaló que, de acuerdo a la Opinión Consultiva 4/84,  “no todo tratamiento jurídico diferente es propiamente discriminatorio […] por esto pueden verificarse desigualdades de hecho que legítimamente pueden traducirse en desigualdades de tratamiento jurídico, sin que tales situaciones entren en contradicción con la justicia o menoscaben derechos […]”.</w:t>
      </w:r>
    </w:p>
    <w:p w:rsidR="00F249DD" w:rsidRPr="007040F4" w:rsidRDefault="00F249DD" w:rsidP="003935C5">
      <w:pPr>
        <w:jc w:val="both"/>
        <w:rPr>
          <w:rFonts w:ascii="Verdana" w:hAnsi="Verdana"/>
          <w:sz w:val="20"/>
          <w:szCs w:val="20"/>
          <w:lang w:val="es-ES"/>
        </w:rPr>
      </w:pPr>
    </w:p>
    <w:p w:rsidR="00F249DD" w:rsidRPr="000833F5" w:rsidRDefault="00F249DD" w:rsidP="003935C5">
      <w:pPr>
        <w:numPr>
          <w:ilvl w:val="0"/>
          <w:numId w:val="56"/>
        </w:numPr>
        <w:tabs>
          <w:tab w:val="clear" w:pos="1170"/>
        </w:tabs>
        <w:ind w:left="0"/>
        <w:jc w:val="both"/>
        <w:rPr>
          <w:rFonts w:ascii="Verdana" w:hAnsi="Verdana"/>
          <w:sz w:val="20"/>
          <w:szCs w:val="20"/>
          <w:lang w:val="es-ES"/>
        </w:rPr>
      </w:pPr>
      <w:r w:rsidRPr="000833F5">
        <w:rPr>
          <w:rFonts w:ascii="Verdana" w:hAnsi="Verdana"/>
          <w:sz w:val="20"/>
          <w:szCs w:val="20"/>
          <w:lang w:val="es-ES"/>
        </w:rPr>
        <w:t xml:space="preserve">En relación con el proceso de </w:t>
      </w:r>
      <w:r w:rsidRPr="00FC3247">
        <w:rPr>
          <w:rFonts w:ascii="Verdana" w:hAnsi="Verdana"/>
          <w:sz w:val="20"/>
          <w:szCs w:val="20"/>
          <w:lang w:val="es-ES"/>
        </w:rPr>
        <w:t>calificación</w:t>
      </w:r>
      <w:r w:rsidRPr="000833F5">
        <w:rPr>
          <w:rFonts w:ascii="Verdana" w:hAnsi="Verdana"/>
          <w:sz w:val="20"/>
          <w:szCs w:val="20"/>
          <w:lang w:val="es-ES"/>
        </w:rPr>
        <w:t xml:space="preserve"> de ascenso del señor Mejía Idrovo, los representantes indicaron que el Estado informó, mediante nota de 25 de febrero de 2011, que el Ministerio de Defensa convocó al Consejo de Oficiales Generales para dar inicio al proceso de calificación de la </w:t>
      </w:r>
      <w:r w:rsidRPr="0059593D">
        <w:rPr>
          <w:rFonts w:ascii="Verdana" w:hAnsi="Verdana"/>
          <w:sz w:val="20"/>
          <w:szCs w:val="20"/>
          <w:lang w:val="es-ES"/>
        </w:rPr>
        <w:t>presunta víctima.</w:t>
      </w:r>
      <w:r w:rsidRPr="000833F5">
        <w:rPr>
          <w:rFonts w:ascii="Verdana" w:hAnsi="Verdana"/>
          <w:sz w:val="20"/>
          <w:szCs w:val="20"/>
          <w:lang w:val="es-ES"/>
        </w:rPr>
        <w:t xml:space="preserve"> Agregaron que el 23 de marzo de 2011 el señor Mejía Idrovo recibió el oficio N.-2011-0046-SCOGFT de 22 de marzo de 2011, suscrito por el Presidente de Consejo Oficiales Generales, mediante el cual le comunican que dicho Consejo resolvió calificarlo como no apto para el ascenso al grado de General de Brigada, aplicando lo dispuesto en el artículo 76.f) de la Ley de personal. Al respecto, los representantes afirmaron que el Consejo de Oficiales Generales “no procedió conforme lo ordenado en la sentencia [de incumplimiento</w:t>
      </w:r>
      <w:r>
        <w:rPr>
          <w:rFonts w:ascii="Verdana" w:hAnsi="Verdana"/>
          <w:sz w:val="20"/>
          <w:szCs w:val="20"/>
          <w:lang w:val="es-ES"/>
        </w:rPr>
        <w:t>,</w:t>
      </w:r>
      <w:r w:rsidRPr="000833F5">
        <w:rPr>
          <w:rFonts w:ascii="Verdana" w:hAnsi="Verdana"/>
          <w:sz w:val="20"/>
          <w:szCs w:val="20"/>
          <w:lang w:val="es-ES"/>
        </w:rPr>
        <w:t>] sino que volvió al inicio, como que el señor Mejía Idrovo recién se presentara a un proceso de calificación para su ascenso”</w:t>
      </w:r>
      <w:r w:rsidRPr="005C34C5">
        <w:rPr>
          <w:rFonts w:ascii="Verdana" w:hAnsi="Verdana"/>
          <w:sz w:val="20"/>
          <w:szCs w:val="20"/>
          <w:lang w:val="es-ES"/>
        </w:rPr>
        <w:t xml:space="preserve"> </w:t>
      </w:r>
      <w:r w:rsidRPr="000833F5">
        <w:rPr>
          <w:rFonts w:ascii="Verdana" w:hAnsi="Verdana"/>
          <w:sz w:val="20"/>
          <w:szCs w:val="20"/>
          <w:lang w:val="es-ES"/>
        </w:rPr>
        <w:t>(</w:t>
      </w:r>
      <w:r w:rsidRPr="000833F5">
        <w:rPr>
          <w:rFonts w:ascii="Verdana" w:hAnsi="Verdana"/>
          <w:i/>
          <w:sz w:val="20"/>
          <w:szCs w:val="20"/>
          <w:lang w:val="es-ES"/>
        </w:rPr>
        <w:t>supra</w:t>
      </w:r>
      <w:r w:rsidRPr="000833F5">
        <w:rPr>
          <w:rFonts w:ascii="Verdana" w:hAnsi="Verdana"/>
          <w:sz w:val="20"/>
          <w:szCs w:val="20"/>
          <w:lang w:val="es-ES"/>
        </w:rPr>
        <w:t xml:space="preserve"> </w:t>
      </w:r>
      <w:r>
        <w:rPr>
          <w:rFonts w:ascii="Verdana" w:hAnsi="Verdana"/>
          <w:sz w:val="20"/>
          <w:szCs w:val="20"/>
          <w:lang w:val="es-ES"/>
        </w:rPr>
        <w:t>párr. 99</w:t>
      </w:r>
      <w:r w:rsidRPr="000833F5">
        <w:rPr>
          <w:rFonts w:ascii="Verdana" w:hAnsi="Verdana"/>
          <w:sz w:val="20"/>
          <w:szCs w:val="20"/>
          <w:lang w:val="es-ES"/>
        </w:rPr>
        <w:t>)</w:t>
      </w:r>
      <w:r>
        <w:rPr>
          <w:rFonts w:ascii="Verdana" w:hAnsi="Verdana"/>
          <w:sz w:val="20"/>
          <w:szCs w:val="20"/>
          <w:lang w:val="es-ES"/>
        </w:rPr>
        <w:t>.</w:t>
      </w:r>
      <w:r w:rsidRPr="000833F5">
        <w:rPr>
          <w:rFonts w:ascii="Verdana" w:hAnsi="Verdana"/>
          <w:sz w:val="20"/>
          <w:szCs w:val="20"/>
          <w:lang w:val="es-ES"/>
        </w:rPr>
        <w:t xml:space="preserve"> En razón de esto, el 25 de marzo de 2011 el señor Mejía Idrovo presentó una acción de impugnación de lo resuelto por dicho Consejo. </w:t>
      </w:r>
    </w:p>
    <w:p w:rsidR="00F249DD" w:rsidRPr="007040F4" w:rsidRDefault="00F249DD" w:rsidP="003935C5">
      <w:pPr>
        <w:jc w:val="both"/>
        <w:rPr>
          <w:rFonts w:ascii="Verdana" w:hAnsi="Verdana"/>
          <w:sz w:val="20"/>
          <w:szCs w:val="20"/>
          <w:lang w:val="es-ES"/>
        </w:rPr>
      </w:pPr>
    </w:p>
    <w:p w:rsidR="00F249DD" w:rsidRPr="00007006" w:rsidRDefault="00F249DD" w:rsidP="00007006">
      <w:pPr>
        <w:numPr>
          <w:ilvl w:val="0"/>
          <w:numId w:val="56"/>
        </w:numPr>
        <w:tabs>
          <w:tab w:val="clear" w:pos="1170"/>
        </w:tabs>
        <w:ind w:left="0"/>
        <w:jc w:val="both"/>
        <w:rPr>
          <w:rFonts w:ascii="Verdana" w:hAnsi="Verdana"/>
          <w:sz w:val="20"/>
          <w:szCs w:val="20"/>
          <w:lang w:val="es-ES"/>
        </w:rPr>
      </w:pPr>
      <w:r>
        <w:rPr>
          <w:rFonts w:ascii="Verdana" w:hAnsi="Verdana"/>
          <w:sz w:val="20"/>
          <w:szCs w:val="20"/>
          <w:lang w:val="es-ES"/>
        </w:rPr>
        <w:t xml:space="preserve">Por su parte, </w:t>
      </w:r>
      <w:r w:rsidRPr="007040F4">
        <w:rPr>
          <w:rFonts w:ascii="Verdana" w:hAnsi="Verdana"/>
          <w:sz w:val="20"/>
          <w:szCs w:val="20"/>
          <w:lang w:val="es-ES"/>
        </w:rPr>
        <w:t>el Estado informó sobre el inicio</w:t>
      </w:r>
      <w:r>
        <w:rPr>
          <w:rFonts w:ascii="Verdana" w:hAnsi="Verdana"/>
          <w:sz w:val="20"/>
          <w:szCs w:val="20"/>
          <w:lang w:val="es-ES"/>
        </w:rPr>
        <w:t xml:space="preserve"> del</w:t>
      </w:r>
      <w:r w:rsidRPr="007040F4">
        <w:rPr>
          <w:rFonts w:ascii="Verdana" w:hAnsi="Verdana"/>
          <w:sz w:val="20"/>
          <w:szCs w:val="20"/>
          <w:lang w:val="es-ES"/>
        </w:rPr>
        <w:t xml:space="preserve"> proceso de</w:t>
      </w:r>
      <w:r>
        <w:rPr>
          <w:rFonts w:ascii="Verdana" w:hAnsi="Verdana"/>
          <w:sz w:val="20"/>
          <w:szCs w:val="20"/>
          <w:lang w:val="es-ES"/>
        </w:rPr>
        <w:t xml:space="preserve"> </w:t>
      </w:r>
      <w:r w:rsidRPr="00FC3247">
        <w:rPr>
          <w:rFonts w:ascii="Verdana" w:hAnsi="Verdana"/>
          <w:sz w:val="20"/>
          <w:szCs w:val="20"/>
          <w:lang w:val="es-ES"/>
        </w:rPr>
        <w:t xml:space="preserve">calificación </w:t>
      </w:r>
      <w:r>
        <w:rPr>
          <w:rFonts w:ascii="Verdana" w:hAnsi="Verdana"/>
          <w:sz w:val="20"/>
          <w:szCs w:val="20"/>
          <w:lang w:val="es-ES"/>
        </w:rPr>
        <w:t>de ascenso</w:t>
      </w:r>
      <w:r w:rsidRPr="007040F4">
        <w:rPr>
          <w:rFonts w:ascii="Verdana" w:hAnsi="Verdana"/>
          <w:sz w:val="20"/>
          <w:szCs w:val="20"/>
          <w:lang w:val="es-ES"/>
        </w:rPr>
        <w:t xml:space="preserve"> de la presunta víctima</w:t>
      </w:r>
      <w:r>
        <w:rPr>
          <w:rFonts w:ascii="Verdana" w:hAnsi="Verdana"/>
          <w:sz w:val="20"/>
          <w:szCs w:val="20"/>
          <w:lang w:val="es-ES"/>
        </w:rPr>
        <w:t>,</w:t>
      </w:r>
      <w:r w:rsidRPr="007040F4">
        <w:rPr>
          <w:rFonts w:ascii="Verdana" w:hAnsi="Verdana"/>
          <w:sz w:val="20"/>
          <w:szCs w:val="20"/>
          <w:lang w:val="es-ES"/>
        </w:rPr>
        <w:t xml:space="preserve"> y </w:t>
      </w:r>
      <w:r>
        <w:rPr>
          <w:rFonts w:ascii="Verdana" w:hAnsi="Verdana"/>
          <w:sz w:val="20"/>
          <w:szCs w:val="20"/>
          <w:lang w:val="es-ES"/>
        </w:rPr>
        <w:t>remitió</w:t>
      </w:r>
      <w:r w:rsidRPr="007040F4">
        <w:rPr>
          <w:rFonts w:ascii="Verdana" w:hAnsi="Verdana"/>
          <w:sz w:val="20"/>
          <w:szCs w:val="20"/>
          <w:lang w:val="es-ES"/>
        </w:rPr>
        <w:t xml:space="preserve"> las decisiones </w:t>
      </w:r>
      <w:r>
        <w:rPr>
          <w:rFonts w:ascii="Verdana" w:hAnsi="Verdana"/>
          <w:sz w:val="20"/>
          <w:szCs w:val="20"/>
          <w:lang w:val="es-ES"/>
        </w:rPr>
        <w:t>emitidas</w:t>
      </w:r>
      <w:r w:rsidRPr="007040F4">
        <w:rPr>
          <w:rFonts w:ascii="Verdana" w:hAnsi="Verdana"/>
          <w:sz w:val="20"/>
          <w:szCs w:val="20"/>
          <w:lang w:val="es-ES"/>
        </w:rPr>
        <w:t xml:space="preserve"> por el Consejo de </w:t>
      </w:r>
      <w:r>
        <w:rPr>
          <w:rFonts w:ascii="Verdana" w:hAnsi="Verdana"/>
          <w:sz w:val="20"/>
          <w:szCs w:val="20"/>
          <w:lang w:val="es-ES"/>
        </w:rPr>
        <w:t xml:space="preserve">Oficiales </w:t>
      </w:r>
      <w:r w:rsidRPr="007040F4">
        <w:rPr>
          <w:rFonts w:ascii="Verdana" w:hAnsi="Verdana"/>
          <w:sz w:val="20"/>
          <w:szCs w:val="20"/>
          <w:lang w:val="es-ES"/>
        </w:rPr>
        <w:t>Generales</w:t>
      </w:r>
      <w:r>
        <w:rPr>
          <w:rFonts w:ascii="Verdana" w:hAnsi="Verdana"/>
          <w:sz w:val="20"/>
          <w:szCs w:val="20"/>
          <w:lang w:val="es-ES"/>
        </w:rPr>
        <w:t>,</w:t>
      </w:r>
      <w:r w:rsidRPr="007040F4">
        <w:rPr>
          <w:rFonts w:ascii="Verdana" w:hAnsi="Verdana"/>
          <w:sz w:val="20"/>
          <w:szCs w:val="20"/>
          <w:lang w:val="es-ES"/>
        </w:rPr>
        <w:t xml:space="preserve"> </w:t>
      </w:r>
      <w:r w:rsidRPr="00331B80">
        <w:rPr>
          <w:rFonts w:ascii="Verdana" w:hAnsi="Verdana"/>
          <w:sz w:val="20"/>
          <w:szCs w:val="20"/>
          <w:lang w:val="es-ES"/>
        </w:rPr>
        <w:t>oficio</w:t>
      </w:r>
      <w:r>
        <w:rPr>
          <w:rFonts w:ascii="Verdana" w:hAnsi="Verdana"/>
          <w:sz w:val="20"/>
          <w:szCs w:val="20"/>
          <w:lang w:val="es-ES"/>
        </w:rPr>
        <w:t>s</w:t>
      </w:r>
      <w:r w:rsidRPr="00331B80">
        <w:rPr>
          <w:rFonts w:ascii="Verdana" w:hAnsi="Verdana"/>
          <w:sz w:val="20"/>
          <w:szCs w:val="20"/>
          <w:lang w:val="es-ES"/>
        </w:rPr>
        <w:t xml:space="preserve"> N.-2011-0046-SCOGFT 22 de marzo y N.-2011-0062-SCOGFT 6 de abril </w:t>
      </w:r>
      <w:r>
        <w:rPr>
          <w:rFonts w:ascii="Verdana" w:hAnsi="Verdana"/>
          <w:sz w:val="20"/>
          <w:szCs w:val="20"/>
          <w:lang w:val="es-ES"/>
        </w:rPr>
        <w:t xml:space="preserve">de </w:t>
      </w:r>
      <w:r w:rsidRPr="00331B80">
        <w:rPr>
          <w:rFonts w:ascii="Verdana" w:hAnsi="Verdana"/>
          <w:sz w:val="20"/>
          <w:szCs w:val="20"/>
          <w:lang w:val="es-ES"/>
        </w:rPr>
        <w:t>201</w:t>
      </w:r>
      <w:r w:rsidRPr="0059593D">
        <w:rPr>
          <w:rFonts w:ascii="Verdana" w:hAnsi="Verdana"/>
          <w:sz w:val="20"/>
          <w:szCs w:val="20"/>
          <w:lang w:val="es-ES"/>
        </w:rPr>
        <w:t>1</w:t>
      </w:r>
      <w:r w:rsidRPr="0059593D">
        <w:rPr>
          <w:rStyle w:val="Refdenotaalpie"/>
          <w:rFonts w:ascii="Verdana" w:hAnsi="Verdana"/>
          <w:sz w:val="20"/>
          <w:szCs w:val="20"/>
          <w:lang w:val="es-ES"/>
        </w:rPr>
        <w:footnoteReference w:id="98"/>
      </w:r>
      <w:r w:rsidRPr="0059593D">
        <w:rPr>
          <w:rFonts w:ascii="Verdana" w:hAnsi="Verdana"/>
          <w:sz w:val="20"/>
          <w:szCs w:val="20"/>
          <w:lang w:val="es-ES"/>
        </w:rPr>
        <w:t>.</w:t>
      </w:r>
      <w:r>
        <w:rPr>
          <w:rFonts w:ascii="Verdana" w:hAnsi="Verdana"/>
          <w:sz w:val="20"/>
          <w:szCs w:val="20"/>
          <w:lang w:val="es-ES"/>
        </w:rPr>
        <w:t xml:space="preserve"> </w:t>
      </w:r>
    </w:p>
    <w:p w:rsidR="00F249DD" w:rsidRPr="00EB0B38" w:rsidRDefault="00F249DD" w:rsidP="00007006">
      <w:pPr>
        <w:spacing w:before="280" w:after="280"/>
        <w:rPr>
          <w:rFonts w:ascii="Verdana" w:hAnsi="Verdana"/>
          <w:i/>
          <w:sz w:val="20"/>
          <w:szCs w:val="20"/>
          <w:lang w:val="es-ES"/>
        </w:rPr>
      </w:pPr>
      <w:r w:rsidRPr="007040F4">
        <w:rPr>
          <w:rFonts w:ascii="Verdana" w:hAnsi="Verdana"/>
          <w:i/>
          <w:sz w:val="20"/>
          <w:szCs w:val="20"/>
          <w:lang w:val="es-ES"/>
        </w:rPr>
        <w:t>Consideraciones de la Corte</w:t>
      </w:r>
    </w:p>
    <w:p w:rsidR="00F249DD" w:rsidRPr="00007006" w:rsidRDefault="00F249DD" w:rsidP="00007006">
      <w:pPr>
        <w:jc w:val="both"/>
        <w:rPr>
          <w:rFonts w:ascii="Verdana" w:hAnsi="Verdana"/>
          <w:sz w:val="20"/>
          <w:szCs w:val="20"/>
          <w:lang w:val="es-ES"/>
        </w:rPr>
      </w:pPr>
    </w:p>
    <w:p w:rsidR="00F249DD" w:rsidRPr="00007006" w:rsidRDefault="00F249DD" w:rsidP="00007006">
      <w:pPr>
        <w:numPr>
          <w:ilvl w:val="0"/>
          <w:numId w:val="56"/>
        </w:numPr>
        <w:tabs>
          <w:tab w:val="clear" w:pos="1170"/>
        </w:tabs>
        <w:ind w:left="0"/>
        <w:jc w:val="both"/>
        <w:rPr>
          <w:rFonts w:ascii="Verdana" w:hAnsi="Verdana"/>
          <w:sz w:val="20"/>
          <w:szCs w:val="20"/>
          <w:lang w:val="es-ES"/>
        </w:rPr>
      </w:pPr>
      <w:r w:rsidRPr="00007006">
        <w:rPr>
          <w:rFonts w:ascii="Verdana" w:hAnsi="Verdana"/>
          <w:sz w:val="20"/>
          <w:szCs w:val="20"/>
          <w:lang w:val="es-ES"/>
        </w:rPr>
        <w:t>En el presente caso, la Corte nota que el Tribunal Constitucional en su decisión de 12 de marzo 2002 (</w:t>
      </w:r>
      <w:r w:rsidRPr="00007006">
        <w:rPr>
          <w:rFonts w:ascii="Verdana" w:hAnsi="Verdana"/>
          <w:i/>
          <w:sz w:val="20"/>
          <w:szCs w:val="20"/>
          <w:lang w:val="es-ES"/>
        </w:rPr>
        <w:t xml:space="preserve">supra </w:t>
      </w:r>
      <w:r w:rsidRPr="00007006">
        <w:rPr>
          <w:rFonts w:ascii="Verdana" w:hAnsi="Verdana"/>
          <w:sz w:val="20"/>
          <w:szCs w:val="20"/>
          <w:lang w:val="es-ES"/>
        </w:rPr>
        <w:t>párr. 50), indicó que “si en base [a la Ley de Personal] se dio el ascenso de otros Oficiales Superiores, el no haber procedido de igual forma con el ciudadano reclamante viola el derecho a la igualdad de las personas ante la ley […]”. Posteriormente a las sentencias emitidas por la Corte Constitucional el 8 de octubre de 2009 y 11 de marzo de 2010, el señor Mejía Idrovo el 18 de octubre de 2010 fue reincorporado al servicio activo como coronel del Ejército (</w:t>
      </w:r>
      <w:r w:rsidRPr="00007006">
        <w:rPr>
          <w:rFonts w:ascii="Verdana" w:hAnsi="Verdana"/>
          <w:i/>
          <w:sz w:val="20"/>
          <w:szCs w:val="20"/>
          <w:lang w:val="es-ES"/>
        </w:rPr>
        <w:t>supra</w:t>
      </w:r>
      <w:r w:rsidRPr="00007006">
        <w:rPr>
          <w:rFonts w:ascii="Verdana" w:hAnsi="Verdana"/>
          <w:sz w:val="20"/>
          <w:szCs w:val="20"/>
          <w:lang w:val="es-ES"/>
        </w:rPr>
        <w:t xml:space="preserve"> párrs. 57 y 58).</w:t>
      </w:r>
    </w:p>
    <w:p w:rsidR="00F249DD" w:rsidRPr="00972E17" w:rsidRDefault="00F249DD" w:rsidP="003935C5">
      <w:pPr>
        <w:rPr>
          <w:rFonts w:ascii="Verdana" w:hAnsi="Verdana"/>
          <w:sz w:val="20"/>
          <w:szCs w:val="20"/>
          <w:lang w:val="es-ES"/>
        </w:rPr>
      </w:pPr>
    </w:p>
    <w:p w:rsidR="00F249DD" w:rsidRPr="00A04CE3" w:rsidRDefault="00F249DD" w:rsidP="003935C5">
      <w:pPr>
        <w:numPr>
          <w:ilvl w:val="0"/>
          <w:numId w:val="56"/>
        </w:numPr>
        <w:tabs>
          <w:tab w:val="clear" w:pos="1170"/>
        </w:tabs>
        <w:ind w:left="0"/>
        <w:jc w:val="both"/>
        <w:rPr>
          <w:rFonts w:ascii="Verdana" w:hAnsi="Verdana"/>
          <w:sz w:val="20"/>
          <w:szCs w:val="20"/>
          <w:lang w:val="es-ES"/>
        </w:rPr>
      </w:pPr>
      <w:r w:rsidRPr="00FC3247">
        <w:rPr>
          <w:rFonts w:ascii="Verdana" w:hAnsi="Verdana"/>
          <w:sz w:val="20"/>
          <w:szCs w:val="20"/>
          <w:lang w:val="es-ES"/>
        </w:rPr>
        <w:t xml:space="preserve">Además, cabe señalar que, pese al pronunciamiento del Tribunal Constitucional al respecto, no cuenta con elementos suficientes para establecer, a la luz de la Convención Americana si hubo una protección desigual en la ley interna. Los representantes en este caso no remitieron pruebas específicas, tal como </w:t>
      </w:r>
      <w:r w:rsidRPr="00FC3247">
        <w:rPr>
          <w:rFonts w:ascii="Verdana" w:hAnsi="Verdana"/>
          <w:sz w:val="20"/>
          <w:szCs w:val="20"/>
          <w:lang w:val="es-CR"/>
        </w:rPr>
        <w:t>la situación de los otros solicitantes que participaron en el proceso de calificación, nombres y los criterios técnicos que les fueron aplicados, en cada caso, para su ascenso,</w:t>
      </w:r>
      <w:r w:rsidRPr="00FC3247">
        <w:rPr>
          <w:rFonts w:ascii="Verdana" w:hAnsi="Verdana"/>
          <w:sz w:val="20"/>
          <w:szCs w:val="20"/>
          <w:lang w:val="es-ES"/>
        </w:rPr>
        <w:t xml:space="preserve"> que le permitan al Tribunal, actuando dentro de los límites de su jurisdicción, concluir que el señor Mejía Idrovo hubiera sido objeto en este aspecto de un trato discriminatorio</w:t>
      </w:r>
      <w:r w:rsidRPr="00972E17">
        <w:rPr>
          <w:rStyle w:val="Refdenotaalpie"/>
          <w:rFonts w:ascii="Verdana" w:hAnsi="Verdana"/>
          <w:sz w:val="20"/>
          <w:szCs w:val="20"/>
          <w:lang w:val="es-ES"/>
        </w:rPr>
        <w:footnoteReference w:id="99"/>
      </w:r>
      <w:r w:rsidRPr="00972E17">
        <w:rPr>
          <w:rFonts w:ascii="Verdana" w:hAnsi="Verdana"/>
          <w:sz w:val="20"/>
          <w:szCs w:val="20"/>
          <w:lang w:val="es-ES"/>
        </w:rPr>
        <w:t xml:space="preserve">. </w:t>
      </w:r>
      <w:r w:rsidRPr="00972E17">
        <w:rPr>
          <w:rFonts w:ascii="Verdana" w:hAnsi="Verdana"/>
          <w:sz w:val="20"/>
          <w:szCs w:val="20"/>
          <w:lang w:val="es-CR"/>
        </w:rPr>
        <w:t xml:space="preserve"> </w:t>
      </w:r>
    </w:p>
    <w:p w:rsidR="00F249DD" w:rsidRDefault="00F249DD" w:rsidP="003935C5">
      <w:pPr>
        <w:jc w:val="both"/>
        <w:rPr>
          <w:rFonts w:ascii="Verdana" w:hAnsi="Verdana"/>
          <w:sz w:val="20"/>
          <w:szCs w:val="20"/>
          <w:lang w:val="es-ES"/>
        </w:rPr>
      </w:pPr>
    </w:p>
    <w:p w:rsidR="00F249DD" w:rsidRPr="007040F4" w:rsidRDefault="00F249DD" w:rsidP="003935C5">
      <w:pPr>
        <w:numPr>
          <w:ilvl w:val="0"/>
          <w:numId w:val="56"/>
        </w:numPr>
        <w:tabs>
          <w:tab w:val="clear" w:pos="1170"/>
        </w:tabs>
        <w:ind w:left="0"/>
        <w:jc w:val="both"/>
        <w:rPr>
          <w:rFonts w:ascii="Verdana" w:hAnsi="Verdana"/>
          <w:sz w:val="20"/>
          <w:szCs w:val="20"/>
          <w:lang w:val="es-ES"/>
        </w:rPr>
      </w:pPr>
      <w:r w:rsidRPr="007040F4">
        <w:rPr>
          <w:rFonts w:ascii="Verdana" w:hAnsi="Verdana"/>
          <w:sz w:val="20"/>
          <w:szCs w:val="20"/>
          <w:lang w:val="es-ES"/>
        </w:rPr>
        <w:t xml:space="preserve">En consideración de lo expuesto, </w:t>
      </w:r>
      <w:r>
        <w:rPr>
          <w:rFonts w:ascii="Verdana" w:hAnsi="Verdana"/>
          <w:sz w:val="20"/>
          <w:szCs w:val="20"/>
          <w:lang w:val="es-ES"/>
        </w:rPr>
        <w:t xml:space="preserve">este Tribunal </w:t>
      </w:r>
      <w:r w:rsidRPr="007040F4">
        <w:rPr>
          <w:rFonts w:ascii="Verdana" w:hAnsi="Verdana"/>
          <w:sz w:val="20"/>
          <w:szCs w:val="20"/>
          <w:lang w:val="es-ES"/>
        </w:rPr>
        <w:t xml:space="preserve">estima que </w:t>
      </w:r>
      <w:r>
        <w:rPr>
          <w:rFonts w:ascii="Verdana" w:hAnsi="Verdana"/>
          <w:sz w:val="20"/>
          <w:szCs w:val="20"/>
          <w:lang w:val="es-ES"/>
        </w:rPr>
        <w:t>en el presente caso no tiene elementos probatorios suficientes para concluir que es fundada la alegada violación del derecho a la igualdad reconocido en el artículo 24 de la Convención Americana</w:t>
      </w:r>
      <w:r>
        <w:rPr>
          <w:rStyle w:val="Refdenotaalpie"/>
          <w:rFonts w:ascii="Verdana" w:hAnsi="Verdana"/>
          <w:sz w:val="20"/>
          <w:szCs w:val="20"/>
          <w:lang w:val="es-ES"/>
        </w:rPr>
        <w:footnoteReference w:id="100"/>
      </w:r>
      <w:r>
        <w:rPr>
          <w:rFonts w:ascii="Verdana" w:hAnsi="Verdana"/>
          <w:sz w:val="20"/>
          <w:szCs w:val="20"/>
          <w:lang w:val="es-ES"/>
        </w:rPr>
        <w:t xml:space="preserve">. </w:t>
      </w:r>
    </w:p>
    <w:p w:rsidR="00F249DD" w:rsidRPr="007040F4" w:rsidRDefault="00F249DD" w:rsidP="003935C5">
      <w:pPr>
        <w:jc w:val="both"/>
        <w:rPr>
          <w:rFonts w:ascii="Verdana" w:hAnsi="Verdana"/>
          <w:sz w:val="20"/>
          <w:szCs w:val="20"/>
          <w:lang w:val="es-ES"/>
        </w:rPr>
      </w:pPr>
      <w:r w:rsidRPr="00651EAC">
        <w:rPr>
          <w:rFonts w:ascii="Verdana" w:hAnsi="Verdana"/>
          <w:sz w:val="20"/>
          <w:szCs w:val="20"/>
          <w:lang w:val="es-ES"/>
        </w:rPr>
        <w:t xml:space="preserve"> </w:t>
      </w:r>
    </w:p>
    <w:p w:rsidR="00F249DD" w:rsidRPr="007040F4" w:rsidRDefault="00F249DD" w:rsidP="003935C5">
      <w:pPr>
        <w:numPr>
          <w:ilvl w:val="0"/>
          <w:numId w:val="56"/>
        </w:numPr>
        <w:tabs>
          <w:tab w:val="clear" w:pos="1170"/>
        </w:tabs>
        <w:ind w:left="0"/>
        <w:jc w:val="both"/>
        <w:rPr>
          <w:rFonts w:ascii="Verdana" w:hAnsi="Verdana"/>
          <w:sz w:val="20"/>
          <w:szCs w:val="20"/>
          <w:lang w:val="es-ES"/>
        </w:rPr>
      </w:pPr>
      <w:r w:rsidRPr="007040F4">
        <w:rPr>
          <w:rFonts w:ascii="Verdana" w:hAnsi="Verdana"/>
          <w:sz w:val="20"/>
          <w:szCs w:val="20"/>
          <w:lang w:val="es-ES"/>
        </w:rPr>
        <w:t xml:space="preserve">Por otra parte, la Corte observa que tanto los representantes como Ecuador </w:t>
      </w:r>
      <w:r>
        <w:rPr>
          <w:rFonts w:ascii="Verdana" w:hAnsi="Verdana"/>
          <w:sz w:val="20"/>
          <w:szCs w:val="20"/>
          <w:lang w:val="es-ES"/>
        </w:rPr>
        <w:t>comunicaron</w:t>
      </w:r>
      <w:r w:rsidRPr="007040F4">
        <w:rPr>
          <w:rFonts w:ascii="Verdana" w:hAnsi="Verdana"/>
          <w:sz w:val="20"/>
          <w:szCs w:val="20"/>
          <w:lang w:val="es-ES"/>
        </w:rPr>
        <w:t xml:space="preserve"> que el 25 de febrero de 2011 el Estado informó al señor Mejía Idrovo que el Ministerio de Defensa convocó al Consejo de Oficiales de la Fuerza Terrestre para </w:t>
      </w:r>
      <w:r>
        <w:rPr>
          <w:rFonts w:ascii="Verdana" w:hAnsi="Verdana"/>
          <w:sz w:val="20"/>
          <w:szCs w:val="20"/>
          <w:lang w:val="es-ES"/>
        </w:rPr>
        <w:t>realizar</w:t>
      </w:r>
      <w:r w:rsidRPr="007040F4">
        <w:rPr>
          <w:rFonts w:ascii="Verdana" w:hAnsi="Verdana"/>
          <w:sz w:val="20"/>
          <w:szCs w:val="20"/>
          <w:lang w:val="es-ES"/>
        </w:rPr>
        <w:t xml:space="preserve"> un nuevo proceso de </w:t>
      </w:r>
      <w:r w:rsidRPr="00FC3247">
        <w:rPr>
          <w:rFonts w:ascii="Verdana" w:hAnsi="Verdana"/>
          <w:sz w:val="20"/>
          <w:szCs w:val="20"/>
          <w:lang w:val="es-ES"/>
        </w:rPr>
        <w:t xml:space="preserve">calificación </w:t>
      </w:r>
      <w:r w:rsidRPr="00E05410">
        <w:rPr>
          <w:rFonts w:ascii="Verdana" w:hAnsi="Verdana"/>
          <w:sz w:val="20"/>
          <w:szCs w:val="20"/>
          <w:lang w:val="es-ES"/>
        </w:rPr>
        <w:t>de</w:t>
      </w:r>
      <w:r w:rsidRPr="007040F4">
        <w:rPr>
          <w:rFonts w:ascii="Verdana" w:hAnsi="Verdana"/>
          <w:sz w:val="20"/>
          <w:szCs w:val="20"/>
          <w:lang w:val="es-ES"/>
        </w:rPr>
        <w:t xml:space="preserve"> la presunta víctima. El 2</w:t>
      </w:r>
      <w:r>
        <w:rPr>
          <w:rFonts w:ascii="Verdana" w:hAnsi="Verdana"/>
          <w:sz w:val="20"/>
          <w:szCs w:val="20"/>
          <w:lang w:val="es-ES"/>
        </w:rPr>
        <w:t>2</w:t>
      </w:r>
      <w:r w:rsidRPr="007040F4">
        <w:rPr>
          <w:rFonts w:ascii="Verdana" w:hAnsi="Verdana"/>
          <w:sz w:val="20"/>
          <w:szCs w:val="20"/>
          <w:lang w:val="es-ES"/>
        </w:rPr>
        <w:t xml:space="preserve"> de marzo de 2011 dicho Consejo resolvió calificarlo como no apto para el ascenso al grado de General de Brigada. Esta resolución fue ratificada por el </w:t>
      </w:r>
      <w:r>
        <w:rPr>
          <w:rFonts w:ascii="Verdana" w:hAnsi="Verdana"/>
          <w:sz w:val="20"/>
          <w:szCs w:val="20"/>
          <w:lang w:val="es-ES"/>
        </w:rPr>
        <w:t>Consejo de Oficiales Generales</w:t>
      </w:r>
      <w:r w:rsidRPr="007040F4">
        <w:rPr>
          <w:rFonts w:ascii="Verdana" w:hAnsi="Verdana"/>
          <w:sz w:val="20"/>
          <w:szCs w:val="20"/>
          <w:lang w:val="es-ES"/>
        </w:rPr>
        <w:t xml:space="preserve"> en fecha 6 de abril 2011.  </w:t>
      </w:r>
    </w:p>
    <w:p w:rsidR="00F249DD" w:rsidRPr="007040F4" w:rsidRDefault="00F249DD" w:rsidP="003935C5">
      <w:pPr>
        <w:jc w:val="both"/>
        <w:rPr>
          <w:rFonts w:ascii="Verdana" w:hAnsi="Verdana"/>
          <w:sz w:val="20"/>
          <w:szCs w:val="20"/>
          <w:lang w:val="es-ES"/>
        </w:rPr>
      </w:pPr>
    </w:p>
    <w:p w:rsidR="00F249DD" w:rsidRPr="00F142B2" w:rsidRDefault="00F249DD" w:rsidP="003935C5">
      <w:pPr>
        <w:numPr>
          <w:ilvl w:val="0"/>
          <w:numId w:val="56"/>
        </w:numPr>
        <w:tabs>
          <w:tab w:val="clear" w:pos="1170"/>
        </w:tabs>
        <w:ind w:left="0"/>
        <w:jc w:val="both"/>
        <w:rPr>
          <w:rFonts w:ascii="Verdana" w:hAnsi="Verdana"/>
          <w:sz w:val="20"/>
          <w:szCs w:val="20"/>
          <w:lang w:val="es-ES"/>
        </w:rPr>
      </w:pPr>
      <w:r w:rsidRPr="00F142B2">
        <w:rPr>
          <w:rFonts w:ascii="Verdana" w:hAnsi="Verdana"/>
          <w:sz w:val="20"/>
          <w:szCs w:val="20"/>
          <w:lang w:val="es-ES"/>
        </w:rPr>
        <w:t>La Corte destaca que dicho nuevo proceso de</w:t>
      </w:r>
      <w:r w:rsidRPr="00E05410">
        <w:rPr>
          <w:rFonts w:ascii="Verdana" w:hAnsi="Verdana"/>
          <w:sz w:val="20"/>
          <w:szCs w:val="20"/>
          <w:lang w:val="es-ES"/>
        </w:rPr>
        <w:t xml:space="preserve"> </w:t>
      </w:r>
      <w:r w:rsidRPr="00FC3247">
        <w:rPr>
          <w:rFonts w:ascii="Verdana" w:hAnsi="Verdana"/>
          <w:sz w:val="20"/>
          <w:szCs w:val="20"/>
          <w:lang w:val="es-ES"/>
        </w:rPr>
        <w:t>calificación</w:t>
      </w:r>
      <w:r w:rsidRPr="00F142B2">
        <w:rPr>
          <w:rFonts w:ascii="Verdana" w:hAnsi="Verdana"/>
          <w:sz w:val="20"/>
          <w:szCs w:val="20"/>
          <w:lang w:val="es-ES"/>
        </w:rPr>
        <w:t xml:space="preserve"> no ha sido objeto </w:t>
      </w:r>
      <w:r>
        <w:rPr>
          <w:rFonts w:ascii="Verdana" w:hAnsi="Verdana"/>
          <w:sz w:val="20"/>
          <w:szCs w:val="20"/>
          <w:lang w:val="es-ES"/>
        </w:rPr>
        <w:t xml:space="preserve">del presente litigio. </w:t>
      </w:r>
      <w:r w:rsidRPr="00F142B2">
        <w:rPr>
          <w:rFonts w:ascii="Verdana" w:hAnsi="Verdana"/>
          <w:sz w:val="20"/>
          <w:szCs w:val="20"/>
          <w:lang w:val="es-ES"/>
        </w:rPr>
        <w:t xml:space="preserve">Por lo tanto, el Tribunal considera que el trámite de </w:t>
      </w:r>
      <w:r w:rsidRPr="00FC3247">
        <w:rPr>
          <w:rFonts w:ascii="Verdana" w:hAnsi="Verdana"/>
          <w:sz w:val="20"/>
          <w:szCs w:val="20"/>
          <w:lang w:val="es-ES"/>
        </w:rPr>
        <w:t>calificación</w:t>
      </w:r>
      <w:r w:rsidRPr="00E05410">
        <w:rPr>
          <w:rFonts w:ascii="Verdana" w:hAnsi="Verdana"/>
          <w:i/>
          <w:sz w:val="20"/>
          <w:szCs w:val="20"/>
          <w:lang w:val="es-ES"/>
        </w:rPr>
        <w:t xml:space="preserve"> </w:t>
      </w:r>
      <w:r w:rsidRPr="00F142B2">
        <w:rPr>
          <w:rFonts w:ascii="Verdana" w:hAnsi="Verdana"/>
          <w:sz w:val="20"/>
          <w:szCs w:val="20"/>
          <w:lang w:val="es-ES"/>
        </w:rPr>
        <w:t xml:space="preserve">no puede ser considerado como parte del </w:t>
      </w:r>
      <w:r>
        <w:rPr>
          <w:rFonts w:ascii="Verdana" w:hAnsi="Verdana"/>
          <w:sz w:val="20"/>
          <w:szCs w:val="20"/>
          <w:lang w:val="es-ES"/>
        </w:rPr>
        <w:t xml:space="preserve">contradictorio </w:t>
      </w:r>
      <w:r w:rsidRPr="00F142B2">
        <w:rPr>
          <w:rFonts w:ascii="Verdana" w:hAnsi="Verdana"/>
          <w:sz w:val="20"/>
          <w:szCs w:val="20"/>
          <w:lang w:val="es-ES"/>
        </w:rPr>
        <w:t xml:space="preserve">del caso en el procedimiento ante el sistema interamericano y que no procede pronunciarse respecto de las recientes decisiones del </w:t>
      </w:r>
      <w:r>
        <w:rPr>
          <w:rFonts w:ascii="Verdana" w:hAnsi="Verdana"/>
          <w:sz w:val="20"/>
          <w:szCs w:val="20"/>
          <w:lang w:val="es-ES"/>
        </w:rPr>
        <w:t>Consejo de Oficiales Generales</w:t>
      </w:r>
      <w:r w:rsidRPr="00F142B2">
        <w:rPr>
          <w:rFonts w:ascii="Verdana" w:hAnsi="Verdana"/>
          <w:sz w:val="20"/>
          <w:szCs w:val="20"/>
          <w:lang w:val="es-ES"/>
        </w:rPr>
        <w:t xml:space="preserve">. </w:t>
      </w:r>
    </w:p>
    <w:p w:rsidR="00F249DD" w:rsidRPr="007040F4" w:rsidRDefault="00F249DD" w:rsidP="003935C5">
      <w:pPr>
        <w:rPr>
          <w:rFonts w:ascii="Verdana" w:hAnsi="Verdana" w:cs="ArialMT"/>
          <w:iCs/>
          <w:sz w:val="20"/>
          <w:szCs w:val="20"/>
          <w:lang w:val="es-ES"/>
        </w:rPr>
      </w:pPr>
    </w:p>
    <w:p w:rsidR="00F249DD" w:rsidRPr="00A03204" w:rsidRDefault="00F249DD" w:rsidP="003935C5">
      <w:pPr>
        <w:numPr>
          <w:ilvl w:val="0"/>
          <w:numId w:val="56"/>
        </w:numPr>
        <w:tabs>
          <w:tab w:val="clear" w:pos="1170"/>
        </w:tabs>
        <w:ind w:left="0"/>
        <w:jc w:val="both"/>
        <w:rPr>
          <w:sz w:val="20"/>
          <w:szCs w:val="20"/>
          <w:lang w:val="es-ES"/>
        </w:rPr>
      </w:pPr>
      <w:r>
        <w:rPr>
          <w:rFonts w:ascii="Verdana" w:hAnsi="Verdana" w:cs="ArialMT"/>
          <w:iCs/>
          <w:sz w:val="20"/>
          <w:szCs w:val="20"/>
          <w:lang w:val="es-ES"/>
        </w:rPr>
        <w:t xml:space="preserve">Finalmente en lo que se refiere al </w:t>
      </w:r>
      <w:r w:rsidRPr="007040F4">
        <w:rPr>
          <w:rFonts w:ascii="Verdana" w:hAnsi="Verdana" w:cs="ArialMT"/>
          <w:iCs/>
          <w:sz w:val="20"/>
          <w:szCs w:val="20"/>
          <w:lang w:val="es-ES"/>
        </w:rPr>
        <w:t>alegato relativo a la</w:t>
      </w:r>
      <w:r>
        <w:rPr>
          <w:rFonts w:ascii="Verdana" w:hAnsi="Verdana" w:cs="ArialMT"/>
          <w:iCs/>
          <w:sz w:val="20"/>
          <w:szCs w:val="20"/>
          <w:lang w:val="es-ES"/>
        </w:rPr>
        <w:t xml:space="preserve"> falta de</w:t>
      </w:r>
      <w:r w:rsidRPr="007040F4">
        <w:rPr>
          <w:rFonts w:ascii="Verdana" w:hAnsi="Verdana" w:cs="ArialMT"/>
          <w:iCs/>
          <w:sz w:val="20"/>
          <w:szCs w:val="20"/>
          <w:lang w:val="es-ES"/>
        </w:rPr>
        <w:t xml:space="preserve"> aplicación del fallo del Tribunal Constitucional</w:t>
      </w:r>
      <w:r>
        <w:rPr>
          <w:rFonts w:ascii="Verdana" w:hAnsi="Verdana" w:cs="ArialMT"/>
          <w:iCs/>
          <w:sz w:val="20"/>
          <w:szCs w:val="20"/>
          <w:lang w:val="es-ES"/>
        </w:rPr>
        <w:t xml:space="preserve"> de 12 de marzo </w:t>
      </w:r>
      <w:r w:rsidRPr="00F822BE">
        <w:rPr>
          <w:rFonts w:ascii="Verdana" w:hAnsi="Verdana" w:cs="ArialMT"/>
          <w:iCs/>
          <w:sz w:val="20"/>
          <w:szCs w:val="20"/>
          <w:lang w:val="es-ES"/>
        </w:rPr>
        <w:t>de 2002 (</w:t>
      </w:r>
      <w:r w:rsidRPr="00F822BE">
        <w:rPr>
          <w:rFonts w:ascii="Verdana" w:hAnsi="Verdana" w:cs="ArialMT"/>
          <w:i/>
          <w:iCs/>
          <w:sz w:val="20"/>
          <w:szCs w:val="20"/>
          <w:lang w:val="es-ES"/>
        </w:rPr>
        <w:t>supra</w:t>
      </w:r>
      <w:r w:rsidRPr="00F822BE">
        <w:rPr>
          <w:rFonts w:ascii="Verdana" w:hAnsi="Verdana" w:cs="ArialMT"/>
          <w:iCs/>
          <w:sz w:val="20"/>
          <w:szCs w:val="20"/>
          <w:lang w:val="es-ES"/>
        </w:rPr>
        <w:t xml:space="preserve"> </w:t>
      </w:r>
      <w:r w:rsidRPr="00F822BE">
        <w:rPr>
          <w:rFonts w:ascii="Verdana" w:hAnsi="Verdana" w:cs="Arial"/>
          <w:iCs/>
          <w:sz w:val="20"/>
          <w:szCs w:val="20"/>
          <w:lang w:val="es-ES"/>
        </w:rPr>
        <w:t>párr. 111</w:t>
      </w:r>
      <w:r w:rsidRPr="00F822BE">
        <w:rPr>
          <w:rFonts w:ascii="Verdana" w:hAnsi="Verdana" w:cs="ArialMT"/>
          <w:iCs/>
          <w:sz w:val="20"/>
          <w:szCs w:val="20"/>
          <w:lang w:val="es-ES"/>
        </w:rPr>
        <w:t>),</w:t>
      </w:r>
      <w:r w:rsidRPr="007040F4">
        <w:rPr>
          <w:rFonts w:ascii="Verdana" w:hAnsi="Verdana" w:cs="ArialMT"/>
          <w:iCs/>
          <w:sz w:val="20"/>
          <w:szCs w:val="20"/>
          <w:lang w:val="es-ES"/>
        </w:rPr>
        <w:t xml:space="preserve"> la Corte se pronunció al respecto en el apartado referente a la protección judicial a la luz del artículo 25.2.c) de la Convención </w:t>
      </w:r>
      <w:r w:rsidRPr="00874FDA">
        <w:rPr>
          <w:rFonts w:ascii="Verdana" w:hAnsi="Verdana" w:cs="ArialMT"/>
          <w:iCs/>
          <w:sz w:val="20"/>
          <w:szCs w:val="20"/>
          <w:lang w:val="es-ES"/>
        </w:rPr>
        <w:t>Americana.</w:t>
      </w:r>
    </w:p>
    <w:p w:rsidR="00F249DD" w:rsidRDefault="00F249DD" w:rsidP="003935C5">
      <w:pPr>
        <w:jc w:val="both"/>
        <w:rPr>
          <w:rFonts w:ascii="Verdana" w:hAnsi="Verdana" w:cs="ArialMT"/>
          <w:iCs/>
          <w:sz w:val="20"/>
          <w:szCs w:val="20"/>
          <w:lang w:val="es-ES"/>
        </w:rPr>
      </w:pPr>
    </w:p>
    <w:p w:rsidR="00F249DD" w:rsidRPr="007040F4" w:rsidRDefault="00F249DD" w:rsidP="003935C5">
      <w:pPr>
        <w:pStyle w:val="Ttulo1"/>
        <w:ind w:left="0" w:firstLine="0"/>
        <w:jc w:val="center"/>
        <w:rPr>
          <w:sz w:val="20"/>
          <w:szCs w:val="20"/>
          <w:lang w:val="es-ES"/>
        </w:rPr>
      </w:pPr>
      <w:bookmarkStart w:id="298" w:name="_Toc295986086"/>
      <w:bookmarkStart w:id="299" w:name="_Toc295986303"/>
      <w:bookmarkStart w:id="300" w:name="_Toc295986423"/>
      <w:bookmarkEnd w:id="298"/>
      <w:bookmarkEnd w:id="299"/>
      <w:bookmarkEnd w:id="300"/>
    </w:p>
    <w:p w:rsidR="00F249DD" w:rsidRPr="00A04CE3" w:rsidRDefault="00F249DD" w:rsidP="003935C5">
      <w:pPr>
        <w:pStyle w:val="Ttulo1"/>
        <w:numPr>
          <w:ilvl w:val="0"/>
          <w:numId w:val="0"/>
        </w:numPr>
        <w:jc w:val="center"/>
        <w:rPr>
          <w:caps/>
          <w:smallCaps w:val="0"/>
          <w:sz w:val="20"/>
          <w:szCs w:val="20"/>
          <w:lang w:val="es-ES"/>
        </w:rPr>
      </w:pPr>
      <w:bookmarkStart w:id="301" w:name="_Toc295986087"/>
      <w:bookmarkStart w:id="302" w:name="_Toc295986304"/>
      <w:bookmarkStart w:id="303" w:name="_Toc295986424"/>
      <w:r w:rsidRPr="00FC3247">
        <w:rPr>
          <w:caps/>
          <w:smallCaps w:val="0"/>
          <w:sz w:val="20"/>
          <w:szCs w:val="20"/>
          <w:lang w:val="es-ES"/>
        </w:rPr>
        <w:t>Reparaciones</w:t>
      </w:r>
      <w:bookmarkEnd w:id="301"/>
      <w:bookmarkEnd w:id="302"/>
      <w:bookmarkEnd w:id="303"/>
    </w:p>
    <w:p w:rsidR="00F249DD" w:rsidRPr="00A04CE3" w:rsidRDefault="00F249DD" w:rsidP="003935C5">
      <w:pPr>
        <w:pStyle w:val="Ttulo1"/>
        <w:numPr>
          <w:ilvl w:val="0"/>
          <w:numId w:val="0"/>
        </w:numPr>
        <w:jc w:val="center"/>
        <w:rPr>
          <w:rFonts w:cs="Verdana"/>
          <w:b w:val="0"/>
          <w:bCs/>
          <w:i/>
          <w:caps/>
          <w:smallCaps w:val="0"/>
          <w:sz w:val="20"/>
          <w:szCs w:val="20"/>
          <w:lang w:val="es-ES"/>
        </w:rPr>
      </w:pPr>
      <w:bookmarkStart w:id="304" w:name="_Toc295986088"/>
      <w:bookmarkStart w:id="305" w:name="_Toc295986305"/>
      <w:bookmarkStart w:id="306" w:name="_Toc295986425"/>
      <w:r w:rsidRPr="00FC3247">
        <w:rPr>
          <w:caps/>
          <w:smallCaps w:val="0"/>
          <w:sz w:val="20"/>
          <w:szCs w:val="20"/>
          <w:lang w:val="es-ES"/>
        </w:rPr>
        <w:t>(Aplicación del artículo 63.1 de la Convención Americana</w:t>
      </w:r>
      <w:r w:rsidRPr="00FC3247">
        <w:rPr>
          <w:rFonts w:cs="Verdana"/>
          <w:b w:val="0"/>
          <w:bCs/>
          <w:i/>
          <w:caps/>
          <w:smallCaps w:val="0"/>
          <w:sz w:val="20"/>
          <w:szCs w:val="20"/>
          <w:lang w:val="es-ES"/>
        </w:rPr>
        <w:t>)</w:t>
      </w:r>
      <w:bookmarkEnd w:id="304"/>
      <w:bookmarkEnd w:id="305"/>
      <w:bookmarkEnd w:id="306"/>
    </w:p>
    <w:p w:rsidR="00F249DD" w:rsidRPr="00A03204" w:rsidRDefault="00F249DD" w:rsidP="003935C5">
      <w:pPr>
        <w:jc w:val="both"/>
        <w:rPr>
          <w:sz w:val="20"/>
          <w:szCs w:val="20"/>
          <w:lang w:val="es-ES"/>
        </w:rPr>
      </w:pPr>
    </w:p>
    <w:p w:rsidR="00F249DD" w:rsidRPr="007040F4" w:rsidRDefault="00F249DD" w:rsidP="003935C5">
      <w:pPr>
        <w:numPr>
          <w:ilvl w:val="0"/>
          <w:numId w:val="56"/>
        </w:numPr>
        <w:tabs>
          <w:tab w:val="clear" w:pos="1170"/>
        </w:tabs>
        <w:ind w:left="0"/>
        <w:jc w:val="both"/>
        <w:rPr>
          <w:rFonts w:ascii="Verdana" w:hAnsi="Verdana" w:cs="Verdana"/>
          <w:sz w:val="20"/>
          <w:szCs w:val="20"/>
          <w:lang w:val="es-ES"/>
        </w:rPr>
      </w:pPr>
      <w:bookmarkStart w:id="307" w:name="_Toc294634493"/>
      <w:bookmarkStart w:id="308" w:name="_Toc294635321"/>
      <w:bookmarkStart w:id="309" w:name="_Toc294862714"/>
      <w:bookmarkStart w:id="310" w:name="_Toc294862777"/>
      <w:bookmarkStart w:id="311" w:name="_Toc295380328"/>
      <w:bookmarkStart w:id="312" w:name="_Toc295394480"/>
      <w:bookmarkStart w:id="313" w:name="_Toc295394634"/>
      <w:bookmarkEnd w:id="307"/>
      <w:bookmarkEnd w:id="308"/>
      <w:bookmarkEnd w:id="309"/>
      <w:bookmarkEnd w:id="310"/>
      <w:bookmarkEnd w:id="311"/>
      <w:bookmarkEnd w:id="312"/>
      <w:bookmarkEnd w:id="313"/>
      <w:r w:rsidRPr="00EA549D">
        <w:rPr>
          <w:rFonts w:ascii="Verdana" w:hAnsi="Verdana" w:cs="Verdana"/>
          <w:sz w:val="20"/>
          <w:szCs w:val="20"/>
          <w:highlight w:val="yellow"/>
          <w:lang w:val="es-ES"/>
        </w:rPr>
        <w:t xml:space="preserve">Sobre la base de lo dispuesto en el artículo 63.1 de la Convención Americana, la Corte ha indicado que toda violación de una obligación internacional que haya producido daño comporta el </w:t>
      </w:r>
      <w:r w:rsidRPr="00EA549D">
        <w:rPr>
          <w:rFonts w:ascii="Verdana" w:hAnsi="Verdana" w:cs="Verdana"/>
          <w:sz w:val="20"/>
          <w:szCs w:val="20"/>
          <w:highlight w:val="yellow"/>
          <w:lang w:val="es-ES"/>
        </w:rPr>
        <w:lastRenderedPageBreak/>
        <w:t>deber de repararlo adecuadamente</w:t>
      </w:r>
      <w:r>
        <w:rPr>
          <w:rStyle w:val="Refdenotaalpie"/>
          <w:rFonts w:ascii="Verdana" w:hAnsi="Verdana" w:cs="Verdana"/>
          <w:sz w:val="20"/>
          <w:szCs w:val="20"/>
          <w:lang w:val="es-ES"/>
        </w:rPr>
        <w:footnoteReference w:id="101"/>
      </w:r>
      <w:r w:rsidRPr="007040F4">
        <w:rPr>
          <w:rFonts w:ascii="Verdana" w:hAnsi="Verdana" w:cs="Verdana"/>
          <w:sz w:val="20"/>
          <w:szCs w:val="20"/>
          <w:lang w:val="es-ES"/>
        </w:rPr>
        <w:t xml:space="preserve"> </w:t>
      </w:r>
      <w:r w:rsidRPr="00EA549D">
        <w:rPr>
          <w:rFonts w:ascii="Verdana" w:hAnsi="Verdana" w:cs="Verdana"/>
          <w:sz w:val="20"/>
          <w:szCs w:val="20"/>
          <w:highlight w:val="yellow"/>
          <w:lang w:val="es-ES"/>
        </w:rPr>
        <w:t>y que esa disposición recoge una norma consuetudinaria que constituye uno de los principios fundamentales del Derecho Internacional contemporáneo sobre responsabilidad de un Estado</w:t>
      </w:r>
      <w:r>
        <w:rPr>
          <w:rStyle w:val="Refdenotaalpie"/>
          <w:rFonts w:ascii="Verdana" w:hAnsi="Verdana" w:cs="Verdana"/>
          <w:sz w:val="20"/>
          <w:szCs w:val="20"/>
          <w:lang w:val="es-ES"/>
        </w:rPr>
        <w:footnoteReference w:id="102"/>
      </w:r>
      <w:r w:rsidRPr="007040F4">
        <w:rPr>
          <w:rFonts w:ascii="Verdana" w:hAnsi="Verdana" w:cs="Verdana"/>
          <w:sz w:val="20"/>
          <w:szCs w:val="20"/>
          <w:lang w:val="es-ES"/>
        </w:rPr>
        <w:t>.</w:t>
      </w:r>
    </w:p>
    <w:p w:rsidR="00F249DD" w:rsidRPr="007040F4" w:rsidRDefault="00F249DD" w:rsidP="003935C5">
      <w:pPr>
        <w:autoSpaceDE w:val="0"/>
        <w:autoSpaceDN w:val="0"/>
        <w:adjustRightInd w:val="0"/>
        <w:jc w:val="both"/>
        <w:rPr>
          <w:rFonts w:ascii="Verdana" w:hAnsi="Verdana" w:cs="Verdana"/>
          <w:sz w:val="20"/>
          <w:szCs w:val="20"/>
          <w:lang w:val="es-ES"/>
        </w:rPr>
      </w:pPr>
    </w:p>
    <w:p w:rsidR="00F249DD" w:rsidRPr="007040F4" w:rsidRDefault="00F249DD" w:rsidP="003935C5">
      <w:pPr>
        <w:numPr>
          <w:ilvl w:val="0"/>
          <w:numId w:val="56"/>
        </w:numPr>
        <w:tabs>
          <w:tab w:val="clear" w:pos="1170"/>
        </w:tabs>
        <w:autoSpaceDE w:val="0"/>
        <w:autoSpaceDN w:val="0"/>
        <w:adjustRightInd w:val="0"/>
        <w:ind w:left="0"/>
        <w:jc w:val="both"/>
        <w:rPr>
          <w:rFonts w:ascii="Verdana" w:hAnsi="Verdana" w:cs="Verdana"/>
          <w:sz w:val="20"/>
          <w:szCs w:val="20"/>
          <w:lang w:val="es-ES"/>
        </w:rPr>
      </w:pPr>
      <w:r w:rsidRPr="007040F4">
        <w:rPr>
          <w:rFonts w:ascii="Verdana" w:hAnsi="Verdana" w:cs="Verdana"/>
          <w:sz w:val="20"/>
          <w:szCs w:val="20"/>
          <w:lang w:val="es-ES"/>
        </w:rPr>
        <w:t>En consideración de las violaciones a la Convención Americana declaradas en</w:t>
      </w:r>
      <w:r>
        <w:rPr>
          <w:rFonts w:ascii="Verdana" w:hAnsi="Verdana" w:cs="Verdana"/>
          <w:sz w:val="20"/>
          <w:szCs w:val="20"/>
          <w:lang w:val="es-ES"/>
        </w:rPr>
        <w:t xml:space="preserve"> el</w:t>
      </w:r>
      <w:r w:rsidRPr="007040F4">
        <w:rPr>
          <w:rFonts w:ascii="Verdana" w:hAnsi="Verdana" w:cs="Verdana"/>
          <w:sz w:val="20"/>
          <w:szCs w:val="20"/>
          <w:lang w:val="es-ES"/>
        </w:rPr>
        <w:t xml:space="preserve"> capítulo </w:t>
      </w:r>
      <w:r>
        <w:rPr>
          <w:rFonts w:ascii="Verdana" w:hAnsi="Verdana" w:cs="Verdana"/>
          <w:sz w:val="20"/>
          <w:szCs w:val="20"/>
          <w:lang w:val="es-ES"/>
        </w:rPr>
        <w:t>VI</w:t>
      </w:r>
      <w:r w:rsidRPr="007040F4">
        <w:rPr>
          <w:rFonts w:ascii="Verdana" w:hAnsi="Verdana" w:cs="Verdana"/>
          <w:sz w:val="20"/>
          <w:szCs w:val="20"/>
          <w:lang w:val="es-ES"/>
        </w:rPr>
        <w:t>, el Tribunal analizará las pretensiones presentadas por la Comisión y los representantes, así como las posiciones del Estado, a la luz de los criterios fijados en la jurisprudencia de la Corte en relación con la naturaleza y alcances de la obligación de reparar</w:t>
      </w:r>
      <w:r>
        <w:rPr>
          <w:rStyle w:val="Refdenotaalpie"/>
          <w:rFonts w:ascii="Verdana" w:hAnsi="Verdana" w:cs="Verdana"/>
          <w:sz w:val="20"/>
          <w:szCs w:val="20"/>
          <w:lang w:val="es-ES"/>
        </w:rPr>
        <w:footnoteReference w:id="103"/>
      </w:r>
      <w:r w:rsidRPr="007040F4">
        <w:rPr>
          <w:rFonts w:ascii="Verdana" w:hAnsi="Verdana" w:cs="Verdana"/>
          <w:sz w:val="20"/>
          <w:szCs w:val="20"/>
          <w:lang w:val="es-ES"/>
        </w:rPr>
        <w:t>, con el objeto de disponer las medidas tendientes a reparar los daños ocasionados a la víctima.</w:t>
      </w:r>
    </w:p>
    <w:p w:rsidR="00F249DD" w:rsidRPr="007040F4" w:rsidRDefault="00F249DD" w:rsidP="003935C5">
      <w:pPr>
        <w:autoSpaceDE w:val="0"/>
        <w:autoSpaceDN w:val="0"/>
        <w:adjustRightInd w:val="0"/>
        <w:jc w:val="both"/>
        <w:rPr>
          <w:rFonts w:ascii="Verdana" w:hAnsi="Verdana" w:cs="Verdana"/>
          <w:sz w:val="20"/>
          <w:szCs w:val="20"/>
          <w:lang w:val="es-ES"/>
        </w:rPr>
      </w:pPr>
    </w:p>
    <w:p w:rsidR="00F249DD" w:rsidRPr="007040F4" w:rsidRDefault="00F249DD" w:rsidP="003935C5">
      <w:pPr>
        <w:numPr>
          <w:ilvl w:val="0"/>
          <w:numId w:val="56"/>
        </w:numPr>
        <w:tabs>
          <w:tab w:val="clear" w:pos="1170"/>
        </w:tabs>
        <w:autoSpaceDE w:val="0"/>
        <w:autoSpaceDN w:val="0"/>
        <w:adjustRightInd w:val="0"/>
        <w:ind w:left="0"/>
        <w:jc w:val="both"/>
        <w:rPr>
          <w:rFonts w:ascii="Verdana" w:hAnsi="Verdana" w:cs="Verdana"/>
          <w:sz w:val="20"/>
          <w:szCs w:val="20"/>
          <w:lang w:val="es-ES"/>
        </w:rPr>
      </w:pPr>
      <w:r w:rsidRPr="007040F4">
        <w:rPr>
          <w:rFonts w:ascii="Verdana" w:hAnsi="Verdana"/>
          <w:bCs/>
          <w:sz w:val="20"/>
          <w:szCs w:val="20"/>
          <w:lang w:val="es-ES"/>
        </w:rPr>
        <w:t>La reparación del daño ocasionado por la infracción de una obligación internacional requiere, siempre que sea posible, la plena restitución (</w:t>
      </w:r>
      <w:r w:rsidRPr="007040F4">
        <w:rPr>
          <w:rFonts w:ascii="Verdana" w:hAnsi="Verdana"/>
          <w:bCs/>
          <w:i/>
          <w:sz w:val="20"/>
          <w:szCs w:val="20"/>
          <w:lang w:val="es-ES"/>
        </w:rPr>
        <w:t>restitutio in integrum</w:t>
      </w:r>
      <w:r w:rsidRPr="007040F4">
        <w:rPr>
          <w:rFonts w:ascii="Verdana" w:hAnsi="Verdana"/>
          <w:bCs/>
          <w:sz w:val="20"/>
          <w:szCs w:val="20"/>
          <w:lang w:val="es-ES"/>
        </w:rPr>
        <w:t>), que consiste en el restablecimiento de la situación anterior.  De no ser esto factible, como ocurre en la mayoría de los casos, entre ellos éste, el tribunal internacional determinará medidas para garantizar los derechos conculcados, reparar las consecuencias que las infracciones produjeron y establecer una indemnización que compense los daños ocasionados</w:t>
      </w:r>
      <w:r w:rsidRPr="007040F4">
        <w:rPr>
          <w:rStyle w:val="Refdenotaalpie"/>
          <w:rFonts w:ascii="Verdana" w:hAnsi="Verdana"/>
          <w:bCs/>
          <w:sz w:val="20"/>
          <w:szCs w:val="20"/>
          <w:lang w:val="es-ES"/>
        </w:rPr>
        <w:footnoteReference w:id="104"/>
      </w:r>
      <w:r w:rsidRPr="007040F4">
        <w:rPr>
          <w:rFonts w:ascii="Verdana" w:hAnsi="Verdana"/>
          <w:bCs/>
          <w:sz w:val="20"/>
          <w:szCs w:val="20"/>
          <w:lang w:val="es-ES"/>
        </w:rPr>
        <w:t xml:space="preserve">. </w:t>
      </w:r>
    </w:p>
    <w:p w:rsidR="00F249DD" w:rsidRPr="007040F4" w:rsidRDefault="00F249DD" w:rsidP="003935C5">
      <w:pPr>
        <w:autoSpaceDE w:val="0"/>
        <w:autoSpaceDN w:val="0"/>
        <w:adjustRightInd w:val="0"/>
        <w:jc w:val="both"/>
        <w:rPr>
          <w:rFonts w:ascii="Verdana" w:hAnsi="Verdana" w:cs="Verdana"/>
          <w:sz w:val="20"/>
          <w:szCs w:val="20"/>
          <w:lang w:val="es-ES"/>
        </w:rPr>
      </w:pPr>
    </w:p>
    <w:p w:rsidR="00F249DD" w:rsidRPr="007040F4" w:rsidRDefault="00F249DD" w:rsidP="003935C5">
      <w:pPr>
        <w:numPr>
          <w:ilvl w:val="0"/>
          <w:numId w:val="56"/>
        </w:numPr>
        <w:tabs>
          <w:tab w:val="clear" w:pos="1170"/>
        </w:tabs>
        <w:autoSpaceDE w:val="0"/>
        <w:autoSpaceDN w:val="0"/>
        <w:adjustRightInd w:val="0"/>
        <w:ind w:left="0"/>
        <w:jc w:val="both"/>
        <w:rPr>
          <w:rFonts w:ascii="Verdana" w:hAnsi="Verdana" w:cs="Verdana"/>
          <w:sz w:val="20"/>
          <w:szCs w:val="20"/>
          <w:lang w:val="es-ES"/>
        </w:rPr>
      </w:pPr>
      <w:r w:rsidRPr="007040F4">
        <w:rPr>
          <w:rFonts w:ascii="Verdana" w:hAnsi="Verdana" w:cs="Verdana"/>
          <w:sz w:val="20"/>
          <w:szCs w:val="20"/>
          <w:lang w:val="es-ES"/>
        </w:rPr>
        <w:t>Este Tribunal ha establecido que las reparaciones deben tener un nexo causal con los hechos del caso, las violaciones declaradas, los daños acreditados, así como con las medidas solicitadas para reparar los daños respectivos. Por lo tanto, la Corte deberá observar dicha concurrencia para pronunciarse debidamente y conforme a derecho</w:t>
      </w:r>
      <w:r w:rsidRPr="007040F4">
        <w:rPr>
          <w:rStyle w:val="Refdenotaalpie"/>
          <w:rFonts w:ascii="Verdana" w:hAnsi="Verdana" w:cs="Verdana"/>
          <w:sz w:val="20"/>
          <w:szCs w:val="20"/>
          <w:lang w:val="es-ES"/>
        </w:rPr>
        <w:footnoteReference w:id="105"/>
      </w:r>
      <w:r w:rsidRPr="007040F4">
        <w:rPr>
          <w:rFonts w:ascii="Verdana" w:hAnsi="Verdana" w:cs="Verdana"/>
          <w:sz w:val="20"/>
          <w:szCs w:val="20"/>
          <w:lang w:val="es-ES"/>
        </w:rPr>
        <w:t>.</w:t>
      </w:r>
    </w:p>
    <w:p w:rsidR="00F249DD" w:rsidRPr="007040F4" w:rsidRDefault="00F249DD" w:rsidP="003935C5">
      <w:pPr>
        <w:autoSpaceDE w:val="0"/>
        <w:autoSpaceDN w:val="0"/>
        <w:adjustRightInd w:val="0"/>
        <w:jc w:val="both"/>
        <w:rPr>
          <w:rFonts w:ascii="Verdana" w:hAnsi="Verdana" w:cs="Verdana"/>
          <w:sz w:val="20"/>
          <w:szCs w:val="20"/>
          <w:lang w:val="es-ES"/>
        </w:rPr>
      </w:pPr>
    </w:p>
    <w:p w:rsidR="00F249DD" w:rsidRDefault="00F249DD" w:rsidP="003935C5">
      <w:pPr>
        <w:pStyle w:val="Ttulo2"/>
        <w:numPr>
          <w:ilvl w:val="0"/>
          <w:numId w:val="30"/>
        </w:numPr>
        <w:rPr>
          <w:lang w:val="es-ES"/>
        </w:rPr>
      </w:pPr>
      <w:bookmarkStart w:id="314" w:name="_Toc294634496"/>
      <w:bookmarkStart w:id="315" w:name="_Toc294635324"/>
      <w:bookmarkStart w:id="316" w:name="_Toc294862717"/>
      <w:bookmarkStart w:id="317" w:name="_Toc294862780"/>
      <w:bookmarkStart w:id="318" w:name="_Toc295380331"/>
      <w:bookmarkStart w:id="319" w:name="_Toc295394483"/>
      <w:bookmarkStart w:id="320" w:name="_Toc295394637"/>
      <w:bookmarkStart w:id="321" w:name="_Toc295986089"/>
      <w:bookmarkStart w:id="322" w:name="_Toc295986306"/>
      <w:bookmarkStart w:id="323" w:name="_Toc295986426"/>
      <w:r w:rsidRPr="007040F4">
        <w:rPr>
          <w:lang w:val="es-ES"/>
        </w:rPr>
        <w:t>Parte Lesionada</w:t>
      </w:r>
      <w:bookmarkEnd w:id="314"/>
      <w:bookmarkEnd w:id="315"/>
      <w:bookmarkEnd w:id="316"/>
      <w:bookmarkEnd w:id="317"/>
      <w:bookmarkEnd w:id="318"/>
      <w:bookmarkEnd w:id="319"/>
      <w:bookmarkEnd w:id="320"/>
      <w:bookmarkEnd w:id="321"/>
      <w:bookmarkEnd w:id="322"/>
      <w:bookmarkEnd w:id="323"/>
    </w:p>
    <w:p w:rsidR="00F249DD" w:rsidRPr="005E60E5" w:rsidRDefault="00F249DD" w:rsidP="003935C5">
      <w:pPr>
        <w:rPr>
          <w:lang w:val="es-ES"/>
        </w:rPr>
      </w:pPr>
    </w:p>
    <w:p w:rsidR="00F249DD" w:rsidRPr="007040F4" w:rsidRDefault="00F249DD" w:rsidP="003935C5">
      <w:pPr>
        <w:numPr>
          <w:ilvl w:val="0"/>
          <w:numId w:val="56"/>
        </w:numPr>
        <w:tabs>
          <w:tab w:val="clear" w:pos="1170"/>
        </w:tabs>
        <w:autoSpaceDE w:val="0"/>
        <w:autoSpaceDN w:val="0"/>
        <w:adjustRightInd w:val="0"/>
        <w:ind w:left="0"/>
        <w:jc w:val="both"/>
        <w:rPr>
          <w:rFonts w:ascii="Verdana" w:hAnsi="Verdana" w:cs="Verdana"/>
          <w:sz w:val="20"/>
          <w:szCs w:val="20"/>
          <w:lang w:val="es-ES"/>
        </w:rPr>
      </w:pPr>
      <w:r w:rsidRPr="007040F4">
        <w:rPr>
          <w:rFonts w:ascii="Verdana" w:hAnsi="Verdana" w:cs="Verdana"/>
          <w:sz w:val="20"/>
          <w:szCs w:val="20"/>
          <w:lang w:val="es-ES"/>
        </w:rPr>
        <w:t>El Tribunal reitera que se considera parte lesionada, en los términos del artículo 63.1 de la Convención, a quien ha sido declarado víctima de la violación de algún derecho consagrado en la misma</w:t>
      </w:r>
      <w:r w:rsidRPr="007040F4">
        <w:rPr>
          <w:rStyle w:val="Refdenotaalpie"/>
          <w:rFonts w:ascii="Verdana" w:hAnsi="Verdana" w:cs="Verdana"/>
          <w:sz w:val="20"/>
          <w:szCs w:val="20"/>
          <w:lang w:val="es-ES"/>
        </w:rPr>
        <w:footnoteReference w:id="106"/>
      </w:r>
      <w:r w:rsidRPr="007040F4">
        <w:rPr>
          <w:rFonts w:ascii="Verdana" w:hAnsi="Verdana" w:cs="Verdana"/>
          <w:sz w:val="20"/>
          <w:szCs w:val="20"/>
          <w:lang w:val="es-ES"/>
        </w:rPr>
        <w:t xml:space="preserve">. Por lo tanto, esta Corte considera como “parte lesionada” al señor </w:t>
      </w:r>
      <w:r>
        <w:rPr>
          <w:rFonts w:ascii="Verdana" w:hAnsi="Verdana" w:cs="Verdana"/>
          <w:sz w:val="20"/>
          <w:szCs w:val="20"/>
          <w:lang w:val="es-ES"/>
        </w:rPr>
        <w:t xml:space="preserve">José Alfredo </w:t>
      </w:r>
      <w:r w:rsidRPr="007040F4">
        <w:rPr>
          <w:rFonts w:ascii="Verdana" w:hAnsi="Verdana" w:cs="Verdana"/>
          <w:sz w:val="20"/>
          <w:szCs w:val="20"/>
          <w:lang w:val="es-ES"/>
        </w:rPr>
        <w:t>Mejía Idrovo.</w:t>
      </w:r>
    </w:p>
    <w:p w:rsidR="00F249DD" w:rsidRPr="007040F4" w:rsidRDefault="00F249DD" w:rsidP="003935C5">
      <w:pPr>
        <w:autoSpaceDE w:val="0"/>
        <w:autoSpaceDN w:val="0"/>
        <w:adjustRightInd w:val="0"/>
        <w:jc w:val="both"/>
        <w:rPr>
          <w:rFonts w:ascii="Verdana" w:hAnsi="Verdana" w:cs="Verdana"/>
          <w:sz w:val="20"/>
          <w:szCs w:val="20"/>
          <w:lang w:val="es-ES"/>
        </w:rPr>
      </w:pPr>
    </w:p>
    <w:p w:rsidR="00F249DD" w:rsidRPr="007040F4" w:rsidRDefault="00F249DD" w:rsidP="003935C5">
      <w:pPr>
        <w:numPr>
          <w:ilvl w:val="0"/>
          <w:numId w:val="56"/>
        </w:numPr>
        <w:tabs>
          <w:tab w:val="clear" w:pos="1170"/>
        </w:tabs>
        <w:autoSpaceDE w:val="0"/>
        <w:autoSpaceDN w:val="0"/>
        <w:adjustRightInd w:val="0"/>
        <w:ind w:left="0"/>
        <w:jc w:val="both"/>
        <w:rPr>
          <w:rFonts w:ascii="Verdana" w:hAnsi="Verdana" w:cs="Verdana"/>
          <w:sz w:val="20"/>
          <w:szCs w:val="20"/>
          <w:lang w:val="es-ES"/>
        </w:rPr>
      </w:pPr>
      <w:r w:rsidRPr="007040F4">
        <w:rPr>
          <w:rFonts w:ascii="Verdana" w:hAnsi="Verdana" w:cs="Verdana"/>
          <w:sz w:val="20"/>
          <w:szCs w:val="20"/>
          <w:lang w:val="es-ES"/>
        </w:rPr>
        <w:t>Cabe señalar que el representante solicitó mediante sus diversos escritos que se reparara a los familiares del señor Mejía Idrovo por cuanto “sufrieron padecimientos morales al ser sometidos a enjuiciamiento penal por apoyar la lucha de José Mejía” y exigir</w:t>
      </w:r>
      <w:r>
        <w:rPr>
          <w:rFonts w:ascii="Verdana" w:hAnsi="Verdana" w:cs="Verdana"/>
          <w:sz w:val="20"/>
          <w:szCs w:val="20"/>
          <w:lang w:val="es-ES"/>
        </w:rPr>
        <w:t xml:space="preserve"> […]</w:t>
      </w:r>
      <w:r w:rsidRPr="007040F4">
        <w:rPr>
          <w:rFonts w:ascii="Verdana" w:hAnsi="Verdana" w:cs="Verdana"/>
          <w:sz w:val="20"/>
          <w:szCs w:val="20"/>
          <w:lang w:val="es-ES"/>
        </w:rPr>
        <w:t xml:space="preserve"> el cumplimiento </w:t>
      </w:r>
      <w:r w:rsidRPr="007040F4">
        <w:rPr>
          <w:rFonts w:ascii="Verdana" w:hAnsi="Verdana" w:cs="Verdana"/>
          <w:sz w:val="20"/>
          <w:szCs w:val="20"/>
          <w:lang w:val="es-ES"/>
        </w:rPr>
        <w:lastRenderedPageBreak/>
        <w:t>de la sentencia</w:t>
      </w:r>
      <w:r>
        <w:rPr>
          <w:rFonts w:ascii="Verdana" w:hAnsi="Verdana" w:cs="Verdana"/>
          <w:sz w:val="20"/>
          <w:szCs w:val="20"/>
          <w:lang w:val="es-ES"/>
        </w:rPr>
        <w:t xml:space="preserve"> por el organismo de control constitucional”, así como por los</w:t>
      </w:r>
      <w:r w:rsidRPr="007040F4">
        <w:rPr>
          <w:rFonts w:ascii="Verdana" w:hAnsi="Verdana" w:cs="Verdana"/>
          <w:sz w:val="20"/>
          <w:szCs w:val="20"/>
          <w:lang w:val="es-ES"/>
        </w:rPr>
        <w:t xml:space="preserve"> sufrimientos derivados de</w:t>
      </w:r>
      <w:r>
        <w:rPr>
          <w:rFonts w:ascii="Verdana" w:hAnsi="Verdana" w:cs="Verdana"/>
          <w:sz w:val="20"/>
          <w:szCs w:val="20"/>
          <w:lang w:val="es-ES"/>
        </w:rPr>
        <w:t xml:space="preserve"> la denegación de justicia en perjuicio de su familia</w:t>
      </w:r>
      <w:r w:rsidRPr="007040F4">
        <w:rPr>
          <w:rFonts w:ascii="Verdana" w:hAnsi="Verdana" w:cs="Verdana"/>
          <w:sz w:val="20"/>
          <w:szCs w:val="20"/>
          <w:lang w:val="es-ES"/>
        </w:rPr>
        <w:t xml:space="preserve">. No obstante, </w:t>
      </w:r>
      <w:r w:rsidRPr="007040F4">
        <w:rPr>
          <w:rFonts w:ascii="Verdana" w:hAnsi="Verdana" w:cs="Verdana"/>
          <w:bCs/>
          <w:iCs/>
          <w:sz w:val="20"/>
          <w:szCs w:val="20"/>
          <w:lang w:val="es-ES"/>
        </w:rPr>
        <w:t xml:space="preserve">la Corte ha establecido que </w:t>
      </w:r>
      <w:r w:rsidRPr="007040F4">
        <w:rPr>
          <w:rFonts w:ascii="Verdana" w:hAnsi="Verdana"/>
          <w:sz w:val="20"/>
          <w:szCs w:val="20"/>
          <w:lang w:val="es-ES"/>
        </w:rPr>
        <w:t>las presuntas víctimas deben estar señaladas en la demanda y en el informe de la Comisión según el artículo 50 de la Convención. Además, de conformidad con el artículo 33.1 del Reglamento, corresponde a la Comisión y no a este Tribunal, identificar con precisión y en la debida oportunidad procesal a las presuntas víctimas en un caso ante esta Corte</w:t>
      </w:r>
      <w:r w:rsidRPr="007040F4">
        <w:rPr>
          <w:rStyle w:val="Refdenotaalpie"/>
          <w:rFonts w:ascii="Verdana" w:hAnsi="Verdana"/>
          <w:sz w:val="20"/>
          <w:szCs w:val="20"/>
          <w:lang w:val="es-ES"/>
        </w:rPr>
        <w:footnoteReference w:id="107"/>
      </w:r>
      <w:r w:rsidRPr="007040F4">
        <w:rPr>
          <w:rFonts w:ascii="Verdana" w:hAnsi="Verdana"/>
          <w:sz w:val="20"/>
          <w:szCs w:val="20"/>
          <w:lang w:val="es-ES"/>
        </w:rPr>
        <w:t xml:space="preserve">. </w:t>
      </w:r>
      <w:r w:rsidRPr="007040F4">
        <w:rPr>
          <w:rFonts w:ascii="Verdana" w:hAnsi="Verdana" w:cs="Verdana"/>
          <w:sz w:val="20"/>
          <w:szCs w:val="20"/>
          <w:lang w:val="es-ES"/>
        </w:rPr>
        <w:t xml:space="preserve">Por tanto, siendo que los familiares del señor Mejía Idrovo no fueron señalados como víctimas, la Corte no puede acreditarlos como parte lesionada en el presente caso. </w:t>
      </w:r>
    </w:p>
    <w:p w:rsidR="00F249DD" w:rsidRPr="007040F4" w:rsidRDefault="00F249DD" w:rsidP="003935C5">
      <w:pPr>
        <w:autoSpaceDE w:val="0"/>
        <w:autoSpaceDN w:val="0"/>
        <w:adjustRightInd w:val="0"/>
        <w:jc w:val="both"/>
        <w:rPr>
          <w:rFonts w:ascii="Verdana" w:hAnsi="Verdana" w:cs="Verdana"/>
          <w:sz w:val="20"/>
          <w:szCs w:val="20"/>
          <w:lang w:val="es-ES"/>
        </w:rPr>
      </w:pPr>
    </w:p>
    <w:p w:rsidR="00F249DD" w:rsidRDefault="00F249DD" w:rsidP="003935C5">
      <w:pPr>
        <w:pStyle w:val="Ttulo2"/>
        <w:numPr>
          <w:ilvl w:val="0"/>
          <w:numId w:val="30"/>
        </w:numPr>
        <w:autoSpaceDE w:val="0"/>
        <w:autoSpaceDN w:val="0"/>
        <w:adjustRightInd w:val="0"/>
        <w:jc w:val="both"/>
        <w:rPr>
          <w:lang w:val="es-ES"/>
        </w:rPr>
      </w:pPr>
      <w:bookmarkStart w:id="324" w:name="_Toc295986090"/>
      <w:bookmarkStart w:id="325" w:name="_Toc295986307"/>
      <w:bookmarkStart w:id="326" w:name="_Toc295986427"/>
      <w:bookmarkStart w:id="327" w:name="_Toc294634497"/>
      <w:bookmarkStart w:id="328" w:name="_Toc294635325"/>
      <w:bookmarkStart w:id="329" w:name="_Toc294862718"/>
      <w:bookmarkStart w:id="330" w:name="_Toc294862781"/>
      <w:bookmarkStart w:id="331" w:name="_Toc295380332"/>
      <w:bookmarkStart w:id="332" w:name="_Toc295394484"/>
      <w:bookmarkStart w:id="333" w:name="_Toc295394638"/>
      <w:r w:rsidRPr="005650B0">
        <w:rPr>
          <w:lang w:val="es-ES"/>
        </w:rPr>
        <w:t>Medidas de r</w:t>
      </w:r>
      <w:r>
        <w:rPr>
          <w:lang w:val="es-ES"/>
        </w:rPr>
        <w:t>eparación integral: restitución y</w:t>
      </w:r>
      <w:r w:rsidRPr="005650B0">
        <w:rPr>
          <w:lang w:val="es-ES"/>
        </w:rPr>
        <w:t xml:space="preserve"> satisfacción</w:t>
      </w:r>
      <w:bookmarkEnd w:id="324"/>
      <w:bookmarkEnd w:id="325"/>
      <w:bookmarkEnd w:id="326"/>
      <w:r w:rsidRPr="005650B0">
        <w:rPr>
          <w:lang w:val="es-ES"/>
        </w:rPr>
        <w:t xml:space="preserve"> </w:t>
      </w:r>
      <w:bookmarkEnd w:id="327"/>
      <w:bookmarkEnd w:id="328"/>
      <w:bookmarkEnd w:id="329"/>
      <w:bookmarkEnd w:id="330"/>
      <w:bookmarkEnd w:id="331"/>
      <w:bookmarkEnd w:id="332"/>
      <w:bookmarkEnd w:id="333"/>
    </w:p>
    <w:p w:rsidR="00F249DD" w:rsidRPr="005E60E5" w:rsidRDefault="00F249DD" w:rsidP="003935C5">
      <w:pPr>
        <w:rPr>
          <w:lang w:val="es-ES"/>
        </w:rPr>
      </w:pPr>
    </w:p>
    <w:p w:rsidR="00F249DD" w:rsidRDefault="00F249DD" w:rsidP="003935C5">
      <w:pPr>
        <w:numPr>
          <w:ilvl w:val="0"/>
          <w:numId w:val="56"/>
        </w:numPr>
        <w:tabs>
          <w:tab w:val="clear" w:pos="1170"/>
        </w:tabs>
        <w:autoSpaceDE w:val="0"/>
        <w:autoSpaceDN w:val="0"/>
        <w:adjustRightInd w:val="0"/>
        <w:ind w:left="0"/>
        <w:jc w:val="both"/>
        <w:rPr>
          <w:rFonts w:ascii="Verdana" w:hAnsi="Verdana" w:cs="Verdana"/>
          <w:sz w:val="20"/>
          <w:szCs w:val="20"/>
          <w:lang w:val="es-ES"/>
        </w:rPr>
      </w:pPr>
      <w:r w:rsidRPr="007040F4">
        <w:rPr>
          <w:rFonts w:ascii="Verdana" w:hAnsi="Verdana"/>
          <w:sz w:val="20"/>
          <w:szCs w:val="20"/>
          <w:lang w:val="es-ES"/>
        </w:rPr>
        <w:t>El Tribunal determinará otras medidas que buscan reparar el daño inmaterial y que no tienen naturaleza pecuniaria, y dispondrá medidas de alcance o repercusión pública</w:t>
      </w:r>
      <w:r w:rsidRPr="007040F4">
        <w:rPr>
          <w:rStyle w:val="Refdenotaalpie"/>
          <w:rFonts w:ascii="Verdana" w:hAnsi="Verdana"/>
          <w:sz w:val="20"/>
          <w:szCs w:val="20"/>
          <w:lang w:val="es-ES"/>
        </w:rPr>
        <w:footnoteReference w:id="108"/>
      </w:r>
      <w:r w:rsidRPr="007040F4">
        <w:rPr>
          <w:rFonts w:ascii="Verdana" w:hAnsi="Verdana"/>
          <w:sz w:val="20"/>
          <w:szCs w:val="20"/>
          <w:lang w:val="es-ES"/>
        </w:rPr>
        <w:t>.</w:t>
      </w:r>
      <w:r>
        <w:rPr>
          <w:rFonts w:ascii="Verdana" w:hAnsi="Verdana" w:cs="Verdana"/>
          <w:sz w:val="20"/>
          <w:szCs w:val="20"/>
          <w:lang w:val="es-ES"/>
        </w:rPr>
        <w:t xml:space="preserve"> </w:t>
      </w:r>
    </w:p>
    <w:p w:rsidR="00F249DD" w:rsidRDefault="00F249DD" w:rsidP="003935C5">
      <w:pPr>
        <w:autoSpaceDE w:val="0"/>
        <w:autoSpaceDN w:val="0"/>
        <w:adjustRightInd w:val="0"/>
        <w:jc w:val="both"/>
        <w:rPr>
          <w:rFonts w:ascii="Verdana" w:hAnsi="Verdana" w:cs="Verdana"/>
          <w:sz w:val="20"/>
          <w:szCs w:val="20"/>
          <w:lang w:val="es-ES"/>
        </w:rPr>
      </w:pPr>
    </w:p>
    <w:p w:rsidR="00F249DD" w:rsidRPr="005E60E5" w:rsidRDefault="00F249DD" w:rsidP="003935C5">
      <w:pPr>
        <w:numPr>
          <w:ilvl w:val="0"/>
          <w:numId w:val="56"/>
        </w:numPr>
        <w:tabs>
          <w:tab w:val="clear" w:pos="1170"/>
        </w:tabs>
        <w:ind w:left="0"/>
        <w:jc w:val="both"/>
        <w:rPr>
          <w:rFonts w:ascii="Verdana" w:hAnsi="Verdana"/>
          <w:sz w:val="20"/>
          <w:lang w:val="es-ES"/>
        </w:rPr>
      </w:pPr>
      <w:r w:rsidRPr="005E60E5">
        <w:rPr>
          <w:rFonts w:ascii="Verdana" w:hAnsi="Verdana"/>
          <w:sz w:val="20"/>
          <w:lang w:val="es-ES"/>
        </w:rPr>
        <w:t>La Corte toma en cuenta que durante la audiencia pública el señor Mejía Idrovo manifestó que:</w:t>
      </w:r>
    </w:p>
    <w:p w:rsidR="00F249DD" w:rsidRPr="009227B8" w:rsidRDefault="00F249DD" w:rsidP="003935C5">
      <w:pPr>
        <w:jc w:val="both"/>
        <w:rPr>
          <w:rFonts w:ascii="Verdana" w:hAnsi="Verdana"/>
          <w:sz w:val="20"/>
          <w:lang w:val="es-ES"/>
        </w:rPr>
      </w:pPr>
    </w:p>
    <w:p w:rsidR="00F249DD" w:rsidRPr="009227B8" w:rsidRDefault="00F249DD" w:rsidP="003935C5">
      <w:pPr>
        <w:ind w:left="810" w:right="720"/>
        <w:jc w:val="both"/>
        <w:rPr>
          <w:rFonts w:ascii="Verdana" w:hAnsi="Verdana"/>
          <w:sz w:val="20"/>
          <w:lang w:val="es-ES"/>
        </w:rPr>
      </w:pPr>
      <w:r>
        <w:rPr>
          <w:rFonts w:ascii="Verdana" w:hAnsi="Verdana"/>
          <w:sz w:val="16"/>
          <w:szCs w:val="16"/>
          <w:lang w:val="es-ES"/>
        </w:rPr>
        <w:t>[L]</w:t>
      </w:r>
      <w:r w:rsidRPr="00C57020">
        <w:rPr>
          <w:rFonts w:ascii="Verdana" w:hAnsi="Verdana"/>
          <w:sz w:val="16"/>
          <w:szCs w:val="16"/>
          <w:lang w:val="es-ES"/>
        </w:rPr>
        <w:t>a situación fue indignante en razón de que nosotros los que hemos escogido esta profesión, la carrera militar, es de mística, de ideales y de objetivos, es un plan de vida que nosotros nos trazamos como cualquier otra profesión, y al haber desplegado grandes esfuerzos, puesta en evidencia todas mis capacidades […] esto me ha producido un desequilibrio, inclusive problemas con la familia que hasta ahora no lo hemos podido superar, yo me he sentido prácticamente indefenso, mi salud se ha quebrantado terriblemente, […] y todo esto me ha provocado porque lamentablemente no ha habido la voluntad por parte de las autoridades de cumplir una sentencia interna, y que lamentablemente, yo inclusive como víctima había, ante las autoridades, pedido y suplicado que se solucione internamente para que la imagen del Estado, del Ecuador, de mi patria, no se vea en forma negativa ante sentencias internacionales, pero hasta la fecha lo único que he conseguido es el desacato y el incumplimiento de las sentencias que estaban a mi favor.</w:t>
      </w:r>
      <w:r w:rsidRPr="009227B8">
        <w:rPr>
          <w:rFonts w:ascii="Verdana" w:hAnsi="Verdana"/>
          <w:sz w:val="20"/>
          <w:lang w:val="es-ES"/>
        </w:rPr>
        <w:t xml:space="preserve"> </w:t>
      </w:r>
    </w:p>
    <w:p w:rsidR="00F249DD" w:rsidRDefault="00F249DD" w:rsidP="003935C5">
      <w:pPr>
        <w:autoSpaceDE w:val="0"/>
        <w:autoSpaceDN w:val="0"/>
        <w:adjustRightInd w:val="0"/>
        <w:jc w:val="both"/>
        <w:rPr>
          <w:rFonts w:ascii="Verdana" w:hAnsi="Verdana" w:cs="Verdana"/>
          <w:sz w:val="20"/>
          <w:szCs w:val="20"/>
          <w:lang w:val="es-ES"/>
        </w:rPr>
      </w:pPr>
    </w:p>
    <w:p w:rsidR="00F249DD" w:rsidRPr="007040F4" w:rsidRDefault="00F249DD" w:rsidP="003935C5">
      <w:pPr>
        <w:numPr>
          <w:ilvl w:val="0"/>
          <w:numId w:val="56"/>
        </w:numPr>
        <w:tabs>
          <w:tab w:val="clear" w:pos="1170"/>
        </w:tabs>
        <w:autoSpaceDE w:val="0"/>
        <w:autoSpaceDN w:val="0"/>
        <w:adjustRightInd w:val="0"/>
        <w:ind w:left="0"/>
        <w:jc w:val="both"/>
        <w:rPr>
          <w:rFonts w:ascii="Verdana" w:hAnsi="Verdana" w:cs="Verdana"/>
          <w:sz w:val="20"/>
          <w:szCs w:val="20"/>
          <w:lang w:val="es-ES"/>
        </w:rPr>
      </w:pPr>
      <w:r w:rsidRPr="007040F4">
        <w:rPr>
          <w:rFonts w:ascii="Verdana" w:hAnsi="Verdana" w:cs="Verdana"/>
          <w:sz w:val="20"/>
          <w:szCs w:val="20"/>
          <w:lang w:val="es-ES"/>
        </w:rPr>
        <w:t>La jurisprudencia internacional y en particular de la Corte, ha establecido reiteradamente que la sentencia constituye</w:t>
      </w:r>
      <w:r w:rsidRPr="007040F4">
        <w:rPr>
          <w:rFonts w:ascii="Verdana" w:hAnsi="Verdana" w:cs="Verdana"/>
          <w:i/>
          <w:iCs/>
          <w:sz w:val="20"/>
          <w:szCs w:val="20"/>
          <w:lang w:val="es-ES"/>
        </w:rPr>
        <w:t xml:space="preserve"> per se</w:t>
      </w:r>
      <w:r w:rsidRPr="007040F4">
        <w:rPr>
          <w:rFonts w:ascii="Verdana" w:hAnsi="Verdana" w:cs="Verdana"/>
          <w:sz w:val="20"/>
          <w:szCs w:val="20"/>
          <w:lang w:val="es-ES"/>
        </w:rPr>
        <w:t xml:space="preserve"> una forma de reparación</w:t>
      </w:r>
      <w:r w:rsidRPr="007040F4">
        <w:rPr>
          <w:rStyle w:val="Refdenotaalpie"/>
          <w:rFonts w:ascii="Verdana" w:hAnsi="Verdana" w:cs="Verdana"/>
          <w:sz w:val="20"/>
          <w:szCs w:val="20"/>
          <w:lang w:val="es-ES"/>
        </w:rPr>
        <w:footnoteReference w:id="109"/>
      </w:r>
      <w:r w:rsidRPr="007040F4">
        <w:rPr>
          <w:rFonts w:ascii="Verdana" w:hAnsi="Verdana" w:cs="Verdana"/>
          <w:sz w:val="20"/>
          <w:szCs w:val="20"/>
          <w:lang w:val="es-ES"/>
        </w:rPr>
        <w:t xml:space="preserve">. No obstante, considerando las circunstancias del caso </w:t>
      </w:r>
      <w:r w:rsidRPr="007040F4">
        <w:rPr>
          <w:rFonts w:ascii="Verdana" w:hAnsi="Verdana" w:cs="Verdana"/>
          <w:i/>
          <w:sz w:val="20"/>
          <w:szCs w:val="20"/>
          <w:lang w:val="es-ES"/>
        </w:rPr>
        <w:t>sub judice</w:t>
      </w:r>
      <w:r w:rsidRPr="007040F4">
        <w:rPr>
          <w:rFonts w:ascii="Verdana" w:hAnsi="Verdana" w:cs="Verdana"/>
          <w:sz w:val="20"/>
          <w:szCs w:val="20"/>
          <w:lang w:val="es-ES"/>
        </w:rPr>
        <w:t xml:space="preserve">, en vista de las afectaciones al señor Mejía </w:t>
      </w:r>
      <w:r>
        <w:rPr>
          <w:rFonts w:ascii="Verdana" w:hAnsi="Verdana" w:cs="Verdana"/>
          <w:sz w:val="20"/>
          <w:szCs w:val="20"/>
          <w:lang w:val="es-ES"/>
        </w:rPr>
        <w:t>I</w:t>
      </w:r>
      <w:r w:rsidRPr="007040F4">
        <w:rPr>
          <w:rFonts w:ascii="Verdana" w:hAnsi="Verdana" w:cs="Verdana"/>
          <w:sz w:val="20"/>
          <w:szCs w:val="20"/>
          <w:lang w:val="es-ES"/>
        </w:rPr>
        <w:t xml:space="preserve">drovo, derivado de las alteraciones a sus condiciones </w:t>
      </w:r>
      <w:r>
        <w:rPr>
          <w:rFonts w:ascii="Verdana" w:hAnsi="Verdana" w:cs="Verdana"/>
          <w:sz w:val="20"/>
          <w:szCs w:val="20"/>
          <w:lang w:val="es-ES"/>
        </w:rPr>
        <w:t xml:space="preserve">y </w:t>
      </w:r>
      <w:r w:rsidRPr="0057480E">
        <w:rPr>
          <w:rFonts w:ascii="Verdana" w:hAnsi="Verdana" w:cs="Verdana"/>
          <w:sz w:val="20"/>
          <w:szCs w:val="20"/>
          <w:lang w:val="es-ES"/>
        </w:rPr>
        <w:t>proyecto</w:t>
      </w:r>
      <w:r>
        <w:rPr>
          <w:rFonts w:ascii="Verdana" w:hAnsi="Verdana" w:cs="Verdana"/>
          <w:sz w:val="20"/>
          <w:szCs w:val="20"/>
          <w:lang w:val="es-ES"/>
        </w:rPr>
        <w:t xml:space="preserve"> de vida</w:t>
      </w:r>
      <w:r w:rsidRPr="007040F4">
        <w:rPr>
          <w:rFonts w:ascii="Verdana" w:hAnsi="Verdana" w:cs="Verdana"/>
          <w:sz w:val="20"/>
          <w:szCs w:val="20"/>
          <w:lang w:val="es-ES"/>
        </w:rPr>
        <w:t xml:space="preserve">, </w:t>
      </w:r>
      <w:r w:rsidRPr="007040F4">
        <w:rPr>
          <w:rFonts w:ascii="Verdana" w:hAnsi="Verdana"/>
          <w:sz w:val="20"/>
          <w:szCs w:val="20"/>
          <w:lang w:val="es-ES"/>
        </w:rPr>
        <w:t xml:space="preserve">expectativas de desarrollo profesional, </w:t>
      </w:r>
      <w:r w:rsidRPr="007040F4">
        <w:rPr>
          <w:rFonts w:ascii="Verdana" w:hAnsi="Verdana" w:cs="Verdana"/>
          <w:sz w:val="20"/>
          <w:szCs w:val="20"/>
          <w:lang w:val="es-ES"/>
        </w:rPr>
        <w:t>y las restantes consecuencias de orden inmaterial sufrid</w:t>
      </w:r>
      <w:r>
        <w:rPr>
          <w:rFonts w:ascii="Verdana" w:hAnsi="Verdana" w:cs="Verdana"/>
          <w:sz w:val="20"/>
          <w:szCs w:val="20"/>
          <w:lang w:val="es-ES"/>
        </w:rPr>
        <w:t>a</w:t>
      </w:r>
      <w:r w:rsidRPr="007040F4">
        <w:rPr>
          <w:rFonts w:ascii="Verdana" w:hAnsi="Verdana" w:cs="Verdana"/>
          <w:sz w:val="20"/>
          <w:szCs w:val="20"/>
          <w:lang w:val="es-ES"/>
        </w:rPr>
        <w:t>s como consecuencia de la violaciones de los artículos 25</w:t>
      </w:r>
      <w:r>
        <w:rPr>
          <w:rFonts w:ascii="Verdana" w:hAnsi="Verdana" w:cs="Verdana"/>
          <w:sz w:val="20"/>
          <w:szCs w:val="20"/>
          <w:lang w:val="es-ES"/>
        </w:rPr>
        <w:t>.1 y 25.</w:t>
      </w:r>
      <w:r w:rsidRPr="007040F4">
        <w:rPr>
          <w:rFonts w:ascii="Verdana" w:hAnsi="Verdana" w:cs="Verdana"/>
          <w:sz w:val="20"/>
          <w:szCs w:val="20"/>
          <w:lang w:val="es-ES"/>
        </w:rPr>
        <w:t>2</w:t>
      </w:r>
      <w:r>
        <w:rPr>
          <w:rFonts w:ascii="Verdana" w:hAnsi="Verdana" w:cs="Verdana"/>
          <w:sz w:val="20"/>
          <w:szCs w:val="20"/>
          <w:lang w:val="es-ES"/>
        </w:rPr>
        <w:t>c)</w:t>
      </w:r>
      <w:r w:rsidRPr="007040F4">
        <w:rPr>
          <w:rFonts w:ascii="Verdana" w:hAnsi="Verdana" w:cs="Verdana"/>
          <w:sz w:val="20"/>
          <w:szCs w:val="20"/>
          <w:lang w:val="es-ES"/>
        </w:rPr>
        <w:t xml:space="preserve"> de la Convención Americana, declaradas en perjuicio de la víctima, la Corte estima pertinente fijar las siguientes medidas. </w:t>
      </w:r>
    </w:p>
    <w:p w:rsidR="00F249DD" w:rsidRPr="007040F4" w:rsidRDefault="00F249DD" w:rsidP="003935C5">
      <w:pPr>
        <w:autoSpaceDE w:val="0"/>
        <w:autoSpaceDN w:val="0"/>
        <w:adjustRightInd w:val="0"/>
        <w:jc w:val="both"/>
        <w:rPr>
          <w:rFonts w:ascii="Verdana" w:hAnsi="Verdana" w:cs="Verdana"/>
          <w:sz w:val="20"/>
          <w:szCs w:val="20"/>
          <w:lang w:val="es-ES"/>
        </w:rPr>
      </w:pPr>
    </w:p>
    <w:p w:rsidR="00F249DD" w:rsidRPr="007040F4" w:rsidRDefault="00F249DD" w:rsidP="003935C5">
      <w:pPr>
        <w:widowControl w:val="0"/>
        <w:numPr>
          <w:ilvl w:val="0"/>
          <w:numId w:val="17"/>
        </w:numPr>
        <w:tabs>
          <w:tab w:val="clear" w:pos="2025"/>
        </w:tabs>
        <w:autoSpaceDE w:val="0"/>
        <w:autoSpaceDN w:val="0"/>
        <w:adjustRightInd w:val="0"/>
        <w:ind w:left="1440" w:right="99" w:hanging="720"/>
        <w:jc w:val="both"/>
        <w:rPr>
          <w:rFonts w:ascii="Verdana" w:hAnsi="Verdana"/>
          <w:b/>
          <w:i/>
          <w:sz w:val="20"/>
          <w:szCs w:val="20"/>
          <w:lang w:val="es-ES"/>
        </w:rPr>
      </w:pPr>
      <w:r w:rsidRPr="007040F4">
        <w:rPr>
          <w:rFonts w:ascii="Verdana" w:hAnsi="Verdana" w:cs="Helvetica"/>
          <w:b/>
          <w:i/>
          <w:sz w:val="20"/>
          <w:szCs w:val="20"/>
          <w:lang w:val="es-ES"/>
        </w:rPr>
        <w:t>Restitución</w:t>
      </w:r>
    </w:p>
    <w:p w:rsidR="00F249DD" w:rsidRPr="007040F4" w:rsidRDefault="00F249DD" w:rsidP="003935C5">
      <w:pPr>
        <w:autoSpaceDE w:val="0"/>
        <w:autoSpaceDN w:val="0"/>
        <w:adjustRightInd w:val="0"/>
        <w:jc w:val="both"/>
        <w:rPr>
          <w:rFonts w:ascii="Verdana" w:hAnsi="Verdana" w:cs="Verdana"/>
          <w:sz w:val="20"/>
          <w:szCs w:val="20"/>
          <w:lang w:val="es-ES"/>
        </w:rPr>
      </w:pPr>
    </w:p>
    <w:p w:rsidR="00F249DD" w:rsidRPr="007040F4" w:rsidRDefault="00F249DD" w:rsidP="003935C5">
      <w:pPr>
        <w:numPr>
          <w:ilvl w:val="0"/>
          <w:numId w:val="56"/>
        </w:numPr>
        <w:tabs>
          <w:tab w:val="clear" w:pos="1170"/>
        </w:tabs>
        <w:autoSpaceDE w:val="0"/>
        <w:autoSpaceDN w:val="0"/>
        <w:adjustRightInd w:val="0"/>
        <w:ind w:left="0"/>
        <w:jc w:val="both"/>
        <w:rPr>
          <w:rFonts w:ascii="Verdana" w:hAnsi="Verdana" w:cs="Verdana"/>
          <w:sz w:val="20"/>
          <w:szCs w:val="20"/>
          <w:lang w:val="es-ES"/>
        </w:rPr>
      </w:pPr>
      <w:r w:rsidRPr="007040F4">
        <w:rPr>
          <w:rFonts w:ascii="Verdana" w:hAnsi="Verdana" w:cs="Verdana"/>
          <w:sz w:val="20"/>
          <w:szCs w:val="20"/>
          <w:lang w:val="es-ES"/>
        </w:rPr>
        <w:t xml:space="preserve">Los representantes solicitaron que la Corte ordene al Estado que “adopte las acciones que sean necesarias para que se realice el procedimiento de ascenso como lo ordena la Corte Constitucional, es decir que una vez que ha cumplido con los requisitos establecidos en la ley como lo señaló el Tribunal Constitucional, proceda de acuerdo a la legislación militar y el </w:t>
      </w:r>
      <w:r>
        <w:rPr>
          <w:rFonts w:ascii="Verdana" w:hAnsi="Verdana" w:cs="Verdana"/>
          <w:sz w:val="20"/>
          <w:szCs w:val="20"/>
          <w:lang w:val="es-ES"/>
        </w:rPr>
        <w:lastRenderedPageBreak/>
        <w:t>[</w:t>
      </w:r>
      <w:r w:rsidRPr="007040F4">
        <w:rPr>
          <w:rFonts w:ascii="Verdana" w:hAnsi="Verdana" w:cs="Verdana"/>
          <w:sz w:val="20"/>
          <w:szCs w:val="20"/>
          <w:lang w:val="es-ES"/>
        </w:rPr>
        <w:t>C</w:t>
      </w:r>
      <w:r>
        <w:rPr>
          <w:rFonts w:ascii="Verdana" w:hAnsi="Verdana" w:cs="Verdana"/>
          <w:sz w:val="20"/>
          <w:szCs w:val="20"/>
          <w:lang w:val="es-ES"/>
        </w:rPr>
        <w:t>]</w:t>
      </w:r>
      <w:r w:rsidRPr="007040F4">
        <w:rPr>
          <w:rFonts w:ascii="Verdana" w:hAnsi="Verdana" w:cs="Verdana"/>
          <w:sz w:val="20"/>
          <w:szCs w:val="20"/>
          <w:lang w:val="es-ES"/>
        </w:rPr>
        <w:t xml:space="preserve">onsejo de </w:t>
      </w:r>
      <w:r>
        <w:rPr>
          <w:rFonts w:ascii="Verdana" w:hAnsi="Verdana" w:cs="Verdana"/>
          <w:sz w:val="20"/>
          <w:szCs w:val="20"/>
          <w:lang w:val="es-ES"/>
        </w:rPr>
        <w:t xml:space="preserve">[Oficiales] </w:t>
      </w:r>
      <w:r w:rsidRPr="007040F4">
        <w:rPr>
          <w:rFonts w:ascii="Verdana" w:hAnsi="Verdana" w:cs="Verdana"/>
          <w:sz w:val="20"/>
          <w:szCs w:val="20"/>
          <w:lang w:val="es-ES"/>
        </w:rPr>
        <w:t xml:space="preserve">Generales solicite a las autoridades respectivas la emisión de los </w:t>
      </w:r>
      <w:r>
        <w:rPr>
          <w:rFonts w:ascii="Verdana" w:hAnsi="Verdana" w:cs="Verdana"/>
          <w:sz w:val="20"/>
          <w:szCs w:val="20"/>
          <w:lang w:val="es-ES"/>
        </w:rPr>
        <w:t>d</w:t>
      </w:r>
      <w:r w:rsidRPr="007040F4">
        <w:rPr>
          <w:rFonts w:ascii="Verdana" w:hAnsi="Verdana" w:cs="Verdana"/>
          <w:sz w:val="20"/>
          <w:szCs w:val="20"/>
          <w:lang w:val="es-ES"/>
        </w:rPr>
        <w:t xml:space="preserve">ecretos de ascenso y publique dichos decretos en la respectiva orden general”. </w:t>
      </w:r>
      <w:r w:rsidRPr="007040F4">
        <w:rPr>
          <w:rFonts w:ascii="Verdana" w:hAnsi="Verdana"/>
          <w:sz w:val="20"/>
          <w:szCs w:val="20"/>
          <w:lang w:val="es-ES"/>
        </w:rPr>
        <w:t>La Comisión no tomó posición expresa sobre este punto y se limitó a solicitar a esta Corte que “ordene al Estado tomar las medidas necesarias para dar cumplimiento en forma eficiente a la sentencia del Tribunal Constitucional de</w:t>
      </w:r>
      <w:r>
        <w:rPr>
          <w:rFonts w:ascii="Verdana" w:hAnsi="Verdana"/>
          <w:sz w:val="20"/>
          <w:szCs w:val="20"/>
          <w:lang w:val="es-ES"/>
        </w:rPr>
        <w:t>[l]</w:t>
      </w:r>
      <w:r w:rsidRPr="007040F4">
        <w:rPr>
          <w:rFonts w:ascii="Verdana" w:hAnsi="Verdana"/>
          <w:sz w:val="20"/>
          <w:szCs w:val="20"/>
          <w:lang w:val="es-ES"/>
        </w:rPr>
        <w:t xml:space="preserve"> Ecuador emitida el 12 de marzo de 2002”. </w:t>
      </w:r>
    </w:p>
    <w:p w:rsidR="00F249DD" w:rsidRPr="007040F4" w:rsidRDefault="00F249DD" w:rsidP="003935C5">
      <w:pPr>
        <w:autoSpaceDE w:val="0"/>
        <w:autoSpaceDN w:val="0"/>
        <w:adjustRightInd w:val="0"/>
        <w:jc w:val="both"/>
        <w:rPr>
          <w:rFonts w:ascii="Verdana" w:hAnsi="Verdana" w:cs="Verdana"/>
          <w:sz w:val="20"/>
          <w:szCs w:val="20"/>
          <w:lang w:val="es-ES"/>
        </w:rPr>
      </w:pPr>
    </w:p>
    <w:p w:rsidR="00F249DD" w:rsidRPr="007040F4" w:rsidRDefault="00F249DD" w:rsidP="003935C5">
      <w:pPr>
        <w:numPr>
          <w:ilvl w:val="0"/>
          <w:numId w:val="56"/>
        </w:numPr>
        <w:tabs>
          <w:tab w:val="clear" w:pos="1170"/>
        </w:tabs>
        <w:autoSpaceDE w:val="0"/>
        <w:autoSpaceDN w:val="0"/>
        <w:adjustRightInd w:val="0"/>
        <w:ind w:left="0"/>
        <w:jc w:val="both"/>
        <w:rPr>
          <w:rFonts w:ascii="Verdana" w:hAnsi="Verdana" w:cs="Verdana"/>
          <w:sz w:val="20"/>
          <w:szCs w:val="20"/>
          <w:lang w:val="es-ES"/>
        </w:rPr>
      </w:pPr>
      <w:r w:rsidRPr="007040F4">
        <w:rPr>
          <w:rFonts w:ascii="Verdana" w:hAnsi="Verdana" w:cs="Verdana"/>
          <w:sz w:val="20"/>
          <w:szCs w:val="20"/>
          <w:lang w:val="es-ES"/>
        </w:rPr>
        <w:t>Al respecto, el Estado sostuvo que, contrariamente a lo que afirman los representantes, el fallo del Tribunal Constitucional, al no tener efecto retroactivo no implicaba el ascenso del señor Mejía Idrovo al grado inmediato superior.</w:t>
      </w:r>
      <w:r w:rsidRPr="00327EB5">
        <w:rPr>
          <w:rFonts w:ascii="Verdana" w:hAnsi="Verdana" w:cs="Verdana"/>
          <w:sz w:val="20"/>
          <w:szCs w:val="20"/>
          <w:lang w:val="es-ES"/>
        </w:rPr>
        <w:t xml:space="preserve"> </w:t>
      </w:r>
      <w:r w:rsidRPr="007040F4">
        <w:rPr>
          <w:rFonts w:ascii="Verdana" w:hAnsi="Verdana" w:cs="Verdana"/>
          <w:sz w:val="20"/>
          <w:szCs w:val="20"/>
          <w:lang w:val="es-ES"/>
        </w:rPr>
        <w:t>“El Tribunal Constitucional ordenó en cambio la reparación de los daños”.</w:t>
      </w:r>
    </w:p>
    <w:p w:rsidR="00F249DD" w:rsidRPr="007040F4" w:rsidRDefault="00F249DD" w:rsidP="003935C5">
      <w:pPr>
        <w:autoSpaceDE w:val="0"/>
        <w:autoSpaceDN w:val="0"/>
        <w:adjustRightInd w:val="0"/>
        <w:jc w:val="both"/>
        <w:rPr>
          <w:rFonts w:ascii="Verdana" w:hAnsi="Verdana" w:cs="Verdana"/>
          <w:sz w:val="20"/>
          <w:szCs w:val="20"/>
          <w:lang w:val="es-ES"/>
        </w:rPr>
      </w:pPr>
    </w:p>
    <w:p w:rsidR="00F249DD" w:rsidRPr="00922977" w:rsidRDefault="00F249DD" w:rsidP="003935C5">
      <w:pPr>
        <w:numPr>
          <w:ilvl w:val="0"/>
          <w:numId w:val="56"/>
        </w:numPr>
        <w:tabs>
          <w:tab w:val="clear" w:pos="1170"/>
        </w:tabs>
        <w:autoSpaceDE w:val="0"/>
        <w:autoSpaceDN w:val="0"/>
        <w:adjustRightInd w:val="0"/>
        <w:ind w:left="0"/>
        <w:jc w:val="both"/>
        <w:rPr>
          <w:rFonts w:ascii="Verdana" w:hAnsi="Verdana" w:cs="Verdana"/>
          <w:b/>
          <w:sz w:val="20"/>
          <w:szCs w:val="20"/>
          <w:u w:val="single"/>
          <w:lang w:val="es-ES"/>
        </w:rPr>
      </w:pPr>
      <w:r w:rsidRPr="007040F4">
        <w:rPr>
          <w:rFonts w:ascii="Verdana" w:hAnsi="Verdana" w:cs="Verdana"/>
          <w:sz w:val="20"/>
          <w:szCs w:val="20"/>
          <w:lang w:val="es-ES"/>
        </w:rPr>
        <w:t>La Corte</w:t>
      </w:r>
      <w:r w:rsidRPr="008C6FEA">
        <w:rPr>
          <w:rFonts w:ascii="Verdana" w:hAnsi="Verdana" w:cs="Verdana"/>
          <w:b/>
          <w:sz w:val="20"/>
          <w:szCs w:val="20"/>
          <w:lang w:val="es-ES"/>
        </w:rPr>
        <w:t xml:space="preserve"> </w:t>
      </w:r>
      <w:r w:rsidRPr="0047282A">
        <w:rPr>
          <w:rFonts w:ascii="Verdana" w:hAnsi="Verdana" w:cs="Verdana"/>
          <w:sz w:val="20"/>
          <w:szCs w:val="20"/>
          <w:lang w:val="es-ES"/>
        </w:rPr>
        <w:t>constata que fue demostrado en el capítulo VI que existieron omisiones en el debido proceso</w:t>
      </w:r>
      <w:r>
        <w:rPr>
          <w:rFonts w:ascii="Verdana" w:hAnsi="Verdana" w:cs="Verdana"/>
          <w:sz w:val="20"/>
          <w:szCs w:val="20"/>
          <w:lang w:val="es-ES"/>
        </w:rPr>
        <w:t>,</w:t>
      </w:r>
      <w:r w:rsidRPr="00F32738">
        <w:rPr>
          <w:rFonts w:ascii="Verdana" w:hAnsi="Verdana" w:cs="Verdana"/>
          <w:b/>
          <w:sz w:val="20"/>
          <w:szCs w:val="20"/>
          <w:lang w:val="es-ES"/>
        </w:rPr>
        <w:t xml:space="preserve"> </w:t>
      </w:r>
      <w:r w:rsidRPr="00374B2C">
        <w:rPr>
          <w:rFonts w:ascii="Verdana" w:hAnsi="Verdana" w:cs="Verdana"/>
          <w:sz w:val="20"/>
          <w:szCs w:val="20"/>
          <w:lang w:val="es-ES"/>
        </w:rPr>
        <w:t xml:space="preserve">algunas de las cuales han sido subsanadas en el fuero </w:t>
      </w:r>
      <w:r w:rsidRPr="00E05410">
        <w:rPr>
          <w:rFonts w:ascii="Verdana" w:hAnsi="Verdana" w:cs="Verdana"/>
          <w:sz w:val="20"/>
          <w:szCs w:val="20"/>
          <w:lang w:val="es-ES"/>
        </w:rPr>
        <w:t xml:space="preserve">interno </w:t>
      </w:r>
      <w:r w:rsidRPr="00FC3247">
        <w:rPr>
          <w:rFonts w:ascii="Verdana" w:hAnsi="Verdana" w:cs="Verdana"/>
          <w:sz w:val="20"/>
          <w:szCs w:val="20"/>
          <w:lang w:val="es-ES"/>
        </w:rPr>
        <w:t>durante el transcurso del proceso ante la Corte.</w:t>
      </w:r>
      <w:r w:rsidRPr="007040F4">
        <w:rPr>
          <w:rFonts w:ascii="Verdana" w:hAnsi="Verdana" w:cs="Verdana"/>
          <w:sz w:val="20"/>
          <w:szCs w:val="20"/>
          <w:lang w:val="es-ES"/>
        </w:rPr>
        <w:t xml:space="preserve"> </w:t>
      </w:r>
      <w:r w:rsidRPr="0047282A">
        <w:rPr>
          <w:rFonts w:ascii="Verdana" w:hAnsi="Verdana" w:cs="Verdana"/>
          <w:sz w:val="20"/>
          <w:szCs w:val="20"/>
          <w:lang w:val="es-ES"/>
        </w:rPr>
        <w:t>El Tribunal</w:t>
      </w:r>
      <w:r w:rsidRPr="007040F4">
        <w:rPr>
          <w:rFonts w:ascii="Verdana" w:hAnsi="Verdana" w:cs="Verdana"/>
          <w:sz w:val="20"/>
          <w:szCs w:val="20"/>
          <w:lang w:val="es-ES"/>
        </w:rPr>
        <w:t xml:space="preserve"> toma nota que</w:t>
      </w:r>
      <w:r>
        <w:rPr>
          <w:rFonts w:ascii="Verdana" w:hAnsi="Verdana" w:cs="Verdana"/>
          <w:sz w:val="20"/>
          <w:szCs w:val="20"/>
          <w:lang w:val="es-ES"/>
        </w:rPr>
        <w:t>,</w:t>
      </w:r>
      <w:r w:rsidRPr="007040F4">
        <w:rPr>
          <w:rFonts w:ascii="Verdana" w:hAnsi="Verdana" w:cs="Verdana"/>
          <w:sz w:val="20"/>
          <w:szCs w:val="20"/>
          <w:lang w:val="es-ES"/>
        </w:rPr>
        <w:t xml:space="preserve"> mediante sentencia de 8 de octubre de 2009, la Corte Constitucional ordenó “[l]a reincorporación del accionante a la situación profesional que ostentaba dentro de la Fuerza Terrestre, a la fecha </w:t>
      </w:r>
      <w:r w:rsidRPr="00F822BE">
        <w:rPr>
          <w:rFonts w:ascii="Verdana" w:hAnsi="Verdana" w:cs="Verdana"/>
          <w:sz w:val="20"/>
          <w:szCs w:val="20"/>
          <w:lang w:val="es-ES"/>
        </w:rPr>
        <w:t xml:space="preserve">inmediatamente anterior a la expedición de los Decretos Ejecutivos declarados inconstitucionales”. Posteriormente, el </w:t>
      </w:r>
      <w:r w:rsidRPr="00F822BE">
        <w:rPr>
          <w:rFonts w:ascii="Verdana" w:hAnsi="Verdana" w:cs="Lucida Sans Unicode"/>
          <w:sz w:val="20"/>
          <w:szCs w:val="20"/>
          <w:lang w:val="es-ES"/>
        </w:rPr>
        <w:t>18 de octubre de 2010 el señor Mejía Idrovo fue reincorporado al servicio activo como Coronel del Ejército.</w:t>
      </w:r>
      <w:r w:rsidRPr="00375378">
        <w:rPr>
          <w:rFonts w:ascii="Verdana" w:hAnsi="Verdana" w:cs="Lucida Sans Unicode"/>
          <w:strike/>
          <w:sz w:val="20"/>
          <w:szCs w:val="20"/>
          <w:lang w:val="es-ES"/>
        </w:rPr>
        <w:t xml:space="preserve"> </w:t>
      </w:r>
    </w:p>
    <w:p w:rsidR="00F249DD" w:rsidRPr="007040F4" w:rsidRDefault="00F249DD" w:rsidP="003935C5">
      <w:pPr>
        <w:autoSpaceDE w:val="0"/>
        <w:autoSpaceDN w:val="0"/>
        <w:adjustRightInd w:val="0"/>
        <w:jc w:val="both"/>
        <w:rPr>
          <w:rFonts w:ascii="Verdana" w:hAnsi="Verdana" w:cs="Verdana"/>
          <w:b/>
          <w:sz w:val="20"/>
          <w:szCs w:val="20"/>
          <w:lang w:val="es-ES"/>
        </w:rPr>
      </w:pPr>
    </w:p>
    <w:p w:rsidR="00F249DD" w:rsidRPr="00466291" w:rsidRDefault="00F249DD" w:rsidP="003935C5">
      <w:pPr>
        <w:numPr>
          <w:ilvl w:val="0"/>
          <w:numId w:val="56"/>
        </w:numPr>
        <w:tabs>
          <w:tab w:val="clear" w:pos="1170"/>
        </w:tabs>
        <w:autoSpaceDE w:val="0"/>
        <w:autoSpaceDN w:val="0"/>
        <w:adjustRightInd w:val="0"/>
        <w:ind w:left="0"/>
        <w:jc w:val="both"/>
        <w:rPr>
          <w:rFonts w:ascii="Verdana" w:hAnsi="Verdana" w:cs="Verdana"/>
          <w:sz w:val="20"/>
          <w:szCs w:val="20"/>
          <w:lang w:val="es-ES"/>
        </w:rPr>
      </w:pPr>
      <w:r w:rsidRPr="00466291">
        <w:rPr>
          <w:rFonts w:ascii="Verdana" w:hAnsi="Verdana" w:cs="Verdana"/>
          <w:sz w:val="20"/>
          <w:szCs w:val="20"/>
          <w:lang w:val="es-ES"/>
        </w:rPr>
        <w:t xml:space="preserve">En razón de lo anterior, la Corte encuentra que durante el trámite del caso ante </w:t>
      </w:r>
      <w:r w:rsidRPr="00FC3247">
        <w:rPr>
          <w:rFonts w:ascii="Verdana" w:hAnsi="Verdana" w:cs="Verdana"/>
          <w:sz w:val="20"/>
          <w:szCs w:val="20"/>
          <w:lang w:val="es-ES"/>
        </w:rPr>
        <w:t>este Tribunal el señor Mejía Idrovo fue reincorporado a su cargo, y con ello se le ha restituido en sus derechos por el tiempo que se produjo la violación.</w:t>
      </w:r>
      <w:r w:rsidRPr="00466291">
        <w:rPr>
          <w:rFonts w:ascii="Verdana" w:hAnsi="Verdana" w:cs="Verdana"/>
          <w:sz w:val="20"/>
          <w:szCs w:val="20"/>
          <w:lang w:val="es-ES"/>
        </w:rPr>
        <w:t xml:space="preserve"> Por tanto, ha sido reparado en cuanto a este aspecto.</w:t>
      </w:r>
    </w:p>
    <w:p w:rsidR="00F249DD" w:rsidRPr="007040F4" w:rsidRDefault="00F249DD" w:rsidP="003935C5">
      <w:pPr>
        <w:autoSpaceDE w:val="0"/>
        <w:autoSpaceDN w:val="0"/>
        <w:adjustRightInd w:val="0"/>
        <w:jc w:val="both"/>
        <w:rPr>
          <w:rFonts w:ascii="Verdana" w:hAnsi="Verdana" w:cs="Verdana"/>
          <w:sz w:val="20"/>
          <w:szCs w:val="20"/>
          <w:lang w:val="es-ES"/>
        </w:rPr>
      </w:pPr>
    </w:p>
    <w:p w:rsidR="00F249DD" w:rsidRDefault="00F249DD" w:rsidP="003935C5">
      <w:pPr>
        <w:widowControl w:val="0"/>
        <w:numPr>
          <w:ilvl w:val="0"/>
          <w:numId w:val="17"/>
        </w:numPr>
        <w:tabs>
          <w:tab w:val="clear" w:pos="2025"/>
        </w:tabs>
        <w:autoSpaceDE w:val="0"/>
        <w:autoSpaceDN w:val="0"/>
        <w:adjustRightInd w:val="0"/>
        <w:ind w:left="1440" w:right="99" w:hanging="720"/>
        <w:jc w:val="both"/>
        <w:rPr>
          <w:rFonts w:ascii="Verdana" w:hAnsi="Verdana" w:cs="Helvetica"/>
          <w:b/>
          <w:i/>
          <w:sz w:val="20"/>
          <w:szCs w:val="20"/>
          <w:lang w:val="es-ES"/>
        </w:rPr>
      </w:pPr>
      <w:r w:rsidRPr="007040F4">
        <w:rPr>
          <w:rFonts w:ascii="Verdana" w:hAnsi="Verdana" w:cs="Helvetica"/>
          <w:b/>
          <w:i/>
          <w:sz w:val="20"/>
          <w:szCs w:val="20"/>
          <w:lang w:val="es-ES"/>
        </w:rPr>
        <w:t xml:space="preserve">Satisfacción </w:t>
      </w:r>
    </w:p>
    <w:p w:rsidR="00F249DD" w:rsidRDefault="00F249DD" w:rsidP="003935C5">
      <w:pPr>
        <w:widowControl w:val="0"/>
        <w:autoSpaceDE w:val="0"/>
        <w:autoSpaceDN w:val="0"/>
        <w:adjustRightInd w:val="0"/>
        <w:ind w:left="1440" w:right="99"/>
        <w:jc w:val="both"/>
        <w:rPr>
          <w:rFonts w:ascii="Verdana" w:hAnsi="Verdana" w:cs="Helvetica"/>
          <w:b/>
          <w:i/>
          <w:sz w:val="20"/>
          <w:szCs w:val="20"/>
          <w:lang w:val="es-ES"/>
        </w:rPr>
      </w:pPr>
    </w:p>
    <w:p w:rsidR="00F249DD" w:rsidRDefault="00F249DD" w:rsidP="003935C5">
      <w:pPr>
        <w:numPr>
          <w:ilvl w:val="0"/>
          <w:numId w:val="24"/>
        </w:numPr>
        <w:jc w:val="both"/>
        <w:rPr>
          <w:rFonts w:ascii="Verdana" w:hAnsi="Verdana"/>
          <w:i/>
          <w:sz w:val="20"/>
          <w:szCs w:val="20"/>
          <w:lang w:val="es-ES"/>
        </w:rPr>
      </w:pPr>
      <w:r w:rsidRPr="007040F4">
        <w:rPr>
          <w:rFonts w:ascii="Verdana" w:hAnsi="Verdana"/>
          <w:i/>
          <w:sz w:val="20"/>
          <w:szCs w:val="20"/>
          <w:lang w:val="es-ES"/>
        </w:rPr>
        <w:t>Publicación de la Sentencia</w:t>
      </w:r>
    </w:p>
    <w:p w:rsidR="00F249DD" w:rsidRPr="0012003B" w:rsidRDefault="00F249DD" w:rsidP="003935C5">
      <w:pPr>
        <w:ind w:left="1800"/>
        <w:jc w:val="both"/>
        <w:rPr>
          <w:rFonts w:ascii="Verdana" w:hAnsi="Verdana"/>
          <w:i/>
          <w:sz w:val="20"/>
          <w:szCs w:val="20"/>
          <w:lang w:val="es-ES"/>
        </w:rPr>
      </w:pPr>
    </w:p>
    <w:p w:rsidR="00F249DD" w:rsidRPr="00541EA1" w:rsidRDefault="00F249DD" w:rsidP="003935C5">
      <w:pPr>
        <w:numPr>
          <w:ilvl w:val="0"/>
          <w:numId w:val="56"/>
        </w:numPr>
        <w:tabs>
          <w:tab w:val="clear" w:pos="1170"/>
        </w:tabs>
        <w:autoSpaceDE w:val="0"/>
        <w:autoSpaceDN w:val="0"/>
        <w:adjustRightInd w:val="0"/>
        <w:ind w:left="0"/>
        <w:jc w:val="both"/>
        <w:rPr>
          <w:rFonts w:ascii="Verdana" w:hAnsi="Verdana" w:cs="Verdana"/>
          <w:sz w:val="20"/>
          <w:szCs w:val="20"/>
          <w:lang w:val="es-ES"/>
        </w:rPr>
      </w:pPr>
      <w:r w:rsidRPr="00541EA1">
        <w:rPr>
          <w:rFonts w:ascii="Verdana" w:hAnsi="Verdana" w:cs="Verdana"/>
          <w:sz w:val="20"/>
          <w:szCs w:val="20"/>
          <w:lang w:val="es-ES"/>
        </w:rPr>
        <w:t>Los representantes solicitaron que “el Estado debe publicar en el Registro Oficial y en un diario de amplia circulación nacional, por una sola vez, el capítulo relativo a los hechos establecidos”</w:t>
      </w:r>
      <w:r>
        <w:rPr>
          <w:rFonts w:ascii="Verdana" w:hAnsi="Verdana" w:cs="Verdana"/>
          <w:sz w:val="20"/>
          <w:szCs w:val="20"/>
          <w:lang w:val="es-ES"/>
        </w:rPr>
        <w:t xml:space="preserve"> </w:t>
      </w:r>
      <w:r w:rsidRPr="00541EA1">
        <w:rPr>
          <w:rFonts w:ascii="Verdana" w:hAnsi="Verdana" w:cs="Verdana"/>
          <w:sz w:val="20"/>
          <w:szCs w:val="20"/>
          <w:lang w:val="es-ES"/>
        </w:rPr>
        <w:t>en la sentencia de esta Corte y “la parte resolutiva de la misma”. Asimismo, solicita</w:t>
      </w:r>
      <w:r>
        <w:rPr>
          <w:rFonts w:ascii="Verdana" w:hAnsi="Verdana" w:cs="Verdana"/>
          <w:sz w:val="20"/>
          <w:szCs w:val="20"/>
          <w:lang w:val="es-ES"/>
        </w:rPr>
        <w:t>ron</w:t>
      </w:r>
      <w:r w:rsidRPr="00541EA1">
        <w:rPr>
          <w:rFonts w:ascii="Verdana" w:hAnsi="Verdana" w:cs="Verdana"/>
          <w:sz w:val="20"/>
          <w:szCs w:val="20"/>
          <w:lang w:val="es-ES"/>
        </w:rPr>
        <w:t xml:space="preserve"> que el Estado “realice una ceremonia militar pú</w:t>
      </w:r>
      <w:r>
        <w:rPr>
          <w:rFonts w:ascii="Verdana" w:hAnsi="Verdana" w:cs="Verdana"/>
          <w:sz w:val="20"/>
          <w:szCs w:val="20"/>
          <w:lang w:val="es-ES"/>
        </w:rPr>
        <w:t>blica de desagravio a José</w:t>
      </w:r>
      <w:r w:rsidRPr="00541EA1">
        <w:rPr>
          <w:rFonts w:ascii="Verdana" w:hAnsi="Verdana" w:cs="Verdana"/>
          <w:sz w:val="20"/>
          <w:szCs w:val="20"/>
          <w:lang w:val="es-ES"/>
        </w:rPr>
        <w:t xml:space="preserve"> Mejía en que ofrezca disculpas por los daños ocasionados a él y a su familia durante estos años y reprobación oficial a los autores directos de las violaciones demandadas, a más del desagravio a la víctima y su familia”.      </w:t>
      </w:r>
    </w:p>
    <w:p w:rsidR="00F249DD" w:rsidRPr="00541EA1" w:rsidRDefault="00F249DD" w:rsidP="00120F89">
      <w:pPr>
        <w:autoSpaceDE w:val="0"/>
        <w:autoSpaceDN w:val="0"/>
        <w:adjustRightInd w:val="0"/>
        <w:jc w:val="both"/>
        <w:rPr>
          <w:rFonts w:ascii="Verdana" w:hAnsi="Verdana" w:cs="Verdana"/>
          <w:sz w:val="20"/>
          <w:szCs w:val="20"/>
          <w:lang w:val="es-ES"/>
        </w:rPr>
      </w:pPr>
    </w:p>
    <w:p w:rsidR="00F249DD" w:rsidRDefault="00F249DD">
      <w:pPr>
        <w:numPr>
          <w:ilvl w:val="0"/>
          <w:numId w:val="56"/>
        </w:numPr>
        <w:tabs>
          <w:tab w:val="clear" w:pos="1170"/>
        </w:tabs>
        <w:autoSpaceDE w:val="0"/>
        <w:autoSpaceDN w:val="0"/>
        <w:adjustRightInd w:val="0"/>
        <w:ind w:left="0"/>
        <w:jc w:val="both"/>
        <w:rPr>
          <w:rFonts w:ascii="Verdana" w:hAnsi="Verdana" w:cs="Verdana"/>
          <w:sz w:val="20"/>
          <w:szCs w:val="20"/>
          <w:lang w:val="es-ES"/>
        </w:rPr>
      </w:pPr>
      <w:r w:rsidRPr="00541EA1">
        <w:rPr>
          <w:rFonts w:ascii="Verdana" w:hAnsi="Verdana" w:cs="Verdana"/>
          <w:sz w:val="20"/>
          <w:szCs w:val="20"/>
          <w:lang w:val="es-ES"/>
        </w:rPr>
        <w:t xml:space="preserve">Al respecto, el Estado señaló que </w:t>
      </w:r>
      <w:r>
        <w:rPr>
          <w:rFonts w:ascii="Verdana" w:hAnsi="Verdana" w:cs="Verdana"/>
          <w:sz w:val="20"/>
          <w:szCs w:val="20"/>
          <w:lang w:val="es-ES"/>
        </w:rPr>
        <w:t xml:space="preserve">ha existido una </w:t>
      </w:r>
      <w:r w:rsidRPr="00541EA1">
        <w:rPr>
          <w:rFonts w:ascii="Verdana" w:hAnsi="Verdana" w:cs="Verdana"/>
          <w:sz w:val="20"/>
          <w:szCs w:val="20"/>
          <w:lang w:val="es-ES"/>
        </w:rPr>
        <w:t xml:space="preserve"> falta de cooperación por parte del representante del coronel Mejía Idrovo “para lograr un cumplimiento de las recomendaciones de la Comisión, a pesar de la buena fe del Estado”. Agregó que “el Ministerio de Justicia y Derechos Humanos elaboró un extracto de disculpas públicas” que fue rechazado por el abogado del señor Mejía Idrovo </w:t>
      </w:r>
      <w:r>
        <w:rPr>
          <w:rFonts w:ascii="Verdana" w:hAnsi="Verdana" w:cs="Verdana"/>
          <w:sz w:val="20"/>
          <w:szCs w:val="20"/>
          <w:lang w:val="es-ES"/>
        </w:rPr>
        <w:t>el</w:t>
      </w:r>
      <w:r w:rsidRPr="00541EA1">
        <w:rPr>
          <w:rFonts w:ascii="Verdana" w:hAnsi="Verdana" w:cs="Verdana"/>
          <w:sz w:val="20"/>
          <w:szCs w:val="20"/>
          <w:lang w:val="es-ES"/>
        </w:rPr>
        <w:t xml:space="preserve"> 5 de noviembre del 2009</w:t>
      </w:r>
      <w:r>
        <w:rPr>
          <w:rFonts w:ascii="Verdana" w:hAnsi="Verdana" w:cs="Verdana"/>
          <w:sz w:val="20"/>
          <w:szCs w:val="20"/>
          <w:lang w:val="es-ES"/>
        </w:rPr>
        <w:t xml:space="preserve">. </w:t>
      </w:r>
      <w:r w:rsidRPr="00541EA1">
        <w:rPr>
          <w:rFonts w:ascii="Verdana" w:hAnsi="Verdana" w:cs="Verdana"/>
          <w:sz w:val="20"/>
          <w:szCs w:val="20"/>
          <w:lang w:val="es-ES"/>
        </w:rPr>
        <w:t xml:space="preserve">Según el Estado “la sentencia de la Corte Constitucional constituye, en sí misma, una medida de reparación que, una vez publicada en el Registro Oficial, produce el mismo efecto que una disculpa pública”. Por lo tanto, el Estado señaló que “esta medida no es aplicable en el presente caso”.   </w:t>
      </w:r>
    </w:p>
    <w:p w:rsidR="00F249DD" w:rsidRPr="007040F4" w:rsidRDefault="00F249DD" w:rsidP="00C30789">
      <w:pPr>
        <w:autoSpaceDE w:val="0"/>
        <w:autoSpaceDN w:val="0"/>
        <w:adjustRightInd w:val="0"/>
        <w:jc w:val="both"/>
        <w:rPr>
          <w:rFonts w:ascii="Verdana" w:hAnsi="Verdana" w:cs="Verdana"/>
          <w:b/>
          <w:sz w:val="20"/>
          <w:szCs w:val="20"/>
          <w:lang w:val="es-ES"/>
        </w:rPr>
      </w:pPr>
    </w:p>
    <w:p w:rsidR="00F249DD" w:rsidRDefault="00F249DD">
      <w:pPr>
        <w:numPr>
          <w:ilvl w:val="0"/>
          <w:numId w:val="56"/>
        </w:numPr>
        <w:tabs>
          <w:tab w:val="clear" w:pos="1170"/>
        </w:tabs>
        <w:autoSpaceDE w:val="0"/>
        <w:autoSpaceDN w:val="0"/>
        <w:adjustRightInd w:val="0"/>
        <w:ind w:left="0"/>
        <w:jc w:val="both"/>
        <w:rPr>
          <w:rFonts w:ascii="Verdana" w:hAnsi="Verdana" w:cs="Verdana"/>
          <w:sz w:val="20"/>
          <w:szCs w:val="20"/>
          <w:lang w:val="es-ES"/>
        </w:rPr>
      </w:pPr>
      <w:r w:rsidRPr="00955773">
        <w:rPr>
          <w:rFonts w:ascii="Verdana" w:hAnsi="Verdana" w:cs="Verdana"/>
          <w:sz w:val="20"/>
          <w:szCs w:val="20"/>
          <w:lang w:val="es-ES"/>
        </w:rPr>
        <w:t>La Corte estima, como lo ha dispuesto en otros casos</w:t>
      </w:r>
      <w:r w:rsidRPr="00955773">
        <w:rPr>
          <w:rStyle w:val="Refdenotaalpie"/>
          <w:rFonts w:ascii="Verdana" w:hAnsi="Verdana" w:cs="Verdana"/>
          <w:sz w:val="20"/>
          <w:szCs w:val="20"/>
          <w:lang w:val="es-ES"/>
        </w:rPr>
        <w:footnoteReference w:id="110"/>
      </w:r>
      <w:r w:rsidRPr="00955773">
        <w:rPr>
          <w:rFonts w:ascii="Verdana" w:hAnsi="Verdana" w:cs="Verdana"/>
          <w:sz w:val="20"/>
          <w:szCs w:val="20"/>
          <w:lang w:val="es-ES"/>
        </w:rPr>
        <w:t xml:space="preserve">, que el Estado deberá publicar, en el plazo de seis meses, contado a partir de la notificación de la presente Sentencia: </w:t>
      </w:r>
    </w:p>
    <w:p w:rsidR="00F249DD" w:rsidRPr="00955773" w:rsidRDefault="00F249DD" w:rsidP="00120F89">
      <w:pPr>
        <w:autoSpaceDE w:val="0"/>
        <w:autoSpaceDN w:val="0"/>
        <w:adjustRightInd w:val="0"/>
        <w:jc w:val="both"/>
        <w:rPr>
          <w:rFonts w:ascii="Verdana" w:hAnsi="Verdana" w:cs="Verdana"/>
          <w:sz w:val="20"/>
          <w:szCs w:val="20"/>
          <w:lang w:val="es-ES"/>
        </w:rPr>
      </w:pPr>
    </w:p>
    <w:p w:rsidR="00F249DD" w:rsidRPr="00955773" w:rsidRDefault="00F249DD" w:rsidP="00120F89">
      <w:pPr>
        <w:autoSpaceDE w:val="0"/>
        <w:autoSpaceDN w:val="0"/>
        <w:adjustRightInd w:val="0"/>
        <w:ind w:left="720"/>
        <w:jc w:val="both"/>
        <w:rPr>
          <w:rFonts w:ascii="Verdana" w:hAnsi="Verdana" w:cs="Verdana"/>
          <w:sz w:val="20"/>
          <w:szCs w:val="20"/>
          <w:lang w:val="es-ES"/>
        </w:rPr>
      </w:pPr>
      <w:r w:rsidRPr="00955773">
        <w:rPr>
          <w:rFonts w:ascii="Verdana" w:hAnsi="Verdana" w:cs="Verdana"/>
          <w:sz w:val="20"/>
          <w:szCs w:val="20"/>
          <w:lang w:val="es-ES"/>
        </w:rPr>
        <w:t>a) el resumen oficial de la presente Sentencia elaborado por la Corte, por una sola vez, en el Diario Oficial;</w:t>
      </w:r>
    </w:p>
    <w:p w:rsidR="00F249DD" w:rsidRPr="00955773" w:rsidRDefault="00F249DD" w:rsidP="00120F89">
      <w:pPr>
        <w:autoSpaceDE w:val="0"/>
        <w:autoSpaceDN w:val="0"/>
        <w:adjustRightInd w:val="0"/>
        <w:ind w:left="720"/>
        <w:jc w:val="both"/>
        <w:rPr>
          <w:rFonts w:ascii="Verdana" w:hAnsi="Verdana" w:cs="Verdana"/>
          <w:sz w:val="20"/>
          <w:szCs w:val="20"/>
          <w:lang w:val="es-ES"/>
        </w:rPr>
      </w:pPr>
    </w:p>
    <w:p w:rsidR="00F249DD" w:rsidRPr="00955773" w:rsidRDefault="00F249DD" w:rsidP="00120F89">
      <w:pPr>
        <w:autoSpaceDE w:val="0"/>
        <w:autoSpaceDN w:val="0"/>
        <w:adjustRightInd w:val="0"/>
        <w:ind w:left="720"/>
        <w:jc w:val="both"/>
        <w:rPr>
          <w:rFonts w:ascii="Verdana" w:hAnsi="Verdana" w:cs="Verdana"/>
          <w:sz w:val="20"/>
          <w:szCs w:val="20"/>
          <w:lang w:val="es-ES"/>
        </w:rPr>
      </w:pPr>
      <w:r w:rsidRPr="00955773">
        <w:rPr>
          <w:rFonts w:ascii="Verdana" w:hAnsi="Verdana" w:cs="Verdana"/>
          <w:sz w:val="20"/>
          <w:szCs w:val="20"/>
          <w:lang w:val="es-ES"/>
        </w:rPr>
        <w:t>b) el resumen oficial de la presente Sentencia elaborado por la Corte, por una sola vez, en un diario de amplia circulación nacional, y</w:t>
      </w:r>
    </w:p>
    <w:p w:rsidR="00F249DD" w:rsidRPr="00955773" w:rsidRDefault="00F249DD" w:rsidP="00120F89">
      <w:pPr>
        <w:autoSpaceDE w:val="0"/>
        <w:autoSpaceDN w:val="0"/>
        <w:adjustRightInd w:val="0"/>
        <w:ind w:left="720"/>
        <w:jc w:val="both"/>
        <w:rPr>
          <w:rFonts w:ascii="Verdana" w:hAnsi="Verdana" w:cs="Verdana"/>
          <w:sz w:val="20"/>
          <w:szCs w:val="20"/>
          <w:lang w:val="es-ES"/>
        </w:rPr>
      </w:pPr>
    </w:p>
    <w:p w:rsidR="00F249DD" w:rsidRPr="00955773" w:rsidRDefault="00F249DD" w:rsidP="00120F89">
      <w:pPr>
        <w:autoSpaceDE w:val="0"/>
        <w:autoSpaceDN w:val="0"/>
        <w:adjustRightInd w:val="0"/>
        <w:ind w:left="720"/>
        <w:jc w:val="both"/>
        <w:rPr>
          <w:rFonts w:ascii="Verdana" w:hAnsi="Verdana" w:cs="Verdana"/>
          <w:sz w:val="20"/>
          <w:szCs w:val="20"/>
          <w:highlight w:val="yellow"/>
          <w:lang w:val="es-ES"/>
        </w:rPr>
      </w:pPr>
      <w:r w:rsidRPr="00955773">
        <w:rPr>
          <w:rFonts w:ascii="Verdana" w:hAnsi="Verdana" w:cs="Verdana"/>
          <w:sz w:val="20"/>
          <w:szCs w:val="20"/>
          <w:lang w:val="es-ES"/>
        </w:rPr>
        <w:t xml:space="preserve">c) la presente Sentencia en su integridad, disponible por un período de un año, en el sitio </w:t>
      </w:r>
      <w:r w:rsidRPr="00C109F6">
        <w:rPr>
          <w:rFonts w:ascii="Verdana" w:hAnsi="Verdana" w:cs="Verdana"/>
          <w:i/>
          <w:sz w:val="20"/>
          <w:szCs w:val="20"/>
          <w:lang w:val="es-ES"/>
        </w:rPr>
        <w:t>web</w:t>
      </w:r>
      <w:r w:rsidRPr="00955773">
        <w:rPr>
          <w:rFonts w:ascii="Verdana" w:hAnsi="Verdana" w:cs="Verdana"/>
          <w:sz w:val="20"/>
          <w:szCs w:val="20"/>
          <w:lang w:val="es-ES"/>
        </w:rPr>
        <w:t xml:space="preserve"> oficial.</w:t>
      </w:r>
    </w:p>
    <w:p w:rsidR="00F249DD" w:rsidRDefault="00F249DD" w:rsidP="00120F89">
      <w:pPr>
        <w:autoSpaceDE w:val="0"/>
        <w:autoSpaceDN w:val="0"/>
        <w:adjustRightInd w:val="0"/>
        <w:jc w:val="both"/>
        <w:rPr>
          <w:rFonts w:ascii="Verdana" w:hAnsi="Verdana" w:cs="Verdana"/>
          <w:sz w:val="20"/>
          <w:szCs w:val="20"/>
          <w:lang w:val="es-ES"/>
        </w:rPr>
      </w:pPr>
    </w:p>
    <w:p w:rsidR="00F249DD" w:rsidRDefault="00F249DD">
      <w:pPr>
        <w:numPr>
          <w:ilvl w:val="0"/>
          <w:numId w:val="56"/>
        </w:numPr>
        <w:tabs>
          <w:tab w:val="clear" w:pos="1170"/>
        </w:tabs>
        <w:autoSpaceDE w:val="0"/>
        <w:autoSpaceDN w:val="0"/>
        <w:adjustRightInd w:val="0"/>
        <w:ind w:left="0"/>
        <w:jc w:val="both"/>
        <w:rPr>
          <w:rFonts w:ascii="Verdana" w:hAnsi="Verdana" w:cs="Verdana"/>
          <w:sz w:val="20"/>
          <w:szCs w:val="20"/>
          <w:lang w:val="es-ES"/>
        </w:rPr>
      </w:pPr>
      <w:r>
        <w:rPr>
          <w:rFonts w:ascii="Verdana" w:hAnsi="Verdana" w:cs="Verdana"/>
          <w:sz w:val="20"/>
          <w:szCs w:val="20"/>
          <w:lang w:val="es-ES"/>
        </w:rPr>
        <w:t xml:space="preserve">La Corte considera que dichas medidas de satisfacción son suficientes para reparar este aspecto en el presente caso. </w:t>
      </w:r>
    </w:p>
    <w:p w:rsidR="00F249DD" w:rsidRPr="007040F4" w:rsidRDefault="00F249DD" w:rsidP="00120F89">
      <w:pPr>
        <w:autoSpaceDE w:val="0"/>
        <w:autoSpaceDN w:val="0"/>
        <w:adjustRightInd w:val="0"/>
        <w:jc w:val="both"/>
        <w:rPr>
          <w:rFonts w:ascii="Verdana" w:hAnsi="Verdana" w:cs="Verdana"/>
          <w:sz w:val="20"/>
          <w:szCs w:val="20"/>
          <w:lang w:val="es-ES"/>
        </w:rPr>
      </w:pPr>
    </w:p>
    <w:p w:rsidR="00F249DD" w:rsidRPr="00F20254" w:rsidRDefault="00F249DD" w:rsidP="00120F89">
      <w:pPr>
        <w:pStyle w:val="Ttulo2"/>
        <w:numPr>
          <w:ilvl w:val="0"/>
          <w:numId w:val="30"/>
        </w:numPr>
        <w:rPr>
          <w:lang w:val="es-ES"/>
        </w:rPr>
      </w:pPr>
      <w:bookmarkStart w:id="334" w:name="_Toc294634498"/>
      <w:bookmarkStart w:id="335" w:name="_Toc294635326"/>
      <w:bookmarkStart w:id="336" w:name="_Toc294862719"/>
      <w:bookmarkStart w:id="337" w:name="_Toc294862782"/>
      <w:bookmarkStart w:id="338" w:name="_Toc295380333"/>
      <w:bookmarkStart w:id="339" w:name="_Toc295394485"/>
      <w:bookmarkStart w:id="340" w:name="_Toc295394639"/>
      <w:bookmarkStart w:id="341" w:name="_Toc295986091"/>
      <w:bookmarkStart w:id="342" w:name="_Toc295986308"/>
      <w:bookmarkStart w:id="343" w:name="_Toc295986428"/>
      <w:r w:rsidRPr="00F20254">
        <w:rPr>
          <w:lang w:val="es-ES"/>
        </w:rPr>
        <w:t>Otras medidas de reparación solicitadas</w:t>
      </w:r>
      <w:bookmarkEnd w:id="334"/>
      <w:bookmarkEnd w:id="335"/>
      <w:bookmarkEnd w:id="336"/>
      <w:bookmarkEnd w:id="337"/>
      <w:bookmarkEnd w:id="338"/>
      <w:bookmarkEnd w:id="339"/>
      <w:bookmarkEnd w:id="340"/>
      <w:bookmarkEnd w:id="341"/>
      <w:bookmarkEnd w:id="342"/>
      <w:bookmarkEnd w:id="343"/>
      <w:r w:rsidRPr="00F20254">
        <w:rPr>
          <w:lang w:val="es-ES"/>
        </w:rPr>
        <w:t xml:space="preserve"> </w:t>
      </w:r>
    </w:p>
    <w:p w:rsidR="00F249DD" w:rsidRDefault="00F249DD" w:rsidP="00120F89">
      <w:pPr>
        <w:widowControl w:val="0"/>
        <w:autoSpaceDE w:val="0"/>
        <w:autoSpaceDN w:val="0"/>
        <w:adjustRightInd w:val="0"/>
        <w:ind w:right="99"/>
        <w:jc w:val="both"/>
        <w:rPr>
          <w:rFonts w:ascii="Verdana" w:hAnsi="Verdana" w:cs="Verdana-Italic"/>
          <w:b/>
          <w:iCs/>
          <w:sz w:val="20"/>
          <w:szCs w:val="20"/>
          <w:lang w:val="es-ES"/>
        </w:rPr>
      </w:pPr>
    </w:p>
    <w:p w:rsidR="00F249DD" w:rsidRDefault="00F249DD">
      <w:pPr>
        <w:widowControl w:val="0"/>
        <w:numPr>
          <w:ilvl w:val="0"/>
          <w:numId w:val="22"/>
        </w:numPr>
        <w:tabs>
          <w:tab w:val="clear" w:pos="2025"/>
        </w:tabs>
        <w:autoSpaceDE w:val="0"/>
        <w:autoSpaceDN w:val="0"/>
        <w:adjustRightInd w:val="0"/>
        <w:ind w:left="1440" w:right="99" w:hanging="720"/>
        <w:jc w:val="both"/>
        <w:rPr>
          <w:rFonts w:ascii="Verdana" w:hAnsi="Verdana" w:cs="Helvetica"/>
          <w:i/>
          <w:sz w:val="20"/>
          <w:szCs w:val="20"/>
          <w:lang w:val="es-ES"/>
        </w:rPr>
      </w:pPr>
      <w:r w:rsidRPr="009F238B">
        <w:rPr>
          <w:rFonts w:ascii="Verdana" w:hAnsi="Verdana" w:cs="Helvetica"/>
          <w:i/>
          <w:sz w:val="20"/>
          <w:szCs w:val="20"/>
          <w:lang w:val="es-ES"/>
        </w:rPr>
        <w:t xml:space="preserve">Medidas de capacitación para funcionarios públicos </w:t>
      </w:r>
    </w:p>
    <w:p w:rsidR="00F249DD" w:rsidRDefault="00F249DD" w:rsidP="00120F89">
      <w:pPr>
        <w:widowControl w:val="0"/>
        <w:autoSpaceDE w:val="0"/>
        <w:autoSpaceDN w:val="0"/>
        <w:adjustRightInd w:val="0"/>
        <w:ind w:left="360" w:right="99"/>
        <w:jc w:val="both"/>
        <w:rPr>
          <w:rFonts w:ascii="Verdana" w:hAnsi="Verdana" w:cs="Verdana-Italic"/>
          <w:b/>
          <w:iCs/>
          <w:sz w:val="20"/>
          <w:szCs w:val="20"/>
          <w:lang w:val="es-ES"/>
        </w:rPr>
      </w:pPr>
    </w:p>
    <w:p w:rsidR="00F249DD" w:rsidRDefault="00F249DD">
      <w:pPr>
        <w:numPr>
          <w:ilvl w:val="0"/>
          <w:numId w:val="56"/>
        </w:numPr>
        <w:tabs>
          <w:tab w:val="clear" w:pos="1170"/>
        </w:tabs>
        <w:autoSpaceDE w:val="0"/>
        <w:autoSpaceDN w:val="0"/>
        <w:adjustRightInd w:val="0"/>
        <w:ind w:left="0"/>
        <w:jc w:val="both"/>
        <w:rPr>
          <w:rFonts w:ascii="Verdana" w:hAnsi="Verdana" w:cs="Verdana"/>
          <w:sz w:val="20"/>
          <w:szCs w:val="20"/>
          <w:lang w:val="es-ES"/>
        </w:rPr>
      </w:pPr>
      <w:r w:rsidRPr="007040F4">
        <w:rPr>
          <w:rFonts w:ascii="Verdana" w:hAnsi="Verdana" w:cs="Verdana"/>
          <w:sz w:val="20"/>
          <w:szCs w:val="20"/>
          <w:lang w:val="es-ES"/>
        </w:rPr>
        <w:t>Los representantes solicitaron</w:t>
      </w:r>
      <w:r>
        <w:rPr>
          <w:rFonts w:ascii="Verdana" w:hAnsi="Verdana" w:cs="Verdana"/>
          <w:sz w:val="20"/>
          <w:szCs w:val="20"/>
          <w:lang w:val="es-ES"/>
        </w:rPr>
        <w:t xml:space="preserve"> al Tribunal</w:t>
      </w:r>
      <w:r w:rsidRPr="007040F4">
        <w:rPr>
          <w:rFonts w:ascii="Verdana" w:hAnsi="Verdana" w:cs="Verdana"/>
          <w:sz w:val="20"/>
          <w:szCs w:val="20"/>
          <w:lang w:val="es-ES"/>
        </w:rPr>
        <w:t xml:space="preserve"> que ordene al Estado realizar cursos de capacitación sobre derechos humanos dirigidos al alto mando militar “para que entiendan que </w:t>
      </w:r>
      <w:r>
        <w:rPr>
          <w:rFonts w:ascii="Verdana" w:hAnsi="Verdana" w:cs="Verdana"/>
          <w:sz w:val="20"/>
          <w:szCs w:val="20"/>
          <w:lang w:val="es-ES"/>
        </w:rPr>
        <w:t xml:space="preserve">ellos </w:t>
      </w:r>
      <w:r w:rsidRPr="007040F4">
        <w:rPr>
          <w:rFonts w:ascii="Verdana" w:hAnsi="Verdana" w:cs="Verdana"/>
          <w:sz w:val="20"/>
          <w:szCs w:val="20"/>
          <w:lang w:val="es-ES"/>
        </w:rPr>
        <w:t xml:space="preserve">están sometidos a las normas jurídicas </w:t>
      </w:r>
      <w:r>
        <w:rPr>
          <w:rFonts w:ascii="Verdana" w:hAnsi="Verdana" w:cs="Verdana"/>
          <w:sz w:val="20"/>
          <w:szCs w:val="20"/>
          <w:lang w:val="es-ES"/>
        </w:rPr>
        <w:t xml:space="preserve">al igual que cualquier ciudadano” </w:t>
      </w:r>
      <w:r w:rsidRPr="007040F4">
        <w:rPr>
          <w:rFonts w:ascii="Verdana" w:hAnsi="Verdana" w:cs="Verdana"/>
          <w:sz w:val="20"/>
          <w:szCs w:val="20"/>
          <w:lang w:val="es-ES"/>
        </w:rPr>
        <w:t xml:space="preserve">y obligados a cumplir con las sentencias que emiten los tribunales, así como de tomar todas las medidas necesarias para adecuar su legislación a la Convención Interamericana y a la jurisprudencia de esta Corte, en especial en lo relativo al cumplimiento de las decisiones </w:t>
      </w:r>
      <w:r>
        <w:rPr>
          <w:rFonts w:ascii="Verdana" w:hAnsi="Verdana" w:cs="Verdana"/>
          <w:sz w:val="20"/>
          <w:szCs w:val="20"/>
          <w:lang w:val="es-ES"/>
        </w:rPr>
        <w:t>judiciales</w:t>
      </w:r>
      <w:r w:rsidRPr="007040F4">
        <w:rPr>
          <w:rFonts w:ascii="Verdana" w:hAnsi="Verdana" w:cs="Verdana"/>
          <w:sz w:val="20"/>
          <w:szCs w:val="20"/>
          <w:lang w:val="es-ES"/>
        </w:rPr>
        <w:t>, y otras medidas para garantizar que dichos hechos no se vuelvan a repetir. Por su parte, la Comisión no present</w:t>
      </w:r>
      <w:r>
        <w:rPr>
          <w:rFonts w:ascii="Verdana" w:hAnsi="Verdana" w:cs="Verdana"/>
          <w:sz w:val="20"/>
          <w:szCs w:val="20"/>
          <w:lang w:val="es-ES"/>
        </w:rPr>
        <w:t>ó</w:t>
      </w:r>
      <w:r w:rsidRPr="007040F4">
        <w:rPr>
          <w:rFonts w:ascii="Verdana" w:hAnsi="Verdana" w:cs="Verdana"/>
          <w:sz w:val="20"/>
          <w:szCs w:val="20"/>
          <w:lang w:val="es-ES"/>
        </w:rPr>
        <w:t xml:space="preserve"> observaciones espec</w:t>
      </w:r>
      <w:r>
        <w:rPr>
          <w:rFonts w:ascii="Verdana" w:hAnsi="Verdana" w:cs="Verdana"/>
          <w:sz w:val="20"/>
          <w:szCs w:val="20"/>
          <w:lang w:val="es-ES"/>
        </w:rPr>
        <w:t>í</w:t>
      </w:r>
      <w:r w:rsidRPr="007040F4">
        <w:rPr>
          <w:rFonts w:ascii="Verdana" w:hAnsi="Verdana" w:cs="Verdana"/>
          <w:sz w:val="20"/>
          <w:szCs w:val="20"/>
          <w:lang w:val="es-ES"/>
        </w:rPr>
        <w:t>ficas respecto a las garantías de no repetición y el Estado no se pronunció sobre este punto.</w:t>
      </w:r>
    </w:p>
    <w:p w:rsidR="00F249DD" w:rsidRPr="007040F4" w:rsidRDefault="00F249DD" w:rsidP="00120F89">
      <w:pPr>
        <w:autoSpaceDE w:val="0"/>
        <w:autoSpaceDN w:val="0"/>
        <w:adjustRightInd w:val="0"/>
        <w:jc w:val="both"/>
        <w:rPr>
          <w:rFonts w:ascii="Verdana" w:hAnsi="Verdana" w:cs="Verdana"/>
          <w:sz w:val="20"/>
          <w:szCs w:val="20"/>
          <w:lang w:val="es-ES"/>
        </w:rPr>
      </w:pPr>
    </w:p>
    <w:p w:rsidR="00F249DD" w:rsidRDefault="00F249DD">
      <w:pPr>
        <w:numPr>
          <w:ilvl w:val="0"/>
          <w:numId w:val="56"/>
        </w:numPr>
        <w:tabs>
          <w:tab w:val="clear" w:pos="1170"/>
        </w:tabs>
        <w:autoSpaceDE w:val="0"/>
        <w:autoSpaceDN w:val="0"/>
        <w:adjustRightInd w:val="0"/>
        <w:ind w:left="0"/>
        <w:jc w:val="both"/>
        <w:rPr>
          <w:rFonts w:ascii="Verdana" w:hAnsi="Verdana" w:cs="Verdana"/>
          <w:b/>
          <w:sz w:val="20"/>
          <w:szCs w:val="20"/>
          <w:lang w:val="es-ES"/>
        </w:rPr>
      </w:pPr>
      <w:r w:rsidRPr="00541EA1">
        <w:rPr>
          <w:rFonts w:ascii="Verdana" w:hAnsi="Verdana" w:cs="Verdana"/>
          <w:sz w:val="20"/>
          <w:szCs w:val="20"/>
          <w:lang w:val="es-ES"/>
        </w:rPr>
        <w:t xml:space="preserve">Este Tribunal estima que </w:t>
      </w:r>
      <w:r w:rsidRPr="003467A3">
        <w:rPr>
          <w:rFonts w:ascii="Verdana" w:hAnsi="Verdana" w:cs="Verdana"/>
          <w:sz w:val="20"/>
          <w:szCs w:val="20"/>
          <w:lang w:val="es-ES"/>
        </w:rPr>
        <w:t xml:space="preserve">al </w:t>
      </w:r>
      <w:r w:rsidRPr="00955773">
        <w:rPr>
          <w:rFonts w:ascii="Verdana" w:hAnsi="Verdana" w:cs="Verdana"/>
          <w:sz w:val="20"/>
          <w:szCs w:val="20"/>
          <w:lang w:val="es-ES"/>
        </w:rPr>
        <w:t>no haberse probado la alegada violación del artículo 2 de la Convención o la existencia de patrones generalizados de incumplimiento de fallos, no resulta necesario</w:t>
      </w:r>
      <w:r w:rsidRPr="003467A3">
        <w:rPr>
          <w:rFonts w:ascii="Verdana" w:hAnsi="Verdana" w:cs="Verdana"/>
          <w:sz w:val="20"/>
          <w:szCs w:val="20"/>
          <w:lang w:val="es-ES"/>
        </w:rPr>
        <w:t xml:space="preserve"> ordenar dicha medida en el presente caso. </w:t>
      </w:r>
    </w:p>
    <w:p w:rsidR="00F249DD" w:rsidRPr="007040F4" w:rsidRDefault="00F249DD" w:rsidP="00120F89">
      <w:pPr>
        <w:widowControl w:val="0"/>
        <w:autoSpaceDE w:val="0"/>
        <w:autoSpaceDN w:val="0"/>
        <w:adjustRightInd w:val="0"/>
        <w:ind w:right="99"/>
        <w:jc w:val="both"/>
        <w:rPr>
          <w:rFonts w:ascii="Verdana" w:hAnsi="Verdana" w:cs="Verdana-Italic"/>
          <w:b/>
          <w:iCs/>
          <w:sz w:val="20"/>
          <w:szCs w:val="20"/>
          <w:lang w:val="es-ES"/>
        </w:rPr>
      </w:pPr>
    </w:p>
    <w:p w:rsidR="00F249DD" w:rsidRDefault="00F249DD" w:rsidP="00120F89">
      <w:pPr>
        <w:widowControl w:val="0"/>
        <w:numPr>
          <w:ilvl w:val="0"/>
          <w:numId w:val="22"/>
        </w:numPr>
        <w:tabs>
          <w:tab w:val="clear" w:pos="2025"/>
        </w:tabs>
        <w:autoSpaceDE w:val="0"/>
        <w:autoSpaceDN w:val="0"/>
        <w:adjustRightInd w:val="0"/>
        <w:ind w:left="1440" w:right="99" w:hanging="720"/>
        <w:jc w:val="both"/>
        <w:rPr>
          <w:rFonts w:ascii="Verdana" w:hAnsi="Verdana" w:cs="Helvetica"/>
          <w:i/>
          <w:sz w:val="20"/>
          <w:szCs w:val="20"/>
          <w:lang w:val="es-ES"/>
        </w:rPr>
      </w:pPr>
      <w:r w:rsidRPr="007040F4">
        <w:rPr>
          <w:rFonts w:ascii="Verdana" w:hAnsi="Verdana" w:cs="Helvetica"/>
          <w:i/>
          <w:sz w:val="20"/>
          <w:szCs w:val="20"/>
          <w:lang w:val="es-ES"/>
        </w:rPr>
        <w:t>Obligación de realizar investigaciones administrativas que derivaron en la violación</w:t>
      </w:r>
    </w:p>
    <w:p w:rsidR="00F249DD" w:rsidRPr="007040F4" w:rsidRDefault="00F249DD" w:rsidP="00120F89">
      <w:pPr>
        <w:autoSpaceDE w:val="0"/>
        <w:autoSpaceDN w:val="0"/>
        <w:adjustRightInd w:val="0"/>
        <w:jc w:val="both"/>
        <w:rPr>
          <w:rFonts w:ascii="Verdana" w:hAnsi="Verdana"/>
          <w:sz w:val="20"/>
          <w:szCs w:val="20"/>
          <w:lang w:val="es-ES"/>
        </w:rPr>
      </w:pPr>
    </w:p>
    <w:p w:rsidR="00F249DD" w:rsidRPr="00D146A9" w:rsidRDefault="00F249DD">
      <w:pPr>
        <w:numPr>
          <w:ilvl w:val="0"/>
          <w:numId w:val="56"/>
        </w:numPr>
        <w:tabs>
          <w:tab w:val="clear" w:pos="1170"/>
        </w:tabs>
        <w:autoSpaceDE w:val="0"/>
        <w:autoSpaceDN w:val="0"/>
        <w:adjustRightInd w:val="0"/>
        <w:ind w:left="0"/>
        <w:jc w:val="both"/>
        <w:rPr>
          <w:rFonts w:ascii="Verdana" w:hAnsi="Verdana"/>
          <w:sz w:val="20"/>
          <w:szCs w:val="20"/>
          <w:highlight w:val="yellow"/>
          <w:lang w:val="es-ES"/>
        </w:rPr>
      </w:pPr>
      <w:r w:rsidRPr="00D146A9">
        <w:rPr>
          <w:rFonts w:ascii="Verdana" w:hAnsi="Verdana"/>
          <w:sz w:val="20"/>
          <w:szCs w:val="20"/>
          <w:highlight w:val="yellow"/>
          <w:lang w:val="es-ES"/>
        </w:rPr>
        <w:t xml:space="preserve">Los representantes </w:t>
      </w:r>
      <w:r w:rsidRPr="00D146A9">
        <w:rPr>
          <w:rFonts w:ascii="Verdana" w:hAnsi="Verdana" w:cs="Verdana"/>
          <w:sz w:val="20"/>
          <w:szCs w:val="20"/>
          <w:highlight w:val="yellow"/>
          <w:lang w:val="es-ES"/>
        </w:rPr>
        <w:t xml:space="preserve">señalaron al Tribunal que “a título de garantía de no repetición, deben aplicarse medidas administrativas o de otro tipo encaminadas a destituir a los agentes del Estado responsables del desacato de las sentencias emitidas por los tribunales domésticos”. Además, solicitaron </w:t>
      </w:r>
      <w:r w:rsidRPr="00D146A9">
        <w:rPr>
          <w:rFonts w:ascii="Verdana" w:hAnsi="Verdana"/>
          <w:sz w:val="20"/>
          <w:szCs w:val="20"/>
          <w:highlight w:val="yellow"/>
          <w:lang w:val="es-ES"/>
        </w:rPr>
        <w:t>a la Corte que ordene al Estado “que en un plazo razonable remueva todos los obstáculos y mecanismos de hecho y derecho que impide[n] se investigue, identifique, juzgue y sancione a los responsables” del incumplimiento de la decisión emitida por el máximo organismo de control constitucional. Por su parte, la Comisión no se pronunció al respecto. El Estado señaló que las autoridades nacionales han “tomado medidas de diversa índole para cumplir la resolución de la Corte Constitucional.</w:t>
      </w:r>
    </w:p>
    <w:p w:rsidR="00F249DD" w:rsidRPr="007040F4" w:rsidRDefault="00F249DD" w:rsidP="00120F89">
      <w:pPr>
        <w:autoSpaceDE w:val="0"/>
        <w:autoSpaceDN w:val="0"/>
        <w:adjustRightInd w:val="0"/>
        <w:jc w:val="both"/>
        <w:rPr>
          <w:rFonts w:ascii="Verdana" w:hAnsi="Verdana" w:cs="Verdana"/>
          <w:sz w:val="20"/>
          <w:szCs w:val="20"/>
          <w:lang w:val="es-ES"/>
        </w:rPr>
      </w:pPr>
    </w:p>
    <w:p w:rsidR="00F249DD" w:rsidRDefault="00F249DD">
      <w:pPr>
        <w:numPr>
          <w:ilvl w:val="0"/>
          <w:numId w:val="56"/>
        </w:numPr>
        <w:tabs>
          <w:tab w:val="clear" w:pos="1170"/>
        </w:tabs>
        <w:autoSpaceDE w:val="0"/>
        <w:autoSpaceDN w:val="0"/>
        <w:adjustRightInd w:val="0"/>
        <w:ind w:left="0"/>
        <w:jc w:val="both"/>
        <w:rPr>
          <w:rFonts w:ascii="Verdana" w:hAnsi="Verdana" w:cs="Lucida Sans Unicode"/>
          <w:sz w:val="20"/>
          <w:szCs w:val="20"/>
          <w:lang w:val="es-ES"/>
        </w:rPr>
      </w:pPr>
      <w:r w:rsidRPr="007040F4">
        <w:rPr>
          <w:rFonts w:ascii="Verdana" w:hAnsi="Verdana" w:cs="Verdana"/>
          <w:sz w:val="20"/>
          <w:szCs w:val="20"/>
          <w:lang w:val="es-ES"/>
        </w:rPr>
        <w:t xml:space="preserve">El Tribunal observa que </w:t>
      </w:r>
      <w:r>
        <w:rPr>
          <w:rFonts w:ascii="Verdana" w:hAnsi="Verdana" w:cs="Verdana"/>
          <w:sz w:val="20"/>
          <w:szCs w:val="20"/>
          <w:lang w:val="es-ES"/>
        </w:rPr>
        <w:t xml:space="preserve">no fue demostrado por los representantes la existencia de obstáculos que impidan la investigación, juzgamiento y sanción de los responsables, por lo que dicha solicitud carece de nexo de causalidad con las violaciones declaradas en el presente fallo. </w:t>
      </w:r>
    </w:p>
    <w:p w:rsidR="00F249DD" w:rsidRPr="007040F4" w:rsidRDefault="00F249DD" w:rsidP="00120F89">
      <w:pPr>
        <w:autoSpaceDE w:val="0"/>
        <w:autoSpaceDN w:val="0"/>
        <w:adjustRightInd w:val="0"/>
        <w:jc w:val="both"/>
        <w:rPr>
          <w:rFonts w:ascii="Verdana" w:hAnsi="Verdana" w:cs="Verdana"/>
          <w:sz w:val="20"/>
          <w:szCs w:val="20"/>
          <w:lang w:val="es-ES"/>
        </w:rPr>
      </w:pPr>
    </w:p>
    <w:p w:rsidR="00F249DD" w:rsidRPr="007040F4" w:rsidRDefault="00F249DD" w:rsidP="00120F89">
      <w:pPr>
        <w:pStyle w:val="Ttulo2"/>
        <w:numPr>
          <w:ilvl w:val="0"/>
          <w:numId w:val="30"/>
        </w:numPr>
        <w:rPr>
          <w:lang w:val="es-ES"/>
        </w:rPr>
      </w:pPr>
      <w:bookmarkStart w:id="344" w:name="_Toc294634499"/>
      <w:bookmarkStart w:id="345" w:name="_Toc294635327"/>
      <w:bookmarkStart w:id="346" w:name="_Toc294862720"/>
      <w:bookmarkStart w:id="347" w:name="_Toc294862783"/>
      <w:bookmarkStart w:id="348" w:name="_Toc295380334"/>
      <w:bookmarkStart w:id="349" w:name="_Toc295394486"/>
      <w:bookmarkStart w:id="350" w:name="_Toc295394640"/>
      <w:bookmarkStart w:id="351" w:name="_Toc295986092"/>
      <w:bookmarkStart w:id="352" w:name="_Toc295986309"/>
      <w:bookmarkStart w:id="353" w:name="_Toc295986429"/>
      <w:r w:rsidRPr="007040F4">
        <w:rPr>
          <w:lang w:val="es-ES"/>
        </w:rPr>
        <w:t>Indemnización Compensatoria</w:t>
      </w:r>
      <w:bookmarkEnd w:id="344"/>
      <w:bookmarkEnd w:id="345"/>
      <w:bookmarkEnd w:id="346"/>
      <w:bookmarkEnd w:id="347"/>
      <w:bookmarkEnd w:id="348"/>
      <w:bookmarkEnd w:id="349"/>
      <w:bookmarkEnd w:id="350"/>
      <w:r>
        <w:rPr>
          <w:lang w:val="es-ES"/>
        </w:rPr>
        <w:t xml:space="preserve"> por daños materiales e inmateriales</w:t>
      </w:r>
      <w:bookmarkEnd w:id="351"/>
      <w:bookmarkEnd w:id="352"/>
      <w:bookmarkEnd w:id="353"/>
    </w:p>
    <w:p w:rsidR="00F249DD" w:rsidRPr="007040F4" w:rsidRDefault="00F249DD" w:rsidP="00120F89">
      <w:pPr>
        <w:autoSpaceDE w:val="0"/>
        <w:autoSpaceDN w:val="0"/>
        <w:adjustRightInd w:val="0"/>
        <w:jc w:val="both"/>
        <w:rPr>
          <w:rFonts w:ascii="Verdana" w:hAnsi="Verdana" w:cs="Verdana"/>
          <w:sz w:val="20"/>
          <w:szCs w:val="20"/>
          <w:lang w:val="es-ES"/>
        </w:rPr>
      </w:pPr>
    </w:p>
    <w:p w:rsidR="00F249DD" w:rsidRDefault="00F249DD">
      <w:pPr>
        <w:numPr>
          <w:ilvl w:val="0"/>
          <w:numId w:val="56"/>
        </w:numPr>
        <w:tabs>
          <w:tab w:val="clear" w:pos="1170"/>
        </w:tabs>
        <w:autoSpaceDE w:val="0"/>
        <w:autoSpaceDN w:val="0"/>
        <w:adjustRightInd w:val="0"/>
        <w:ind w:left="0"/>
        <w:jc w:val="both"/>
        <w:rPr>
          <w:rFonts w:ascii="Verdana" w:hAnsi="Verdana" w:cs="Verdana"/>
          <w:sz w:val="20"/>
          <w:szCs w:val="20"/>
          <w:lang w:val="es-ES"/>
        </w:rPr>
      </w:pPr>
      <w:r w:rsidRPr="007040F4">
        <w:rPr>
          <w:rFonts w:ascii="Verdana" w:hAnsi="Verdana" w:cs="Verdana"/>
          <w:sz w:val="20"/>
          <w:szCs w:val="20"/>
          <w:lang w:val="es-ES"/>
        </w:rPr>
        <w:t>La Comisión consideró “pertinente que se reparen las consecuencias que produjo la falta de cumplimiento de sentencia a la víctima[</w:t>
      </w:r>
      <w:r>
        <w:rPr>
          <w:rFonts w:ascii="Verdana" w:hAnsi="Verdana" w:cs="Verdana"/>
          <w:sz w:val="20"/>
          <w:szCs w:val="20"/>
          <w:lang w:val="es-ES"/>
        </w:rPr>
        <w:t>,</w:t>
      </w:r>
      <w:r w:rsidRPr="007040F4">
        <w:rPr>
          <w:rFonts w:ascii="Verdana" w:hAnsi="Verdana" w:cs="Verdana"/>
          <w:sz w:val="20"/>
          <w:szCs w:val="20"/>
          <w:lang w:val="es-ES"/>
        </w:rPr>
        <w:t>] mediante el pago de una indemnización como compensación por los daños ocasionados en el caso pertinente” y</w:t>
      </w:r>
      <w:r>
        <w:rPr>
          <w:rFonts w:ascii="Verdana" w:hAnsi="Verdana" w:cs="Verdana"/>
          <w:sz w:val="20"/>
          <w:szCs w:val="20"/>
          <w:lang w:val="es-ES"/>
        </w:rPr>
        <w:t>,</w:t>
      </w:r>
      <w:r w:rsidRPr="007040F4">
        <w:rPr>
          <w:rFonts w:ascii="Verdana" w:hAnsi="Verdana" w:cs="Verdana"/>
          <w:sz w:val="20"/>
          <w:szCs w:val="20"/>
          <w:lang w:val="es-ES"/>
        </w:rPr>
        <w:t xml:space="preserve"> solicitó a la Corte que</w:t>
      </w:r>
      <w:r>
        <w:rPr>
          <w:rFonts w:ascii="Verdana" w:hAnsi="Verdana" w:cs="Verdana"/>
          <w:sz w:val="20"/>
          <w:szCs w:val="20"/>
          <w:lang w:val="es-ES"/>
        </w:rPr>
        <w:t xml:space="preserve">, </w:t>
      </w:r>
      <w:r w:rsidRPr="001A67AC">
        <w:rPr>
          <w:rFonts w:ascii="Verdana" w:hAnsi="Verdana" w:cs="Verdana"/>
          <w:sz w:val="20"/>
          <w:szCs w:val="20"/>
          <w:lang w:val="es-ES"/>
        </w:rPr>
        <w:t>“sin perjuicio de las pretensiones que presente en el momento procesal oportuno la víctima”</w:t>
      </w:r>
      <w:r>
        <w:rPr>
          <w:rFonts w:ascii="Verdana" w:hAnsi="Verdana" w:cs="Verdana"/>
          <w:sz w:val="20"/>
          <w:szCs w:val="20"/>
          <w:lang w:val="es-ES"/>
        </w:rPr>
        <w:t>,</w:t>
      </w:r>
      <w:r w:rsidRPr="007040F4">
        <w:rPr>
          <w:rFonts w:ascii="Verdana" w:hAnsi="Verdana" w:cs="Verdana"/>
          <w:sz w:val="20"/>
          <w:szCs w:val="20"/>
          <w:lang w:val="es-ES"/>
        </w:rPr>
        <w:t xml:space="preserve"> fije en </w:t>
      </w:r>
      <w:r w:rsidRPr="007040F4">
        <w:rPr>
          <w:rFonts w:ascii="Verdana" w:hAnsi="Verdana" w:cs="Verdana"/>
          <w:sz w:val="20"/>
          <w:szCs w:val="20"/>
          <w:lang w:val="es-ES"/>
        </w:rPr>
        <w:lastRenderedPageBreak/>
        <w:t xml:space="preserve">equidad el monto de la indemnización </w:t>
      </w:r>
      <w:r w:rsidRPr="001A67AC">
        <w:rPr>
          <w:rFonts w:ascii="Verdana" w:hAnsi="Verdana" w:cs="Verdana"/>
          <w:sz w:val="20"/>
          <w:szCs w:val="20"/>
          <w:lang w:val="es-ES"/>
        </w:rPr>
        <w:t xml:space="preserve">por concepto de daños </w:t>
      </w:r>
      <w:r w:rsidRPr="007040F4">
        <w:rPr>
          <w:rFonts w:ascii="Verdana" w:hAnsi="Verdana" w:cs="Verdana"/>
          <w:sz w:val="20"/>
          <w:szCs w:val="20"/>
          <w:lang w:val="es-ES"/>
        </w:rPr>
        <w:t>material</w:t>
      </w:r>
      <w:r>
        <w:rPr>
          <w:rFonts w:ascii="Verdana" w:hAnsi="Verdana" w:cs="Verdana"/>
          <w:sz w:val="20"/>
          <w:szCs w:val="20"/>
          <w:lang w:val="es-ES"/>
        </w:rPr>
        <w:t>es y inmateriales</w:t>
      </w:r>
      <w:r w:rsidRPr="007040F4">
        <w:rPr>
          <w:rFonts w:ascii="Verdana" w:hAnsi="Verdana" w:cs="Verdana"/>
          <w:sz w:val="20"/>
          <w:szCs w:val="20"/>
          <w:lang w:val="es-ES"/>
        </w:rPr>
        <w:t xml:space="preserve"> en uso de sus amplias facultades en esta materia</w:t>
      </w:r>
      <w:r>
        <w:rPr>
          <w:rFonts w:ascii="Verdana" w:hAnsi="Verdana" w:cs="Verdana"/>
          <w:sz w:val="20"/>
          <w:szCs w:val="20"/>
          <w:lang w:val="es-ES"/>
        </w:rPr>
        <w:t>.</w:t>
      </w:r>
      <w:r w:rsidRPr="007040F4">
        <w:rPr>
          <w:rFonts w:ascii="Verdana" w:hAnsi="Verdana" w:cs="Verdana"/>
          <w:sz w:val="20"/>
          <w:szCs w:val="20"/>
          <w:lang w:val="es-ES"/>
        </w:rPr>
        <w:t xml:space="preserve"> </w:t>
      </w:r>
    </w:p>
    <w:p w:rsidR="00F249DD" w:rsidRPr="004E4733" w:rsidRDefault="00F249DD" w:rsidP="00120F89">
      <w:pPr>
        <w:autoSpaceDE w:val="0"/>
        <w:autoSpaceDN w:val="0"/>
        <w:adjustRightInd w:val="0"/>
        <w:jc w:val="both"/>
        <w:rPr>
          <w:rFonts w:ascii="Verdana" w:hAnsi="Verdana" w:cs="Verdana"/>
          <w:sz w:val="20"/>
          <w:szCs w:val="20"/>
          <w:lang w:val="es-ES"/>
        </w:rPr>
      </w:pPr>
    </w:p>
    <w:p w:rsidR="00F249DD" w:rsidRDefault="00F249DD">
      <w:pPr>
        <w:numPr>
          <w:ilvl w:val="0"/>
          <w:numId w:val="56"/>
        </w:numPr>
        <w:tabs>
          <w:tab w:val="clear" w:pos="1170"/>
        </w:tabs>
        <w:autoSpaceDE w:val="0"/>
        <w:autoSpaceDN w:val="0"/>
        <w:adjustRightInd w:val="0"/>
        <w:ind w:left="0"/>
        <w:jc w:val="both"/>
        <w:rPr>
          <w:rFonts w:ascii="Verdana" w:hAnsi="Verdana" w:cs="Verdana"/>
          <w:sz w:val="20"/>
          <w:szCs w:val="20"/>
          <w:lang w:val="es-ES"/>
        </w:rPr>
      </w:pPr>
      <w:r w:rsidRPr="00594E5A">
        <w:rPr>
          <w:rFonts w:ascii="Verdana" w:hAnsi="Verdana" w:cs="Verdana"/>
          <w:sz w:val="20"/>
          <w:szCs w:val="20"/>
          <w:lang w:val="es-ES"/>
        </w:rPr>
        <w:t xml:space="preserve">Los representantes solicitaron </w:t>
      </w:r>
      <w:r w:rsidRPr="0047282A">
        <w:rPr>
          <w:rFonts w:ascii="Verdana" w:hAnsi="Verdana" w:cs="Verdana"/>
          <w:sz w:val="20"/>
          <w:szCs w:val="20"/>
          <w:lang w:val="es-ES"/>
        </w:rPr>
        <w:t>a la Corte que acoja el monto ofrecido</w:t>
      </w:r>
      <w:r w:rsidRPr="00594E5A">
        <w:rPr>
          <w:rStyle w:val="Refdenotaalpie"/>
          <w:rFonts w:ascii="Verdana" w:hAnsi="Verdana" w:cs="Verdana"/>
          <w:sz w:val="20"/>
          <w:szCs w:val="20"/>
          <w:lang w:val="es-ES"/>
        </w:rPr>
        <w:footnoteReference w:id="111"/>
      </w:r>
      <w:r w:rsidRPr="0047282A">
        <w:rPr>
          <w:rFonts w:ascii="Verdana" w:hAnsi="Verdana" w:cs="Verdana"/>
          <w:sz w:val="20"/>
          <w:szCs w:val="20"/>
          <w:lang w:val="es-ES"/>
        </w:rPr>
        <w:t xml:space="preserve"> “por el propio Estado”</w:t>
      </w:r>
      <w:r w:rsidRPr="00594E5A">
        <w:rPr>
          <w:rFonts w:ascii="Verdana" w:hAnsi="Verdana" w:cs="Verdana"/>
          <w:sz w:val="20"/>
          <w:szCs w:val="20"/>
          <w:lang w:val="es-ES"/>
        </w:rPr>
        <w:t xml:space="preserve"> de US$ 358.033,59 (trescientos cincuenta y ocho mil tre</w:t>
      </w:r>
      <w:r>
        <w:rPr>
          <w:rFonts w:ascii="Verdana" w:hAnsi="Verdana" w:cs="Verdana"/>
          <w:sz w:val="20"/>
          <w:szCs w:val="20"/>
          <w:lang w:val="es-ES"/>
        </w:rPr>
        <w:t>inta</w:t>
      </w:r>
      <w:r w:rsidRPr="00594E5A">
        <w:rPr>
          <w:rFonts w:ascii="Verdana" w:hAnsi="Verdana" w:cs="Verdana"/>
          <w:sz w:val="20"/>
          <w:szCs w:val="20"/>
          <w:lang w:val="es-ES"/>
        </w:rPr>
        <w:t xml:space="preserve"> y tres dólares de los Estados Unidos de Am</w:t>
      </w:r>
      <w:r>
        <w:rPr>
          <w:rFonts w:ascii="Verdana" w:hAnsi="Verdana" w:cs="Verdana"/>
          <w:sz w:val="20"/>
          <w:szCs w:val="20"/>
          <w:lang w:val="es-ES"/>
        </w:rPr>
        <w:t>é</w:t>
      </w:r>
      <w:r w:rsidRPr="00594E5A">
        <w:rPr>
          <w:rFonts w:ascii="Verdana" w:hAnsi="Verdana" w:cs="Verdana"/>
          <w:sz w:val="20"/>
          <w:szCs w:val="20"/>
          <w:lang w:val="es-ES"/>
        </w:rPr>
        <w:t>rica con cincuenta y nueve centavos) y disponga que el Estado pague a la víctima dicho valor, a lo cual “deberá aumentarse</w:t>
      </w:r>
      <w:r w:rsidRPr="007040F4">
        <w:rPr>
          <w:rFonts w:ascii="Verdana" w:hAnsi="Verdana" w:cs="Verdana"/>
          <w:sz w:val="20"/>
          <w:szCs w:val="20"/>
          <w:lang w:val="es-ES"/>
        </w:rPr>
        <w:t xml:space="preserve"> tan solo la diferencia resultante entre junio de 2009 y octubre 2010 </w:t>
      </w:r>
      <w:r>
        <w:rPr>
          <w:rFonts w:ascii="Verdana" w:hAnsi="Verdana" w:cs="Verdana"/>
          <w:sz w:val="20"/>
          <w:szCs w:val="20"/>
          <w:lang w:val="es-ES"/>
        </w:rPr>
        <w:t>[</w:t>
      </w:r>
      <w:r w:rsidRPr="007040F4">
        <w:rPr>
          <w:rFonts w:ascii="Verdana" w:hAnsi="Verdana" w:cs="Verdana"/>
          <w:sz w:val="20"/>
          <w:szCs w:val="20"/>
          <w:lang w:val="es-ES"/>
        </w:rPr>
        <w:t>en que el señor Mejía Idrovo</w:t>
      </w:r>
      <w:r>
        <w:rPr>
          <w:rFonts w:ascii="Verdana" w:hAnsi="Verdana" w:cs="Verdana"/>
          <w:sz w:val="20"/>
          <w:szCs w:val="20"/>
          <w:lang w:val="es-ES"/>
        </w:rPr>
        <w:t>]</w:t>
      </w:r>
      <w:r w:rsidRPr="007040F4">
        <w:rPr>
          <w:rFonts w:ascii="Verdana" w:hAnsi="Verdana" w:cs="Verdana"/>
          <w:sz w:val="20"/>
          <w:szCs w:val="20"/>
          <w:lang w:val="es-ES"/>
        </w:rPr>
        <w:t xml:space="preserve"> fue reincorporado al servicio activo”</w:t>
      </w:r>
      <w:r>
        <w:rPr>
          <w:rFonts w:ascii="Verdana" w:hAnsi="Verdana" w:cs="Verdana"/>
          <w:sz w:val="20"/>
          <w:szCs w:val="20"/>
          <w:lang w:val="es-ES"/>
        </w:rPr>
        <w:t xml:space="preserve">. </w:t>
      </w:r>
      <w:r w:rsidRPr="007040F4">
        <w:rPr>
          <w:rFonts w:ascii="Verdana" w:hAnsi="Verdana" w:cs="Verdana"/>
          <w:sz w:val="20"/>
          <w:szCs w:val="20"/>
          <w:lang w:val="es-ES"/>
        </w:rPr>
        <w:t>Los representantes</w:t>
      </w:r>
      <w:r w:rsidRPr="007040F4">
        <w:rPr>
          <w:rFonts w:ascii="Verdana" w:hAnsi="Verdana" w:cs="Verdana"/>
          <w:b/>
          <w:i/>
          <w:sz w:val="20"/>
          <w:szCs w:val="20"/>
          <w:lang w:val="es-ES"/>
        </w:rPr>
        <w:t xml:space="preserve"> </w:t>
      </w:r>
      <w:r w:rsidRPr="007040F4">
        <w:rPr>
          <w:rFonts w:ascii="Verdana" w:hAnsi="Verdana" w:cs="Verdana"/>
          <w:sz w:val="20"/>
          <w:szCs w:val="20"/>
          <w:lang w:val="es-ES"/>
        </w:rPr>
        <w:t xml:space="preserve">subrayaron que el </w:t>
      </w:r>
      <w:r w:rsidRPr="0047282A">
        <w:rPr>
          <w:rFonts w:ascii="Verdana" w:hAnsi="Verdana" w:cs="Verdana"/>
          <w:sz w:val="20"/>
          <w:szCs w:val="20"/>
          <w:lang w:val="es-ES"/>
        </w:rPr>
        <w:t>Estado no ha</w:t>
      </w:r>
      <w:r w:rsidRPr="003467A3">
        <w:rPr>
          <w:rFonts w:ascii="Verdana" w:hAnsi="Verdana" w:cs="Verdana"/>
          <w:sz w:val="20"/>
          <w:szCs w:val="20"/>
          <w:lang w:val="es-ES"/>
        </w:rPr>
        <w:t xml:space="preserve"> cumplido</w:t>
      </w:r>
      <w:r w:rsidRPr="007040F4">
        <w:rPr>
          <w:rFonts w:ascii="Verdana" w:hAnsi="Verdana" w:cs="Verdana"/>
          <w:sz w:val="20"/>
          <w:szCs w:val="20"/>
          <w:lang w:val="es-ES"/>
        </w:rPr>
        <w:t xml:space="preserve"> con el punto dos de la sentencia de la Corte Constitucional de octubre 2009, ya que </w:t>
      </w:r>
      <w:r>
        <w:rPr>
          <w:rFonts w:ascii="Verdana" w:hAnsi="Verdana" w:cs="Verdana"/>
          <w:sz w:val="20"/>
          <w:szCs w:val="20"/>
          <w:lang w:val="es-ES"/>
        </w:rPr>
        <w:t xml:space="preserve">el </w:t>
      </w:r>
      <w:r w:rsidRPr="007040F4">
        <w:rPr>
          <w:rFonts w:ascii="Verdana" w:hAnsi="Verdana" w:cs="Verdana"/>
          <w:sz w:val="20"/>
          <w:szCs w:val="20"/>
          <w:lang w:val="es-ES"/>
        </w:rPr>
        <w:t xml:space="preserve">Estado </w:t>
      </w:r>
      <w:r>
        <w:rPr>
          <w:rFonts w:ascii="Verdana" w:hAnsi="Verdana" w:cs="Verdana"/>
          <w:sz w:val="20"/>
          <w:szCs w:val="20"/>
          <w:lang w:val="es-ES"/>
        </w:rPr>
        <w:t>efectuó</w:t>
      </w:r>
      <w:r w:rsidRPr="007040F4">
        <w:rPr>
          <w:rFonts w:ascii="Verdana" w:hAnsi="Verdana" w:cs="Verdana"/>
          <w:sz w:val="20"/>
          <w:szCs w:val="20"/>
          <w:lang w:val="es-ES"/>
        </w:rPr>
        <w:t xml:space="preserve"> un pago de US$570.772,68 (quinientos setenta mil setecientos setenta y dos dólares de los Estados Unidos de América con sesenta y ocho centavos), “sin embargo no </w:t>
      </w:r>
      <w:r>
        <w:rPr>
          <w:rFonts w:ascii="Verdana" w:hAnsi="Verdana" w:cs="Verdana"/>
          <w:sz w:val="20"/>
          <w:szCs w:val="20"/>
          <w:lang w:val="es-ES"/>
        </w:rPr>
        <w:t>[especificó</w:t>
      </w:r>
      <w:r w:rsidRPr="00697451">
        <w:rPr>
          <w:rFonts w:ascii="Verdana" w:hAnsi="Verdana" w:cs="Verdana"/>
          <w:sz w:val="20"/>
          <w:szCs w:val="20"/>
          <w:lang w:val="es-CR"/>
        </w:rPr>
        <w:t>]</w:t>
      </w:r>
      <w:r w:rsidRPr="007040F4">
        <w:rPr>
          <w:rFonts w:ascii="Verdana" w:hAnsi="Verdana" w:cs="Verdana"/>
          <w:sz w:val="20"/>
          <w:szCs w:val="20"/>
          <w:lang w:val="es-ES"/>
        </w:rPr>
        <w:t xml:space="preserve"> que dicho pago no se realizó a favor de la víctima como lo ordenó la sentencia, si no que lo realizó a favor del [</w:t>
      </w:r>
      <w:r>
        <w:rPr>
          <w:rFonts w:ascii="Verdana" w:hAnsi="Verdana" w:cs="Verdana"/>
          <w:sz w:val="20"/>
          <w:szCs w:val="20"/>
          <w:lang w:val="es-ES"/>
        </w:rPr>
        <w:t>Instituto de Seguridad Social de las Fuerzas Armadas del Ecuador (en adelante “</w:t>
      </w:r>
      <w:r w:rsidRPr="007040F4">
        <w:rPr>
          <w:rFonts w:ascii="Verdana" w:hAnsi="Verdana" w:cs="Verdana"/>
          <w:sz w:val="20"/>
          <w:szCs w:val="20"/>
          <w:lang w:val="es-ES"/>
        </w:rPr>
        <w:t>I</w:t>
      </w:r>
      <w:r>
        <w:rPr>
          <w:rFonts w:ascii="Verdana" w:hAnsi="Verdana" w:cs="Verdana"/>
          <w:sz w:val="20"/>
          <w:szCs w:val="20"/>
          <w:lang w:val="es-ES"/>
        </w:rPr>
        <w:t xml:space="preserve">SSFA”)]. </w:t>
      </w:r>
      <w:r w:rsidRPr="007040F4">
        <w:rPr>
          <w:rFonts w:ascii="Verdana" w:hAnsi="Verdana" w:cs="Verdana"/>
          <w:sz w:val="20"/>
          <w:szCs w:val="20"/>
          <w:lang w:val="es-ES"/>
        </w:rPr>
        <w:t>Asimismo, los representantes pid</w:t>
      </w:r>
      <w:r>
        <w:rPr>
          <w:rFonts w:ascii="Verdana" w:hAnsi="Verdana" w:cs="Verdana"/>
          <w:sz w:val="20"/>
          <w:szCs w:val="20"/>
          <w:lang w:val="es-ES"/>
        </w:rPr>
        <w:t>ieron</w:t>
      </w:r>
      <w:r w:rsidRPr="007040F4">
        <w:rPr>
          <w:rFonts w:ascii="Verdana" w:hAnsi="Verdana" w:cs="Verdana"/>
          <w:sz w:val="20"/>
          <w:szCs w:val="20"/>
          <w:lang w:val="es-ES"/>
        </w:rPr>
        <w:t xml:space="preserve"> a la Corte que “en equidad fije el monto que por concepto de reparación</w:t>
      </w:r>
      <w:r>
        <w:rPr>
          <w:rFonts w:ascii="Verdana" w:hAnsi="Verdana" w:cs="Verdana"/>
          <w:sz w:val="20"/>
          <w:szCs w:val="20"/>
          <w:lang w:val="es-ES"/>
        </w:rPr>
        <w:t xml:space="preserve"> patrimonial y </w:t>
      </w:r>
      <w:r w:rsidRPr="007040F4">
        <w:rPr>
          <w:rFonts w:ascii="Verdana" w:hAnsi="Verdana" w:cs="Verdana"/>
          <w:sz w:val="20"/>
          <w:szCs w:val="20"/>
          <w:lang w:val="es-ES"/>
        </w:rPr>
        <w:t>extra patrimonial deben recibir los familiares de la víctima”</w:t>
      </w:r>
      <w:r>
        <w:rPr>
          <w:rFonts w:ascii="Verdana" w:hAnsi="Verdana" w:cs="Verdana"/>
          <w:sz w:val="20"/>
          <w:szCs w:val="20"/>
          <w:lang w:val="es-ES"/>
        </w:rPr>
        <w:t>.</w:t>
      </w:r>
      <w:r w:rsidRPr="007040F4">
        <w:rPr>
          <w:rFonts w:ascii="Verdana" w:hAnsi="Verdana" w:cs="Verdana"/>
          <w:sz w:val="20"/>
          <w:szCs w:val="20"/>
          <w:lang w:val="es-ES"/>
        </w:rPr>
        <w:t xml:space="preserve"> </w:t>
      </w:r>
    </w:p>
    <w:p w:rsidR="00F249DD" w:rsidRPr="007040F4" w:rsidRDefault="00F249DD" w:rsidP="00120F89">
      <w:pPr>
        <w:autoSpaceDE w:val="0"/>
        <w:autoSpaceDN w:val="0"/>
        <w:adjustRightInd w:val="0"/>
        <w:jc w:val="both"/>
        <w:rPr>
          <w:rFonts w:ascii="Verdana" w:hAnsi="Verdana" w:cs="Verdana"/>
          <w:sz w:val="20"/>
          <w:szCs w:val="20"/>
          <w:lang w:val="es-ES"/>
        </w:rPr>
      </w:pPr>
    </w:p>
    <w:p w:rsidR="00F249DD" w:rsidRDefault="00F249DD">
      <w:pPr>
        <w:numPr>
          <w:ilvl w:val="0"/>
          <w:numId w:val="56"/>
        </w:numPr>
        <w:tabs>
          <w:tab w:val="clear" w:pos="1170"/>
        </w:tabs>
        <w:autoSpaceDE w:val="0"/>
        <w:autoSpaceDN w:val="0"/>
        <w:adjustRightInd w:val="0"/>
        <w:ind w:left="0"/>
        <w:jc w:val="both"/>
        <w:rPr>
          <w:rFonts w:ascii="Verdana" w:hAnsi="Verdana" w:cs="Verdana"/>
          <w:sz w:val="20"/>
          <w:szCs w:val="20"/>
          <w:lang w:val="es-ES"/>
        </w:rPr>
      </w:pPr>
      <w:r>
        <w:rPr>
          <w:rFonts w:ascii="Verdana" w:hAnsi="Verdana" w:cs="Verdana"/>
          <w:sz w:val="20"/>
          <w:szCs w:val="20"/>
          <w:lang w:val="es-ES"/>
        </w:rPr>
        <w:t>E</w:t>
      </w:r>
      <w:r w:rsidRPr="007040F4">
        <w:rPr>
          <w:rFonts w:ascii="Verdana" w:hAnsi="Verdana" w:cs="Verdana"/>
          <w:sz w:val="20"/>
          <w:szCs w:val="20"/>
          <w:lang w:val="es-ES"/>
        </w:rPr>
        <w:t>l Estado alegó que la presunta víctima</w:t>
      </w:r>
      <w:r>
        <w:rPr>
          <w:rFonts w:ascii="Verdana" w:hAnsi="Verdana" w:cs="Verdana"/>
          <w:sz w:val="20"/>
          <w:szCs w:val="20"/>
          <w:lang w:val="es-ES"/>
        </w:rPr>
        <w:t xml:space="preserve"> “</w:t>
      </w:r>
      <w:r w:rsidRPr="007040F4">
        <w:rPr>
          <w:rFonts w:ascii="Verdana" w:hAnsi="Verdana" w:cs="Verdana"/>
          <w:sz w:val="20"/>
          <w:szCs w:val="20"/>
          <w:lang w:val="es-ES"/>
        </w:rPr>
        <w:t>de una manera sistemática se ha negado a reconocer los esfuerzos del Estado en relación a una potencial reparación”. Agregó que “el Ministerio de Justicia y Derechos Humanos, así como también la Procuraduría General del Estado en el ámbito espec</w:t>
      </w:r>
      <w:r>
        <w:rPr>
          <w:rFonts w:ascii="Verdana" w:hAnsi="Verdana" w:cs="Verdana"/>
          <w:sz w:val="20"/>
          <w:szCs w:val="20"/>
          <w:lang w:val="es-ES"/>
        </w:rPr>
        <w:t>í</w:t>
      </w:r>
      <w:r w:rsidRPr="007040F4">
        <w:rPr>
          <w:rFonts w:ascii="Verdana" w:hAnsi="Verdana" w:cs="Verdana"/>
          <w:sz w:val="20"/>
          <w:szCs w:val="20"/>
          <w:lang w:val="es-ES"/>
        </w:rPr>
        <w:t>fico de sus competencias, han recibido la negativa del señor Mejía Idrovo para aceptar los montos calculados por las entidades correspondientes”</w:t>
      </w:r>
      <w:r>
        <w:rPr>
          <w:rFonts w:ascii="Verdana" w:hAnsi="Verdana" w:cs="Verdana"/>
          <w:sz w:val="20"/>
          <w:szCs w:val="20"/>
          <w:lang w:val="es-ES"/>
        </w:rPr>
        <w:t>.</w:t>
      </w:r>
      <w:r w:rsidRPr="007040F4">
        <w:rPr>
          <w:rFonts w:ascii="Verdana" w:hAnsi="Verdana" w:cs="Verdana"/>
          <w:sz w:val="20"/>
          <w:szCs w:val="20"/>
          <w:lang w:val="es-ES"/>
        </w:rPr>
        <w:t xml:space="preserve"> El Estado afirmó que “a través del Ministerio de Justicia, Derechos Humanos y Cultos, el ISSFA, y el Ministerio de Defensa Nacional realizó y realiza actualmente los mayores esfuerzos para reparar al ciudadano Mejía Idrovo siguiendo el tenor de la resolución de la Corte Constitucional” y que “se comprometió con la Corte Interamericana en el sentido de informar […] del proceso de liquidación en el ISSFA. A este propósito, el Estado manifestó que “se dispuso la conformación de una </w:t>
      </w:r>
      <w:r>
        <w:rPr>
          <w:rFonts w:ascii="Verdana" w:hAnsi="Verdana" w:cs="Verdana"/>
          <w:sz w:val="20"/>
          <w:szCs w:val="20"/>
          <w:lang w:val="es-ES"/>
        </w:rPr>
        <w:t>C</w:t>
      </w:r>
      <w:r w:rsidRPr="007040F4">
        <w:rPr>
          <w:rFonts w:ascii="Verdana" w:hAnsi="Verdana" w:cs="Verdana"/>
          <w:sz w:val="20"/>
          <w:szCs w:val="20"/>
          <w:lang w:val="es-ES"/>
        </w:rPr>
        <w:t xml:space="preserve">omisión </w:t>
      </w:r>
      <w:r>
        <w:rPr>
          <w:rFonts w:ascii="Verdana" w:hAnsi="Verdana" w:cs="Verdana"/>
          <w:sz w:val="20"/>
          <w:szCs w:val="20"/>
          <w:lang w:val="es-ES"/>
        </w:rPr>
        <w:t>M</w:t>
      </w:r>
      <w:r w:rsidRPr="007040F4">
        <w:rPr>
          <w:rFonts w:ascii="Verdana" w:hAnsi="Verdana" w:cs="Verdana"/>
          <w:sz w:val="20"/>
          <w:szCs w:val="20"/>
          <w:lang w:val="es-ES"/>
        </w:rPr>
        <w:t>ultidisciplinaria […] que se ha reunido por tres ocasiones a fin de establecer el monto total indemnizatorio cuyo valor final</w:t>
      </w:r>
      <w:r>
        <w:rPr>
          <w:rFonts w:ascii="Verdana" w:hAnsi="Verdana" w:cs="Verdana"/>
          <w:sz w:val="20"/>
          <w:szCs w:val="20"/>
          <w:lang w:val="es-ES"/>
        </w:rPr>
        <w:t xml:space="preserve"> ascendió a</w:t>
      </w:r>
      <w:r w:rsidRPr="007040F4">
        <w:rPr>
          <w:rFonts w:ascii="Verdana" w:hAnsi="Verdana" w:cs="Verdana"/>
          <w:sz w:val="20"/>
          <w:szCs w:val="20"/>
          <w:lang w:val="es-ES"/>
        </w:rPr>
        <w:t xml:space="preserve"> US$</w:t>
      </w:r>
      <w:r>
        <w:rPr>
          <w:rFonts w:ascii="Verdana" w:hAnsi="Verdana" w:cs="Verdana"/>
          <w:sz w:val="20"/>
          <w:szCs w:val="20"/>
          <w:lang w:val="es-ES"/>
        </w:rPr>
        <w:t>358</w:t>
      </w:r>
      <w:r w:rsidRPr="007040F4">
        <w:rPr>
          <w:rFonts w:ascii="Verdana" w:hAnsi="Verdana" w:cs="Verdana"/>
          <w:sz w:val="20"/>
          <w:szCs w:val="20"/>
          <w:lang w:val="es-ES"/>
        </w:rPr>
        <w:t>.</w:t>
      </w:r>
      <w:r>
        <w:rPr>
          <w:rFonts w:ascii="Verdana" w:hAnsi="Verdana" w:cs="Verdana"/>
          <w:sz w:val="20"/>
          <w:szCs w:val="20"/>
          <w:lang w:val="es-ES"/>
        </w:rPr>
        <w:t>033</w:t>
      </w:r>
      <w:r w:rsidRPr="007040F4">
        <w:rPr>
          <w:rFonts w:ascii="Verdana" w:hAnsi="Verdana" w:cs="Verdana"/>
          <w:sz w:val="20"/>
          <w:szCs w:val="20"/>
          <w:lang w:val="es-ES"/>
        </w:rPr>
        <w:t>,</w:t>
      </w:r>
      <w:r>
        <w:rPr>
          <w:rFonts w:ascii="Verdana" w:hAnsi="Verdana" w:cs="Verdana"/>
          <w:sz w:val="20"/>
          <w:szCs w:val="20"/>
          <w:lang w:val="es-ES"/>
        </w:rPr>
        <w:t>59”</w:t>
      </w:r>
      <w:r w:rsidRPr="007040F4">
        <w:rPr>
          <w:rFonts w:ascii="Verdana" w:hAnsi="Verdana" w:cs="Verdana"/>
          <w:sz w:val="20"/>
          <w:szCs w:val="20"/>
          <w:lang w:val="es-ES"/>
        </w:rPr>
        <w:t xml:space="preserve"> (</w:t>
      </w:r>
      <w:r>
        <w:rPr>
          <w:rFonts w:ascii="Verdana" w:hAnsi="Verdana" w:cs="Verdana"/>
          <w:sz w:val="20"/>
          <w:szCs w:val="20"/>
          <w:lang w:val="es-ES"/>
        </w:rPr>
        <w:t>tres</w:t>
      </w:r>
      <w:r w:rsidRPr="007040F4">
        <w:rPr>
          <w:rFonts w:ascii="Verdana" w:hAnsi="Verdana" w:cs="Verdana"/>
          <w:sz w:val="20"/>
          <w:szCs w:val="20"/>
          <w:lang w:val="es-ES"/>
        </w:rPr>
        <w:t>ciento</w:t>
      </w:r>
      <w:r>
        <w:rPr>
          <w:rFonts w:ascii="Verdana" w:hAnsi="Verdana" w:cs="Verdana"/>
          <w:sz w:val="20"/>
          <w:szCs w:val="20"/>
          <w:lang w:val="es-ES"/>
        </w:rPr>
        <w:t>s</w:t>
      </w:r>
      <w:r w:rsidRPr="007040F4">
        <w:rPr>
          <w:rFonts w:ascii="Verdana" w:hAnsi="Verdana" w:cs="Verdana"/>
          <w:sz w:val="20"/>
          <w:szCs w:val="20"/>
          <w:lang w:val="es-ES"/>
        </w:rPr>
        <w:t xml:space="preserve"> </w:t>
      </w:r>
      <w:r>
        <w:rPr>
          <w:rFonts w:ascii="Verdana" w:hAnsi="Verdana" w:cs="Verdana"/>
          <w:sz w:val="20"/>
          <w:szCs w:val="20"/>
          <w:lang w:val="es-ES"/>
        </w:rPr>
        <w:t>cincuenta</w:t>
      </w:r>
      <w:r w:rsidRPr="007040F4">
        <w:rPr>
          <w:rFonts w:ascii="Verdana" w:hAnsi="Verdana" w:cs="Verdana"/>
          <w:sz w:val="20"/>
          <w:szCs w:val="20"/>
          <w:lang w:val="es-ES"/>
        </w:rPr>
        <w:t xml:space="preserve"> y </w:t>
      </w:r>
      <w:r>
        <w:rPr>
          <w:rFonts w:ascii="Verdana" w:hAnsi="Verdana" w:cs="Verdana"/>
          <w:sz w:val="20"/>
          <w:szCs w:val="20"/>
          <w:lang w:val="es-ES"/>
        </w:rPr>
        <w:t>ocho</w:t>
      </w:r>
      <w:r w:rsidRPr="007040F4">
        <w:rPr>
          <w:rFonts w:ascii="Verdana" w:hAnsi="Verdana" w:cs="Verdana"/>
          <w:sz w:val="20"/>
          <w:szCs w:val="20"/>
          <w:lang w:val="es-ES"/>
        </w:rPr>
        <w:t xml:space="preserve"> mil </w:t>
      </w:r>
      <w:r>
        <w:rPr>
          <w:rFonts w:ascii="Verdana" w:hAnsi="Verdana" w:cs="Verdana"/>
          <w:sz w:val="20"/>
          <w:szCs w:val="20"/>
          <w:lang w:val="es-ES"/>
        </w:rPr>
        <w:t>treinta</w:t>
      </w:r>
      <w:r w:rsidRPr="007040F4">
        <w:rPr>
          <w:rFonts w:ascii="Verdana" w:hAnsi="Verdana" w:cs="Verdana"/>
          <w:sz w:val="20"/>
          <w:szCs w:val="20"/>
          <w:lang w:val="es-ES"/>
        </w:rPr>
        <w:t xml:space="preserve">  y </w:t>
      </w:r>
      <w:r>
        <w:rPr>
          <w:rFonts w:ascii="Verdana" w:hAnsi="Verdana" w:cs="Verdana"/>
          <w:sz w:val="20"/>
          <w:szCs w:val="20"/>
          <w:lang w:val="es-ES"/>
        </w:rPr>
        <w:t>tres</w:t>
      </w:r>
      <w:r w:rsidRPr="007040F4">
        <w:rPr>
          <w:rFonts w:ascii="Verdana" w:hAnsi="Verdana" w:cs="Verdana"/>
          <w:sz w:val="20"/>
          <w:szCs w:val="20"/>
          <w:lang w:val="es-ES"/>
        </w:rPr>
        <w:t xml:space="preserve"> dólares de los Estados Unidos de Am</w:t>
      </w:r>
      <w:r>
        <w:rPr>
          <w:rFonts w:ascii="Verdana" w:hAnsi="Verdana" w:cs="Verdana"/>
          <w:sz w:val="20"/>
          <w:szCs w:val="20"/>
          <w:lang w:val="es-ES"/>
        </w:rPr>
        <w:t>é</w:t>
      </w:r>
      <w:r w:rsidRPr="007040F4">
        <w:rPr>
          <w:rFonts w:ascii="Verdana" w:hAnsi="Verdana" w:cs="Verdana"/>
          <w:sz w:val="20"/>
          <w:szCs w:val="20"/>
          <w:lang w:val="es-ES"/>
        </w:rPr>
        <w:t xml:space="preserve">rica con </w:t>
      </w:r>
      <w:r>
        <w:rPr>
          <w:rFonts w:ascii="Verdana" w:hAnsi="Verdana" w:cs="Verdana"/>
          <w:sz w:val="20"/>
          <w:szCs w:val="20"/>
          <w:lang w:val="es-ES"/>
        </w:rPr>
        <w:t>cincuenta</w:t>
      </w:r>
      <w:r w:rsidRPr="007040F4">
        <w:rPr>
          <w:rFonts w:ascii="Verdana" w:hAnsi="Verdana" w:cs="Verdana"/>
          <w:sz w:val="20"/>
          <w:szCs w:val="20"/>
          <w:lang w:val="es-ES"/>
        </w:rPr>
        <w:t xml:space="preserve"> y </w:t>
      </w:r>
      <w:r>
        <w:rPr>
          <w:rFonts w:ascii="Verdana" w:hAnsi="Verdana" w:cs="Verdana"/>
          <w:sz w:val="20"/>
          <w:szCs w:val="20"/>
          <w:lang w:val="es-ES"/>
        </w:rPr>
        <w:t>nueve</w:t>
      </w:r>
      <w:r w:rsidRPr="007040F4">
        <w:rPr>
          <w:rFonts w:ascii="Verdana" w:hAnsi="Verdana" w:cs="Verdana"/>
          <w:sz w:val="20"/>
          <w:szCs w:val="20"/>
          <w:lang w:val="es-ES"/>
        </w:rPr>
        <w:t xml:space="preserve"> centavos)</w:t>
      </w:r>
      <w:r>
        <w:rPr>
          <w:rFonts w:ascii="Verdana" w:hAnsi="Verdana" w:cs="Verdana"/>
          <w:sz w:val="20"/>
          <w:szCs w:val="20"/>
          <w:lang w:val="es-ES"/>
        </w:rPr>
        <w:t>.</w:t>
      </w:r>
      <w:r w:rsidRPr="007040F4">
        <w:rPr>
          <w:rFonts w:ascii="Verdana" w:hAnsi="Verdana" w:cs="Verdana"/>
          <w:sz w:val="20"/>
          <w:szCs w:val="20"/>
          <w:lang w:val="es-ES"/>
        </w:rPr>
        <w:t xml:space="preserve"> </w:t>
      </w:r>
    </w:p>
    <w:p w:rsidR="00F249DD" w:rsidRPr="007040F4" w:rsidRDefault="00F249DD" w:rsidP="00120F89">
      <w:pPr>
        <w:autoSpaceDE w:val="0"/>
        <w:autoSpaceDN w:val="0"/>
        <w:adjustRightInd w:val="0"/>
        <w:jc w:val="both"/>
        <w:rPr>
          <w:rFonts w:ascii="Verdana" w:hAnsi="Verdana" w:cs="Verdana"/>
          <w:sz w:val="20"/>
          <w:szCs w:val="20"/>
          <w:lang w:val="es-ES"/>
        </w:rPr>
      </w:pPr>
    </w:p>
    <w:p w:rsidR="00F249DD" w:rsidRPr="007040F4" w:rsidRDefault="00F249DD" w:rsidP="00120F89">
      <w:pPr>
        <w:widowControl w:val="0"/>
        <w:autoSpaceDE w:val="0"/>
        <w:autoSpaceDN w:val="0"/>
        <w:adjustRightInd w:val="0"/>
        <w:jc w:val="both"/>
        <w:rPr>
          <w:rFonts w:ascii="Verdana" w:hAnsi="Verdana"/>
          <w:i/>
          <w:sz w:val="20"/>
          <w:szCs w:val="20"/>
          <w:lang w:val="es-ES"/>
        </w:rPr>
      </w:pPr>
      <w:r w:rsidRPr="007040F4">
        <w:rPr>
          <w:rFonts w:ascii="Verdana" w:hAnsi="Verdana"/>
          <w:i/>
          <w:sz w:val="20"/>
          <w:szCs w:val="20"/>
          <w:lang w:val="es-ES"/>
        </w:rPr>
        <w:t>Consideraciones de la Corte</w:t>
      </w:r>
    </w:p>
    <w:p w:rsidR="00F249DD" w:rsidRPr="007040F4" w:rsidRDefault="00F249DD" w:rsidP="00120F89">
      <w:pPr>
        <w:autoSpaceDE w:val="0"/>
        <w:autoSpaceDN w:val="0"/>
        <w:adjustRightInd w:val="0"/>
        <w:jc w:val="both"/>
        <w:rPr>
          <w:rFonts w:ascii="Verdana" w:hAnsi="Verdana" w:cs="Verdana"/>
          <w:sz w:val="20"/>
          <w:szCs w:val="20"/>
          <w:lang w:val="es-ES"/>
        </w:rPr>
      </w:pPr>
    </w:p>
    <w:p w:rsidR="00F249DD" w:rsidRDefault="00F249DD">
      <w:pPr>
        <w:numPr>
          <w:ilvl w:val="0"/>
          <w:numId w:val="56"/>
        </w:numPr>
        <w:tabs>
          <w:tab w:val="clear" w:pos="1170"/>
        </w:tabs>
        <w:autoSpaceDE w:val="0"/>
        <w:autoSpaceDN w:val="0"/>
        <w:adjustRightInd w:val="0"/>
        <w:ind w:left="0"/>
        <w:jc w:val="both"/>
        <w:rPr>
          <w:rFonts w:ascii="Verdana" w:hAnsi="Verdana" w:cs="Verdana"/>
          <w:sz w:val="20"/>
          <w:szCs w:val="20"/>
          <w:lang w:val="es-ES"/>
        </w:rPr>
      </w:pPr>
      <w:r w:rsidRPr="007040F4">
        <w:rPr>
          <w:rFonts w:ascii="Verdana" w:hAnsi="Verdana" w:cs="Verdana"/>
          <w:sz w:val="20"/>
          <w:szCs w:val="20"/>
          <w:lang w:val="es-ES"/>
        </w:rPr>
        <w:t>Este Tribunal ha establecido que el daño material supone “la pérdida o detrimento de los ingresos de las víctimas, los gastos efectuados con motivo de los hechos y las consecuencias de carácter pecuniario que tengan un nexo causal con los hechos del caso”</w:t>
      </w:r>
      <w:r w:rsidRPr="007040F4">
        <w:rPr>
          <w:rFonts w:ascii="Verdana" w:hAnsi="Verdana" w:cs="Verdana"/>
          <w:sz w:val="20"/>
          <w:szCs w:val="20"/>
          <w:vertAlign w:val="superscript"/>
          <w:lang w:val="es-ES"/>
        </w:rPr>
        <w:footnoteReference w:id="112"/>
      </w:r>
      <w:r>
        <w:rPr>
          <w:rFonts w:ascii="Verdana" w:hAnsi="Verdana" w:cs="Verdana"/>
          <w:sz w:val="20"/>
          <w:szCs w:val="20"/>
          <w:lang w:val="es-ES"/>
        </w:rPr>
        <w:t>.</w:t>
      </w:r>
      <w:r w:rsidRPr="00991B03">
        <w:rPr>
          <w:rFonts w:ascii="Verdana" w:hAnsi="Verdana" w:cs="Verdana"/>
          <w:sz w:val="20"/>
          <w:szCs w:val="20"/>
          <w:lang w:val="es-ES"/>
        </w:rPr>
        <w:t xml:space="preserve"> </w:t>
      </w:r>
      <w:r>
        <w:rPr>
          <w:rFonts w:ascii="Verdana" w:hAnsi="Verdana" w:cs="Verdana"/>
          <w:sz w:val="20"/>
          <w:szCs w:val="20"/>
          <w:lang w:val="es-ES"/>
        </w:rPr>
        <w:t>Asimismo, l</w:t>
      </w:r>
      <w:r w:rsidRPr="007040F4">
        <w:rPr>
          <w:rFonts w:ascii="Verdana" w:hAnsi="Verdana" w:cs="Verdana"/>
          <w:sz w:val="20"/>
          <w:szCs w:val="20"/>
          <w:lang w:val="es-ES"/>
        </w:rPr>
        <w:t xml:space="preserve">a Corte ha desarrollado el concepto de daño inmaterial y ha establecido que “puede comprender tanto los sufrimientos y las aflicciones causados a la víctima directa y a sus allegados, el menoscabo de valores muy significativos para las personas, así como las alteraciones, de carácter no pecuniario, en las condiciones de existencia de la víctima o su familia”. En el presente caso </w:t>
      </w:r>
      <w:r>
        <w:rPr>
          <w:rFonts w:ascii="Verdana" w:hAnsi="Verdana" w:cs="Verdana"/>
          <w:sz w:val="20"/>
          <w:szCs w:val="20"/>
          <w:lang w:val="es-ES"/>
        </w:rPr>
        <w:t>es comprensible la existencia de</w:t>
      </w:r>
      <w:r w:rsidRPr="007040F4">
        <w:rPr>
          <w:rFonts w:ascii="Verdana" w:hAnsi="Verdana" w:cs="Verdana"/>
          <w:sz w:val="20"/>
          <w:szCs w:val="20"/>
          <w:lang w:val="es-ES"/>
        </w:rPr>
        <w:t xml:space="preserve"> daños de carácter </w:t>
      </w:r>
      <w:r>
        <w:rPr>
          <w:rFonts w:ascii="Verdana" w:hAnsi="Verdana" w:cs="Verdana"/>
          <w:sz w:val="20"/>
          <w:szCs w:val="20"/>
          <w:lang w:val="es-ES"/>
        </w:rPr>
        <w:t xml:space="preserve">material como </w:t>
      </w:r>
      <w:r w:rsidRPr="007040F4">
        <w:rPr>
          <w:rFonts w:ascii="Verdana" w:hAnsi="Verdana" w:cs="Verdana"/>
          <w:sz w:val="20"/>
          <w:szCs w:val="20"/>
          <w:lang w:val="es-ES"/>
        </w:rPr>
        <w:t>inmaterial</w:t>
      </w:r>
      <w:r>
        <w:rPr>
          <w:rFonts w:ascii="Verdana" w:hAnsi="Verdana" w:cs="Verdana"/>
          <w:sz w:val="20"/>
          <w:szCs w:val="20"/>
          <w:lang w:val="es-ES"/>
        </w:rPr>
        <w:t>.</w:t>
      </w:r>
    </w:p>
    <w:p w:rsidR="00F249DD" w:rsidRPr="007040F4" w:rsidRDefault="00F249DD" w:rsidP="00120F89">
      <w:pPr>
        <w:autoSpaceDE w:val="0"/>
        <w:autoSpaceDN w:val="0"/>
        <w:adjustRightInd w:val="0"/>
        <w:jc w:val="both"/>
        <w:rPr>
          <w:rFonts w:ascii="Verdana" w:hAnsi="Verdana" w:cs="Verdana"/>
          <w:sz w:val="20"/>
          <w:szCs w:val="20"/>
          <w:lang w:val="es-ES"/>
        </w:rPr>
      </w:pPr>
    </w:p>
    <w:p w:rsidR="00F249DD" w:rsidRDefault="00F249DD">
      <w:pPr>
        <w:numPr>
          <w:ilvl w:val="0"/>
          <w:numId w:val="56"/>
        </w:numPr>
        <w:tabs>
          <w:tab w:val="clear" w:pos="1170"/>
        </w:tabs>
        <w:autoSpaceDE w:val="0"/>
        <w:autoSpaceDN w:val="0"/>
        <w:adjustRightInd w:val="0"/>
        <w:ind w:left="0"/>
        <w:jc w:val="both"/>
        <w:rPr>
          <w:rFonts w:ascii="Verdana" w:hAnsi="Verdana" w:cs="Verdana"/>
          <w:sz w:val="20"/>
          <w:szCs w:val="20"/>
          <w:lang w:val="es-ES"/>
        </w:rPr>
      </w:pPr>
      <w:r w:rsidRPr="0047282A">
        <w:rPr>
          <w:rFonts w:ascii="Verdana" w:hAnsi="Verdana" w:cs="Verdana"/>
          <w:sz w:val="20"/>
          <w:szCs w:val="20"/>
          <w:lang w:val="es-ES"/>
        </w:rPr>
        <w:t>En</w:t>
      </w:r>
      <w:r w:rsidRPr="003467A3">
        <w:rPr>
          <w:rFonts w:ascii="Verdana" w:hAnsi="Verdana" w:cs="Verdana"/>
          <w:sz w:val="20"/>
          <w:szCs w:val="20"/>
          <w:lang w:val="es-ES"/>
        </w:rPr>
        <w:t xml:space="preserve"> noviembre de 2009 el Estado remitió a la Comisión</w:t>
      </w:r>
      <w:r>
        <w:rPr>
          <w:rFonts w:ascii="Verdana" w:hAnsi="Verdana" w:cs="Verdana"/>
          <w:sz w:val="20"/>
          <w:szCs w:val="20"/>
          <w:lang w:val="es-ES"/>
        </w:rPr>
        <w:t xml:space="preserve"> </w:t>
      </w:r>
      <w:r w:rsidRPr="003467A3">
        <w:rPr>
          <w:rFonts w:ascii="Verdana" w:hAnsi="Verdana" w:cs="Verdana"/>
          <w:sz w:val="20"/>
          <w:szCs w:val="20"/>
          <w:lang w:val="es-ES"/>
        </w:rPr>
        <w:t xml:space="preserve">Interamericana tres notas técnicas (notas Nos. 06054 y 10391 de 13 de noviembre de 2009 y nota No. 10529 de 23 de noviembre de 2009) en las que señaló que por concepto de indemnizaciones corresponde al Coronel Mejía Idrovo la suma de US$358.033,58 (de la </w:t>
      </w:r>
      <w:r>
        <w:rPr>
          <w:rFonts w:ascii="Verdana" w:hAnsi="Verdana" w:cs="Verdana"/>
          <w:sz w:val="20"/>
          <w:szCs w:val="20"/>
          <w:lang w:val="es-ES"/>
        </w:rPr>
        <w:t>cual</w:t>
      </w:r>
      <w:r w:rsidRPr="003467A3">
        <w:rPr>
          <w:rFonts w:ascii="Verdana" w:hAnsi="Verdana" w:cs="Verdana"/>
          <w:sz w:val="20"/>
          <w:szCs w:val="20"/>
          <w:lang w:val="es-ES"/>
        </w:rPr>
        <w:t xml:space="preserve"> US$194.895,81</w:t>
      </w:r>
      <w:r>
        <w:rPr>
          <w:rFonts w:ascii="Verdana" w:hAnsi="Verdana" w:cs="Verdana"/>
          <w:sz w:val="20"/>
          <w:szCs w:val="20"/>
          <w:lang w:val="es-ES"/>
        </w:rPr>
        <w:t xml:space="preserve"> corresponde</w:t>
      </w:r>
      <w:r w:rsidRPr="003467A3">
        <w:rPr>
          <w:rFonts w:ascii="Verdana" w:hAnsi="Verdana" w:cs="Verdana"/>
          <w:sz w:val="20"/>
          <w:szCs w:val="20"/>
          <w:lang w:val="es-ES"/>
        </w:rPr>
        <w:t xml:space="preserve"> a daño material y US$163.137,58 </w:t>
      </w:r>
      <w:r>
        <w:rPr>
          <w:rFonts w:ascii="Verdana" w:hAnsi="Verdana" w:cs="Verdana"/>
          <w:sz w:val="20"/>
          <w:szCs w:val="20"/>
          <w:lang w:val="es-ES"/>
        </w:rPr>
        <w:t xml:space="preserve">corresponde </w:t>
      </w:r>
      <w:r w:rsidRPr="003467A3">
        <w:rPr>
          <w:rFonts w:ascii="Verdana" w:hAnsi="Verdana" w:cs="Verdana"/>
          <w:sz w:val="20"/>
          <w:szCs w:val="20"/>
          <w:lang w:val="es-ES"/>
        </w:rPr>
        <w:t xml:space="preserve">a daño inmaterial) calculados </w:t>
      </w:r>
      <w:r>
        <w:rPr>
          <w:rFonts w:ascii="Verdana" w:hAnsi="Verdana" w:cs="Verdana"/>
          <w:sz w:val="20"/>
          <w:szCs w:val="20"/>
          <w:lang w:val="es-ES"/>
        </w:rPr>
        <w:t>a</w:t>
      </w:r>
      <w:r w:rsidRPr="003467A3">
        <w:rPr>
          <w:rFonts w:ascii="Verdana" w:hAnsi="Verdana" w:cs="Verdana"/>
          <w:sz w:val="20"/>
          <w:szCs w:val="20"/>
          <w:lang w:val="es-ES"/>
        </w:rPr>
        <w:t xml:space="preserve"> junio de 2009. Según las </w:t>
      </w:r>
      <w:r w:rsidRPr="003467A3">
        <w:rPr>
          <w:rFonts w:ascii="Verdana" w:hAnsi="Verdana" w:cs="Verdana"/>
          <w:sz w:val="20"/>
          <w:szCs w:val="20"/>
          <w:lang w:val="es-ES"/>
        </w:rPr>
        <w:lastRenderedPageBreak/>
        <w:t xml:space="preserve">informaciones proporcionadas por el Estado, dicho cálculo fue realizado por una </w:t>
      </w:r>
      <w:r>
        <w:rPr>
          <w:rFonts w:ascii="Verdana" w:hAnsi="Verdana" w:cs="Verdana"/>
          <w:sz w:val="20"/>
          <w:szCs w:val="20"/>
          <w:lang w:val="es-ES"/>
        </w:rPr>
        <w:t>C</w:t>
      </w:r>
      <w:r w:rsidRPr="003467A3">
        <w:rPr>
          <w:rFonts w:ascii="Verdana" w:hAnsi="Verdana" w:cs="Verdana"/>
          <w:sz w:val="20"/>
          <w:szCs w:val="20"/>
          <w:lang w:val="es-ES"/>
        </w:rPr>
        <w:t xml:space="preserve">omisión </w:t>
      </w:r>
      <w:r>
        <w:rPr>
          <w:rFonts w:ascii="Verdana" w:hAnsi="Verdana" w:cs="Verdana"/>
          <w:sz w:val="20"/>
          <w:szCs w:val="20"/>
          <w:lang w:val="es-ES"/>
        </w:rPr>
        <w:t>M</w:t>
      </w:r>
      <w:r w:rsidRPr="003467A3">
        <w:rPr>
          <w:rFonts w:ascii="Verdana" w:hAnsi="Verdana" w:cs="Verdana"/>
          <w:sz w:val="20"/>
          <w:szCs w:val="20"/>
          <w:lang w:val="es-ES"/>
        </w:rPr>
        <w:t xml:space="preserve">ultidisciplinaria conformada </w:t>
      </w:r>
      <w:r w:rsidRPr="003467A3">
        <w:rPr>
          <w:rFonts w:ascii="Verdana" w:hAnsi="Verdana" w:cs="Verdana"/>
          <w:i/>
          <w:sz w:val="20"/>
          <w:szCs w:val="20"/>
          <w:lang w:val="es-ES"/>
        </w:rPr>
        <w:t xml:space="preserve">ad hoc </w:t>
      </w:r>
      <w:r w:rsidRPr="003467A3">
        <w:rPr>
          <w:rFonts w:ascii="Verdana" w:hAnsi="Verdana" w:cs="Verdana"/>
          <w:sz w:val="20"/>
          <w:szCs w:val="20"/>
          <w:lang w:val="es-ES"/>
        </w:rPr>
        <w:t>para calcular el monto indemnizatorio a favor del señor Mejía Idrovo y “compuesta por el Departamento Jurídico del Ejército, el Director de Finanzas del Ejército, y personal del Instituto de Seguridad Social de las Fuerzas Armadas (ISSFA)</w:t>
      </w:r>
      <w:r w:rsidRPr="00AB3221">
        <w:rPr>
          <w:rFonts w:ascii="Verdana" w:hAnsi="Verdana" w:cs="Verdana"/>
          <w:i/>
          <w:sz w:val="20"/>
          <w:szCs w:val="20"/>
          <w:lang w:val="es-ES"/>
        </w:rPr>
        <w:t>”.</w:t>
      </w:r>
      <w:r w:rsidRPr="003467A3">
        <w:rPr>
          <w:rFonts w:ascii="Verdana" w:hAnsi="Verdana" w:cs="Verdana"/>
          <w:sz w:val="20"/>
          <w:szCs w:val="20"/>
          <w:lang w:val="es-ES"/>
        </w:rPr>
        <w:t xml:space="preserve"> Asimismo, la Corte observa que los representantes han expresado su acuerdo </w:t>
      </w:r>
      <w:r w:rsidRPr="0047282A">
        <w:rPr>
          <w:rFonts w:ascii="Verdana" w:hAnsi="Verdana" w:cs="Verdana"/>
          <w:sz w:val="20"/>
          <w:szCs w:val="20"/>
          <w:lang w:val="es-ES"/>
        </w:rPr>
        <w:t>sobre el monto</w:t>
      </w:r>
      <w:r w:rsidRPr="007040F4">
        <w:rPr>
          <w:rFonts w:ascii="Verdana" w:hAnsi="Verdana" w:cs="Verdana"/>
          <w:sz w:val="20"/>
          <w:szCs w:val="20"/>
          <w:lang w:val="es-ES"/>
        </w:rPr>
        <w:t xml:space="preserve"> de US$358.033,58 por daño material</w:t>
      </w:r>
      <w:r>
        <w:rPr>
          <w:rFonts w:ascii="Verdana" w:hAnsi="Verdana" w:cs="Verdana"/>
          <w:sz w:val="20"/>
          <w:szCs w:val="20"/>
          <w:lang w:val="es-ES"/>
        </w:rPr>
        <w:t xml:space="preserve"> e inmaterial</w:t>
      </w:r>
      <w:r w:rsidRPr="007040F4">
        <w:rPr>
          <w:rFonts w:ascii="Verdana" w:hAnsi="Verdana" w:cs="Verdana"/>
          <w:sz w:val="20"/>
          <w:szCs w:val="20"/>
          <w:lang w:val="es-ES"/>
        </w:rPr>
        <w:t xml:space="preserve"> establecido por el propio Estado, solicitando únicamente la diferencia resultante entre junio de 2009 y octubre de 2010 en que fue reincorporado </w:t>
      </w:r>
      <w:r>
        <w:rPr>
          <w:rFonts w:ascii="Verdana" w:hAnsi="Verdana" w:cs="Verdana"/>
          <w:sz w:val="20"/>
          <w:szCs w:val="20"/>
          <w:lang w:val="es-ES"/>
        </w:rPr>
        <w:t xml:space="preserve">el señor Mejía Idrovo </w:t>
      </w:r>
      <w:r w:rsidRPr="007040F4">
        <w:rPr>
          <w:rFonts w:ascii="Verdana" w:hAnsi="Verdana" w:cs="Verdana"/>
          <w:sz w:val="20"/>
          <w:szCs w:val="20"/>
          <w:lang w:val="es-ES"/>
        </w:rPr>
        <w:t>al servicio activo.</w:t>
      </w:r>
    </w:p>
    <w:p w:rsidR="00F249DD" w:rsidRPr="007040F4" w:rsidRDefault="00F249DD" w:rsidP="00120F89">
      <w:pPr>
        <w:autoSpaceDE w:val="0"/>
        <w:autoSpaceDN w:val="0"/>
        <w:adjustRightInd w:val="0"/>
        <w:jc w:val="both"/>
        <w:rPr>
          <w:rFonts w:ascii="Verdana" w:hAnsi="Verdana" w:cs="Verdana"/>
          <w:sz w:val="20"/>
          <w:szCs w:val="20"/>
          <w:lang w:val="es-ES"/>
        </w:rPr>
      </w:pPr>
    </w:p>
    <w:p w:rsidR="00F249DD" w:rsidRDefault="00F249DD">
      <w:pPr>
        <w:numPr>
          <w:ilvl w:val="0"/>
          <w:numId w:val="56"/>
        </w:numPr>
        <w:tabs>
          <w:tab w:val="clear" w:pos="1170"/>
        </w:tabs>
        <w:autoSpaceDE w:val="0"/>
        <w:autoSpaceDN w:val="0"/>
        <w:adjustRightInd w:val="0"/>
        <w:ind w:left="0"/>
        <w:jc w:val="both"/>
        <w:rPr>
          <w:rFonts w:ascii="Verdana" w:hAnsi="Verdana" w:cs="Verdana"/>
          <w:sz w:val="20"/>
          <w:szCs w:val="20"/>
          <w:lang w:val="es-ES"/>
        </w:rPr>
      </w:pPr>
      <w:r>
        <w:rPr>
          <w:rFonts w:ascii="Verdana" w:hAnsi="Verdana" w:cs="Verdana"/>
          <w:sz w:val="20"/>
          <w:szCs w:val="20"/>
          <w:lang w:val="es-ES"/>
        </w:rPr>
        <w:t xml:space="preserve">El Tribunal </w:t>
      </w:r>
      <w:r w:rsidRPr="007040F4">
        <w:rPr>
          <w:rFonts w:ascii="Verdana" w:hAnsi="Verdana" w:cs="Verdana"/>
          <w:sz w:val="20"/>
          <w:szCs w:val="20"/>
          <w:lang w:val="es-ES"/>
        </w:rPr>
        <w:t xml:space="preserve">nota que en el cuadro remitido a la Comisión </w:t>
      </w:r>
      <w:r>
        <w:rPr>
          <w:rFonts w:ascii="Verdana" w:hAnsi="Verdana" w:cs="Verdana"/>
          <w:sz w:val="20"/>
          <w:szCs w:val="20"/>
          <w:lang w:val="es-ES"/>
        </w:rPr>
        <w:t xml:space="preserve">por parte del Estado y posteriormente a la Corte en los alegatos finales, </w:t>
      </w:r>
      <w:r w:rsidRPr="007040F4">
        <w:rPr>
          <w:rFonts w:ascii="Verdana" w:hAnsi="Verdana" w:cs="Verdana"/>
          <w:sz w:val="20"/>
          <w:szCs w:val="20"/>
          <w:lang w:val="es-ES"/>
        </w:rPr>
        <w:t>se pueden distinguir los siguientes tres rubros respecto del daño material, traducido en lucro cesante</w:t>
      </w:r>
      <w:r w:rsidRPr="007040F4">
        <w:rPr>
          <w:rStyle w:val="Refdenotaalpie"/>
          <w:rFonts w:ascii="Verdana" w:hAnsi="Verdana"/>
          <w:sz w:val="20"/>
          <w:szCs w:val="20"/>
          <w:lang w:val="es-ES"/>
        </w:rPr>
        <w:footnoteReference w:id="113"/>
      </w:r>
      <w:r w:rsidRPr="007040F4">
        <w:rPr>
          <w:rFonts w:ascii="Verdana" w:hAnsi="Verdana" w:cs="Verdana"/>
          <w:sz w:val="20"/>
          <w:szCs w:val="20"/>
          <w:lang w:val="es-ES"/>
        </w:rPr>
        <w:t xml:space="preserve">: a) “las remuneraciones que el </w:t>
      </w:r>
      <w:r>
        <w:rPr>
          <w:rFonts w:ascii="Verdana" w:hAnsi="Verdana" w:cs="Verdana"/>
          <w:sz w:val="20"/>
          <w:szCs w:val="20"/>
          <w:lang w:val="es-ES"/>
        </w:rPr>
        <w:t>[s</w:t>
      </w:r>
      <w:r w:rsidRPr="007040F4">
        <w:rPr>
          <w:rFonts w:ascii="Verdana" w:hAnsi="Verdana" w:cs="Verdana"/>
          <w:sz w:val="20"/>
          <w:szCs w:val="20"/>
          <w:lang w:val="es-ES"/>
        </w:rPr>
        <w:t>eñor</w:t>
      </w:r>
      <w:r>
        <w:rPr>
          <w:rFonts w:ascii="Verdana" w:hAnsi="Verdana" w:cs="Verdana"/>
          <w:sz w:val="20"/>
          <w:szCs w:val="20"/>
          <w:lang w:val="es-ES"/>
        </w:rPr>
        <w:t xml:space="preserve">] </w:t>
      </w:r>
      <w:r w:rsidRPr="007040F4">
        <w:rPr>
          <w:rFonts w:ascii="Verdana" w:hAnsi="Verdana" w:cs="Verdana"/>
          <w:sz w:val="20"/>
          <w:szCs w:val="20"/>
          <w:lang w:val="es-ES"/>
        </w:rPr>
        <w:t xml:space="preserve">Mejía </w:t>
      </w:r>
      <w:r>
        <w:rPr>
          <w:rFonts w:ascii="Verdana" w:hAnsi="Verdana" w:cs="Verdana"/>
          <w:sz w:val="20"/>
          <w:szCs w:val="20"/>
          <w:lang w:val="es-ES"/>
        </w:rPr>
        <w:t xml:space="preserve">[Idrovo] </w:t>
      </w:r>
      <w:r w:rsidRPr="007040F4">
        <w:rPr>
          <w:rFonts w:ascii="Verdana" w:hAnsi="Verdana" w:cs="Verdana"/>
          <w:sz w:val="20"/>
          <w:szCs w:val="20"/>
          <w:lang w:val="es-ES"/>
        </w:rPr>
        <w:t xml:space="preserve">debía recibir de haber permanecido en servicio activo hasta junio del </w:t>
      </w:r>
      <w:r w:rsidRPr="00404774">
        <w:rPr>
          <w:rFonts w:ascii="Verdana" w:hAnsi="Verdana" w:cs="Verdana"/>
          <w:sz w:val="20"/>
          <w:szCs w:val="20"/>
          <w:lang w:val="es-ES"/>
        </w:rPr>
        <w:t>2009 restada de las pensiones militares</w:t>
      </w:r>
      <w:r>
        <w:rPr>
          <w:rFonts w:ascii="Verdana" w:hAnsi="Verdana" w:cs="Verdana"/>
          <w:sz w:val="20"/>
          <w:szCs w:val="20"/>
          <w:lang w:val="es-ES"/>
        </w:rPr>
        <w:t>”, luego de la baja hasta dicha fecha</w:t>
      </w:r>
      <w:r w:rsidRPr="00404774">
        <w:rPr>
          <w:rFonts w:ascii="Verdana" w:hAnsi="Verdana" w:cs="Verdana"/>
          <w:sz w:val="20"/>
          <w:szCs w:val="20"/>
          <w:lang w:val="es-ES"/>
        </w:rPr>
        <w:t xml:space="preserve">; b) “la cesantía que el </w:t>
      </w:r>
      <w:r>
        <w:rPr>
          <w:rFonts w:ascii="Verdana" w:hAnsi="Verdana" w:cs="Verdana"/>
          <w:sz w:val="20"/>
          <w:szCs w:val="20"/>
          <w:lang w:val="es-ES"/>
        </w:rPr>
        <w:t>[</w:t>
      </w:r>
      <w:r w:rsidRPr="00404774">
        <w:rPr>
          <w:rFonts w:ascii="Verdana" w:hAnsi="Verdana" w:cs="Verdana"/>
          <w:sz w:val="20"/>
          <w:szCs w:val="20"/>
          <w:lang w:val="es-ES"/>
        </w:rPr>
        <w:t>señor</w:t>
      </w:r>
      <w:r>
        <w:rPr>
          <w:rFonts w:ascii="Verdana" w:hAnsi="Verdana" w:cs="Verdana"/>
          <w:sz w:val="20"/>
          <w:szCs w:val="20"/>
          <w:lang w:val="es-ES"/>
        </w:rPr>
        <w:t>]</w:t>
      </w:r>
      <w:r w:rsidRPr="00404774">
        <w:rPr>
          <w:rFonts w:ascii="Verdana" w:hAnsi="Verdana" w:cs="Verdana"/>
          <w:sz w:val="20"/>
          <w:szCs w:val="20"/>
          <w:lang w:val="es-ES"/>
        </w:rPr>
        <w:t xml:space="preserve"> Mejía </w:t>
      </w:r>
      <w:r>
        <w:rPr>
          <w:rFonts w:ascii="Verdana" w:hAnsi="Verdana" w:cs="Verdana"/>
          <w:sz w:val="20"/>
          <w:szCs w:val="20"/>
          <w:lang w:val="es-ES"/>
        </w:rPr>
        <w:t>[</w:t>
      </w:r>
      <w:r w:rsidRPr="00404774">
        <w:rPr>
          <w:rFonts w:ascii="Verdana" w:hAnsi="Verdana" w:cs="Verdana"/>
          <w:sz w:val="20"/>
          <w:szCs w:val="20"/>
          <w:lang w:val="es-ES"/>
        </w:rPr>
        <w:t>Idrovo</w:t>
      </w:r>
      <w:r>
        <w:rPr>
          <w:rFonts w:ascii="Verdana" w:hAnsi="Verdana" w:cs="Verdana"/>
          <w:sz w:val="20"/>
          <w:szCs w:val="20"/>
          <w:lang w:val="es-ES"/>
        </w:rPr>
        <w:t>]</w:t>
      </w:r>
      <w:r w:rsidRPr="00404774">
        <w:rPr>
          <w:rFonts w:ascii="Verdana" w:hAnsi="Verdana" w:cs="Verdana"/>
          <w:sz w:val="20"/>
          <w:szCs w:val="20"/>
          <w:lang w:val="es-ES"/>
        </w:rPr>
        <w:t xml:space="preserve"> debía recibir de haber permanecido </w:t>
      </w:r>
      <w:r>
        <w:rPr>
          <w:rFonts w:ascii="Verdana" w:hAnsi="Verdana" w:cs="Verdana"/>
          <w:sz w:val="20"/>
          <w:szCs w:val="20"/>
          <w:lang w:val="es-ES"/>
        </w:rPr>
        <w:t xml:space="preserve">en servicio activo </w:t>
      </w:r>
      <w:r w:rsidRPr="00404774">
        <w:rPr>
          <w:rFonts w:ascii="Verdana" w:hAnsi="Verdana" w:cs="Verdana"/>
          <w:sz w:val="20"/>
          <w:szCs w:val="20"/>
          <w:lang w:val="es-ES"/>
        </w:rPr>
        <w:t>hasta</w:t>
      </w:r>
      <w:r>
        <w:rPr>
          <w:rFonts w:ascii="Verdana" w:hAnsi="Verdana" w:cs="Verdana"/>
          <w:sz w:val="20"/>
          <w:szCs w:val="20"/>
          <w:lang w:val="es-ES"/>
        </w:rPr>
        <w:t xml:space="preserve"> el año </w:t>
      </w:r>
      <w:r w:rsidRPr="00404774">
        <w:rPr>
          <w:rFonts w:ascii="Verdana" w:hAnsi="Verdana" w:cs="Verdana"/>
          <w:sz w:val="20"/>
          <w:szCs w:val="20"/>
          <w:lang w:val="es-ES"/>
        </w:rPr>
        <w:t>2009</w:t>
      </w:r>
      <w:r>
        <w:rPr>
          <w:rFonts w:ascii="Verdana" w:hAnsi="Verdana" w:cs="Verdana"/>
          <w:sz w:val="20"/>
          <w:szCs w:val="20"/>
          <w:lang w:val="es-ES"/>
        </w:rPr>
        <w:t xml:space="preserve">, </w:t>
      </w:r>
      <w:r w:rsidRPr="007040F4">
        <w:rPr>
          <w:rFonts w:ascii="Verdana" w:hAnsi="Verdana" w:cs="Verdana"/>
          <w:sz w:val="20"/>
          <w:szCs w:val="20"/>
          <w:lang w:val="es-ES"/>
        </w:rPr>
        <w:t>en servicio activo</w:t>
      </w:r>
      <w:r>
        <w:rPr>
          <w:rFonts w:ascii="Verdana" w:hAnsi="Verdana" w:cs="Verdana"/>
          <w:sz w:val="20"/>
          <w:szCs w:val="20"/>
          <w:lang w:val="es-ES"/>
        </w:rPr>
        <w:t xml:space="preserve"> </w:t>
      </w:r>
      <w:r w:rsidRPr="00404774">
        <w:rPr>
          <w:rFonts w:ascii="Verdana" w:hAnsi="Verdana" w:cs="Verdana"/>
          <w:sz w:val="20"/>
          <w:szCs w:val="20"/>
          <w:lang w:val="es-ES"/>
        </w:rPr>
        <w:t>restada</w:t>
      </w:r>
      <w:r w:rsidRPr="007040F4">
        <w:rPr>
          <w:rFonts w:ascii="Verdana" w:hAnsi="Verdana" w:cs="Verdana"/>
          <w:sz w:val="20"/>
          <w:szCs w:val="20"/>
          <w:lang w:val="es-ES"/>
        </w:rPr>
        <w:t xml:space="preserve"> de la cesantía que ya recibió al haber permanecido hasta julio del 2001”, y c) “el valor correspondiente de las pensiones por pagar, en los supuestos que se hubiera mantenido en servicio activo hasta el año 2009</w:t>
      </w:r>
      <w:r>
        <w:rPr>
          <w:rFonts w:ascii="Verdana" w:hAnsi="Verdana" w:cs="Verdana"/>
          <w:sz w:val="20"/>
          <w:szCs w:val="20"/>
          <w:lang w:val="es-ES"/>
        </w:rPr>
        <w:t xml:space="preserve">, </w:t>
      </w:r>
      <w:r w:rsidRPr="007040F4">
        <w:rPr>
          <w:rFonts w:ascii="Verdana" w:hAnsi="Verdana" w:cs="Verdana"/>
          <w:sz w:val="20"/>
          <w:szCs w:val="20"/>
          <w:lang w:val="es-ES"/>
        </w:rPr>
        <w:t xml:space="preserve">de julio a diciembre de 2009”. </w:t>
      </w:r>
    </w:p>
    <w:p w:rsidR="00F249DD" w:rsidRDefault="00F249DD" w:rsidP="00120F89">
      <w:pPr>
        <w:pStyle w:val="Prrafodelista"/>
        <w:ind w:left="0"/>
        <w:rPr>
          <w:rFonts w:ascii="Verdana" w:hAnsi="Verdana" w:cs="Verdana"/>
          <w:sz w:val="20"/>
          <w:szCs w:val="20"/>
          <w:lang w:val="es-ES"/>
        </w:rPr>
      </w:pPr>
    </w:p>
    <w:p w:rsidR="00F249DD" w:rsidRDefault="00F249DD">
      <w:pPr>
        <w:numPr>
          <w:ilvl w:val="0"/>
          <w:numId w:val="56"/>
        </w:numPr>
        <w:tabs>
          <w:tab w:val="clear" w:pos="1170"/>
        </w:tabs>
        <w:autoSpaceDE w:val="0"/>
        <w:autoSpaceDN w:val="0"/>
        <w:adjustRightInd w:val="0"/>
        <w:ind w:left="0"/>
        <w:jc w:val="both"/>
        <w:rPr>
          <w:rFonts w:ascii="Verdana" w:hAnsi="Verdana" w:cs="Verdana"/>
          <w:sz w:val="20"/>
          <w:szCs w:val="20"/>
          <w:lang w:val="es-ES"/>
        </w:rPr>
      </w:pPr>
      <w:r>
        <w:rPr>
          <w:rFonts w:ascii="Verdana" w:hAnsi="Verdana" w:cs="Verdana"/>
          <w:sz w:val="20"/>
          <w:szCs w:val="20"/>
          <w:lang w:val="es-ES"/>
        </w:rPr>
        <w:t>Asimismo, l</w:t>
      </w:r>
      <w:r w:rsidRPr="007040F4">
        <w:rPr>
          <w:rFonts w:ascii="Verdana" w:hAnsi="Verdana" w:cs="Verdana"/>
          <w:sz w:val="20"/>
          <w:szCs w:val="20"/>
          <w:lang w:val="es-ES"/>
        </w:rPr>
        <w:t xml:space="preserve">a Corte </w:t>
      </w:r>
      <w:r>
        <w:rPr>
          <w:rFonts w:ascii="Verdana" w:hAnsi="Verdana" w:cs="Verdana"/>
          <w:sz w:val="20"/>
          <w:szCs w:val="20"/>
          <w:lang w:val="es-ES"/>
        </w:rPr>
        <w:t>observa</w:t>
      </w:r>
      <w:r w:rsidRPr="007040F4">
        <w:rPr>
          <w:rFonts w:ascii="Verdana" w:hAnsi="Verdana" w:cs="Verdana"/>
          <w:sz w:val="20"/>
          <w:szCs w:val="20"/>
          <w:lang w:val="es-ES"/>
        </w:rPr>
        <w:t xml:space="preserve"> que el monto calculado por el Estado por daño inmaterial sufri</w:t>
      </w:r>
      <w:r>
        <w:rPr>
          <w:rFonts w:ascii="Verdana" w:hAnsi="Verdana" w:cs="Verdana"/>
          <w:sz w:val="20"/>
          <w:szCs w:val="20"/>
          <w:lang w:val="es-ES"/>
        </w:rPr>
        <w:t>do por</w:t>
      </w:r>
      <w:r w:rsidRPr="007040F4">
        <w:rPr>
          <w:rFonts w:ascii="Verdana" w:hAnsi="Verdana" w:cs="Verdana"/>
          <w:sz w:val="20"/>
          <w:szCs w:val="20"/>
          <w:lang w:val="es-ES"/>
        </w:rPr>
        <w:t xml:space="preserve"> </w:t>
      </w:r>
      <w:r>
        <w:rPr>
          <w:rFonts w:ascii="Verdana" w:hAnsi="Verdana" w:cs="Verdana"/>
          <w:sz w:val="20"/>
          <w:szCs w:val="20"/>
          <w:lang w:val="es-ES"/>
        </w:rPr>
        <w:t>el c</w:t>
      </w:r>
      <w:r w:rsidRPr="007040F4">
        <w:rPr>
          <w:rFonts w:ascii="Verdana" w:hAnsi="Verdana" w:cs="Verdana"/>
          <w:sz w:val="20"/>
          <w:szCs w:val="20"/>
          <w:lang w:val="es-ES"/>
        </w:rPr>
        <w:t>oronel Mejía</w:t>
      </w:r>
      <w:r>
        <w:rPr>
          <w:rFonts w:ascii="Verdana" w:hAnsi="Verdana" w:cs="Verdana"/>
          <w:sz w:val="20"/>
          <w:szCs w:val="20"/>
          <w:lang w:val="es-ES"/>
        </w:rPr>
        <w:t xml:space="preserve"> Idrovo</w:t>
      </w:r>
      <w:r w:rsidRPr="007040F4">
        <w:rPr>
          <w:rFonts w:ascii="Verdana" w:hAnsi="Verdana" w:cs="Verdana"/>
          <w:sz w:val="20"/>
          <w:szCs w:val="20"/>
          <w:lang w:val="es-ES"/>
        </w:rPr>
        <w:t xml:space="preserve"> </w:t>
      </w:r>
      <w:r>
        <w:rPr>
          <w:rFonts w:ascii="Verdana" w:hAnsi="Verdana" w:cs="Verdana"/>
          <w:sz w:val="20"/>
          <w:szCs w:val="20"/>
          <w:lang w:val="es-ES"/>
        </w:rPr>
        <w:t xml:space="preserve">está </w:t>
      </w:r>
      <w:r w:rsidRPr="007040F4">
        <w:rPr>
          <w:rFonts w:ascii="Verdana" w:hAnsi="Verdana" w:cs="Verdana"/>
          <w:sz w:val="20"/>
          <w:szCs w:val="20"/>
          <w:lang w:val="es-ES"/>
        </w:rPr>
        <w:t>bas</w:t>
      </w:r>
      <w:r>
        <w:rPr>
          <w:rFonts w:ascii="Verdana" w:hAnsi="Verdana" w:cs="Verdana"/>
          <w:sz w:val="20"/>
          <w:szCs w:val="20"/>
          <w:lang w:val="es-ES"/>
        </w:rPr>
        <w:t>ado</w:t>
      </w:r>
      <w:r w:rsidRPr="007040F4">
        <w:rPr>
          <w:rFonts w:ascii="Verdana" w:hAnsi="Verdana" w:cs="Verdana"/>
          <w:sz w:val="20"/>
          <w:szCs w:val="20"/>
          <w:lang w:val="es-ES"/>
        </w:rPr>
        <w:t xml:space="preserve"> en la “liquidación realizada por el ISSFA de las pensiones estimadas bajo los siguientes</w:t>
      </w:r>
      <w:r>
        <w:rPr>
          <w:rFonts w:ascii="Verdana" w:hAnsi="Verdana" w:cs="Verdana"/>
          <w:sz w:val="20"/>
          <w:szCs w:val="20"/>
          <w:lang w:val="es-ES"/>
        </w:rPr>
        <w:t xml:space="preserve"> [conceptos</w:t>
      </w:r>
      <w:r w:rsidRPr="00697451">
        <w:rPr>
          <w:rFonts w:ascii="Verdana" w:hAnsi="Verdana" w:cs="Verdana"/>
          <w:sz w:val="20"/>
          <w:szCs w:val="20"/>
          <w:lang w:val="es-CR"/>
        </w:rPr>
        <w:t>]</w:t>
      </w:r>
      <w:r w:rsidRPr="007040F4">
        <w:rPr>
          <w:rStyle w:val="Refdenotaalpie"/>
          <w:rFonts w:ascii="Verdana" w:hAnsi="Verdana"/>
          <w:sz w:val="20"/>
          <w:szCs w:val="20"/>
          <w:lang w:val="es-ES"/>
        </w:rPr>
        <w:footnoteReference w:id="114"/>
      </w:r>
      <w:r w:rsidRPr="007040F4">
        <w:rPr>
          <w:rFonts w:ascii="Verdana" w:hAnsi="Verdana" w:cs="Verdana"/>
          <w:sz w:val="20"/>
          <w:szCs w:val="20"/>
          <w:lang w:val="es-ES"/>
        </w:rPr>
        <w:t>: a) baja en junio de</w:t>
      </w:r>
      <w:r>
        <w:rPr>
          <w:rFonts w:ascii="Verdana" w:hAnsi="Verdana" w:cs="Verdana"/>
          <w:sz w:val="20"/>
          <w:szCs w:val="20"/>
          <w:lang w:val="es-ES"/>
        </w:rPr>
        <w:t>l</w:t>
      </w:r>
      <w:r w:rsidRPr="007040F4">
        <w:rPr>
          <w:rFonts w:ascii="Verdana" w:hAnsi="Verdana" w:cs="Verdana"/>
          <w:sz w:val="20"/>
          <w:szCs w:val="20"/>
          <w:lang w:val="es-ES"/>
        </w:rPr>
        <w:t xml:space="preserve"> 2009”; b) “</w:t>
      </w:r>
      <w:r>
        <w:rPr>
          <w:rFonts w:ascii="Verdana" w:hAnsi="Verdana" w:cs="Verdana"/>
          <w:sz w:val="20"/>
          <w:szCs w:val="20"/>
          <w:lang w:val="es-ES"/>
        </w:rPr>
        <w:t>[</w:t>
      </w:r>
      <w:r w:rsidRPr="007040F4">
        <w:rPr>
          <w:rFonts w:ascii="Verdana" w:hAnsi="Verdana" w:cs="Verdana"/>
          <w:sz w:val="20"/>
          <w:szCs w:val="20"/>
          <w:lang w:val="es-ES"/>
        </w:rPr>
        <w:t>g</w:t>
      </w:r>
      <w:r>
        <w:rPr>
          <w:rFonts w:ascii="Verdana" w:hAnsi="Verdana" w:cs="Verdana"/>
          <w:sz w:val="20"/>
          <w:szCs w:val="20"/>
          <w:lang w:val="es-ES"/>
        </w:rPr>
        <w:t>]</w:t>
      </w:r>
      <w:r w:rsidRPr="007040F4">
        <w:rPr>
          <w:rFonts w:ascii="Verdana" w:hAnsi="Verdana" w:cs="Verdana"/>
          <w:sz w:val="20"/>
          <w:szCs w:val="20"/>
          <w:lang w:val="es-ES"/>
        </w:rPr>
        <w:t xml:space="preserve">rado </w:t>
      </w:r>
      <w:r>
        <w:rPr>
          <w:rFonts w:ascii="Verdana" w:hAnsi="Verdana" w:cs="Verdana"/>
          <w:sz w:val="20"/>
          <w:szCs w:val="20"/>
          <w:lang w:val="es-ES"/>
        </w:rPr>
        <w:t>[</w:t>
      </w:r>
      <w:r w:rsidRPr="007040F4">
        <w:rPr>
          <w:rFonts w:ascii="Verdana" w:hAnsi="Verdana" w:cs="Verdana"/>
          <w:sz w:val="20"/>
          <w:szCs w:val="20"/>
          <w:lang w:val="es-ES"/>
        </w:rPr>
        <w:t>c</w:t>
      </w:r>
      <w:r>
        <w:rPr>
          <w:rFonts w:ascii="Verdana" w:hAnsi="Verdana" w:cs="Verdana"/>
          <w:sz w:val="20"/>
          <w:szCs w:val="20"/>
          <w:lang w:val="es-ES"/>
        </w:rPr>
        <w:t>]</w:t>
      </w:r>
      <w:r w:rsidRPr="007040F4">
        <w:rPr>
          <w:rFonts w:ascii="Verdana" w:hAnsi="Verdana" w:cs="Verdana"/>
          <w:sz w:val="20"/>
          <w:szCs w:val="20"/>
          <w:lang w:val="es-ES"/>
        </w:rPr>
        <w:t>oronel”; c) “</w:t>
      </w:r>
      <w:r>
        <w:rPr>
          <w:rFonts w:ascii="Verdana" w:hAnsi="Verdana" w:cs="Verdana"/>
          <w:sz w:val="20"/>
          <w:szCs w:val="20"/>
          <w:lang w:val="es-ES"/>
        </w:rPr>
        <w:t>[</w:t>
      </w:r>
      <w:r w:rsidRPr="007040F4">
        <w:rPr>
          <w:rFonts w:ascii="Verdana" w:hAnsi="Verdana" w:cs="Verdana"/>
          <w:sz w:val="20"/>
          <w:szCs w:val="20"/>
          <w:lang w:val="es-ES"/>
        </w:rPr>
        <w:t>t</w:t>
      </w:r>
      <w:r>
        <w:rPr>
          <w:rFonts w:ascii="Verdana" w:hAnsi="Verdana" w:cs="Verdana"/>
          <w:sz w:val="20"/>
          <w:szCs w:val="20"/>
          <w:lang w:val="es-ES"/>
        </w:rPr>
        <w:t>]</w:t>
      </w:r>
      <w:r w:rsidRPr="007040F4">
        <w:rPr>
          <w:rFonts w:ascii="Verdana" w:hAnsi="Verdana" w:cs="Verdana"/>
          <w:sz w:val="20"/>
          <w:szCs w:val="20"/>
          <w:lang w:val="es-ES"/>
        </w:rPr>
        <w:t xml:space="preserve">iempo de </w:t>
      </w:r>
      <w:r>
        <w:rPr>
          <w:rFonts w:ascii="Verdana" w:hAnsi="Verdana" w:cs="Verdana"/>
          <w:sz w:val="20"/>
          <w:szCs w:val="20"/>
          <w:lang w:val="es-ES"/>
        </w:rPr>
        <w:t>[</w:t>
      </w:r>
      <w:r w:rsidRPr="007040F4">
        <w:rPr>
          <w:rFonts w:ascii="Verdana" w:hAnsi="Verdana" w:cs="Verdana"/>
          <w:sz w:val="20"/>
          <w:szCs w:val="20"/>
          <w:lang w:val="es-ES"/>
        </w:rPr>
        <w:t>s</w:t>
      </w:r>
      <w:r>
        <w:rPr>
          <w:rFonts w:ascii="Verdana" w:hAnsi="Verdana" w:cs="Verdana"/>
          <w:sz w:val="20"/>
          <w:szCs w:val="20"/>
          <w:lang w:val="es-ES"/>
        </w:rPr>
        <w:t>]</w:t>
      </w:r>
      <w:r w:rsidRPr="007040F4">
        <w:rPr>
          <w:rFonts w:ascii="Verdana" w:hAnsi="Verdana" w:cs="Verdana"/>
          <w:sz w:val="20"/>
          <w:szCs w:val="20"/>
          <w:lang w:val="es-ES"/>
        </w:rPr>
        <w:t>ervicio 36 a</w:t>
      </w:r>
      <w:r>
        <w:rPr>
          <w:rFonts w:ascii="Verdana" w:hAnsi="Verdana" w:cs="Verdana"/>
          <w:sz w:val="20"/>
          <w:szCs w:val="20"/>
          <w:lang w:val="es-ES"/>
        </w:rPr>
        <w:t>ñ</w:t>
      </w:r>
      <w:r w:rsidRPr="007040F4">
        <w:rPr>
          <w:rFonts w:ascii="Verdana" w:hAnsi="Verdana" w:cs="Verdana"/>
          <w:sz w:val="20"/>
          <w:szCs w:val="20"/>
          <w:lang w:val="es-ES"/>
        </w:rPr>
        <w:t>os 6 meses”; d) “esperanza de vida promedio real 72 años”; e) “existencia de una lesión sufrida, de carácter afectivo y no patrimonial”</w:t>
      </w:r>
      <w:r>
        <w:rPr>
          <w:rFonts w:ascii="Verdana" w:hAnsi="Verdana" w:cs="Verdana"/>
          <w:sz w:val="20"/>
          <w:szCs w:val="20"/>
          <w:lang w:val="es-ES"/>
        </w:rPr>
        <w:t>.</w:t>
      </w:r>
      <w:r w:rsidRPr="007040F4">
        <w:rPr>
          <w:rFonts w:ascii="Verdana" w:hAnsi="Verdana" w:cs="Verdana"/>
          <w:sz w:val="20"/>
          <w:szCs w:val="20"/>
          <w:lang w:val="es-ES"/>
        </w:rPr>
        <w:t xml:space="preserve"> </w:t>
      </w:r>
    </w:p>
    <w:p w:rsidR="00F249DD" w:rsidRPr="007040F4" w:rsidRDefault="00F249DD" w:rsidP="00120F89">
      <w:pPr>
        <w:autoSpaceDE w:val="0"/>
        <w:autoSpaceDN w:val="0"/>
        <w:adjustRightInd w:val="0"/>
        <w:jc w:val="both"/>
        <w:rPr>
          <w:rFonts w:ascii="Verdana" w:hAnsi="Verdana" w:cs="Verdana"/>
          <w:sz w:val="20"/>
          <w:szCs w:val="20"/>
          <w:lang w:val="es-ES"/>
        </w:rPr>
      </w:pPr>
    </w:p>
    <w:p w:rsidR="00F249DD" w:rsidRPr="005C7CA8" w:rsidRDefault="00F249DD">
      <w:pPr>
        <w:numPr>
          <w:ilvl w:val="0"/>
          <w:numId w:val="56"/>
        </w:numPr>
        <w:tabs>
          <w:tab w:val="clear" w:pos="1170"/>
        </w:tabs>
        <w:autoSpaceDE w:val="0"/>
        <w:autoSpaceDN w:val="0"/>
        <w:adjustRightInd w:val="0"/>
        <w:ind w:left="0"/>
        <w:jc w:val="both"/>
        <w:rPr>
          <w:rFonts w:ascii="Verdana" w:hAnsi="Verdana" w:cs="Verdana"/>
          <w:sz w:val="20"/>
          <w:szCs w:val="20"/>
          <w:lang w:val="es-ES"/>
        </w:rPr>
      </w:pPr>
      <w:r w:rsidRPr="00A7150A">
        <w:rPr>
          <w:rFonts w:ascii="Verdana" w:hAnsi="Verdana" w:cs="Verdana"/>
          <w:sz w:val="20"/>
          <w:szCs w:val="20"/>
          <w:lang w:val="es-ES"/>
        </w:rPr>
        <w:t>Por otra parte, la Corte observa que los representantes señalaron, de acuerdo a lo manifestado por el Estado, que a nivel interno no había fijado ninguna cantidad de dinero a ser pagada a la víctima a título indemnizatorio y que el cálculo se había realizado a favor del ISSFA, en que incluso la víctima quedaba adeudando a dicha institución del Estado la suma de US$6.076.00 (seis mil setenta y seis</w:t>
      </w:r>
      <w:r w:rsidRPr="005C7CA8">
        <w:rPr>
          <w:rFonts w:ascii="Verdana" w:hAnsi="Verdana" w:cs="Verdana"/>
          <w:sz w:val="20"/>
          <w:szCs w:val="20"/>
          <w:lang w:val="es-ES"/>
        </w:rPr>
        <w:t xml:space="preserve"> dólares de los Estados Unidos de América) por concepto de aportes patronales e individuales desde la declaratoria de inconstitucionalidad de los decretos de disponibilidad y baja hasta la efectiva reincorporación al servicio activo del señor Mejía Idrovo, lo cual fue también expresado por Estado en la audiencia pública.</w:t>
      </w:r>
      <w:r w:rsidRPr="005C7CA8">
        <w:rPr>
          <w:rFonts w:ascii="Verdana" w:hAnsi="Verdana" w:cs="Verdana"/>
          <w:b/>
          <w:sz w:val="20"/>
          <w:szCs w:val="20"/>
          <w:lang w:val="es-ES"/>
        </w:rPr>
        <w:t xml:space="preserve"> </w:t>
      </w:r>
      <w:r w:rsidRPr="005C7CA8">
        <w:rPr>
          <w:rFonts w:ascii="Verdana" w:hAnsi="Verdana" w:cs="Verdana"/>
          <w:sz w:val="20"/>
          <w:szCs w:val="20"/>
          <w:lang w:val="es-ES"/>
        </w:rPr>
        <w:t>Este Tribunal considera que estas declaraciones del Estado no pueden restar efecto a las pruebas documentales y a las manifestaciones del Estado en el trámite ante la Comisión y la C</w:t>
      </w:r>
      <w:r>
        <w:rPr>
          <w:rFonts w:ascii="Verdana" w:hAnsi="Verdana" w:cs="Verdana"/>
          <w:sz w:val="20"/>
          <w:szCs w:val="20"/>
          <w:lang w:val="es-ES"/>
        </w:rPr>
        <w:t>orte en las que Ecuador expres</w:t>
      </w:r>
      <w:r w:rsidRPr="005C7CA8">
        <w:rPr>
          <w:rFonts w:ascii="Verdana" w:hAnsi="Verdana" w:cs="Verdana"/>
          <w:sz w:val="20"/>
          <w:szCs w:val="20"/>
          <w:lang w:val="es-ES"/>
        </w:rPr>
        <w:t xml:space="preserve">ó explícita y reiteradamente que “el monto total que se reconoció por daño material fue de [US]$194.895,81”. Dicha posición ha sido ratificada posteriormente por el Estado en los alegatos finales enviados a este Tribunal el 28 de marzo 2011. </w:t>
      </w:r>
    </w:p>
    <w:p w:rsidR="00F249DD" w:rsidRPr="007040F4" w:rsidRDefault="00F249DD" w:rsidP="00120F89">
      <w:pPr>
        <w:autoSpaceDE w:val="0"/>
        <w:autoSpaceDN w:val="0"/>
        <w:adjustRightInd w:val="0"/>
        <w:jc w:val="both"/>
        <w:rPr>
          <w:rFonts w:ascii="Verdana" w:hAnsi="Verdana" w:cs="Verdana"/>
          <w:sz w:val="20"/>
          <w:szCs w:val="20"/>
          <w:lang w:val="es-ES"/>
        </w:rPr>
      </w:pPr>
    </w:p>
    <w:p w:rsidR="00F249DD" w:rsidRPr="00A7150A" w:rsidRDefault="00F249DD">
      <w:pPr>
        <w:numPr>
          <w:ilvl w:val="0"/>
          <w:numId w:val="56"/>
        </w:numPr>
        <w:tabs>
          <w:tab w:val="clear" w:pos="1170"/>
        </w:tabs>
        <w:autoSpaceDE w:val="0"/>
        <w:autoSpaceDN w:val="0"/>
        <w:adjustRightInd w:val="0"/>
        <w:ind w:left="0"/>
        <w:jc w:val="both"/>
        <w:rPr>
          <w:rFonts w:ascii="Verdana" w:hAnsi="Verdana" w:cs="Verdana"/>
          <w:sz w:val="20"/>
          <w:szCs w:val="20"/>
          <w:lang w:val="es-ES"/>
        </w:rPr>
      </w:pPr>
      <w:r w:rsidRPr="00A7150A">
        <w:rPr>
          <w:rFonts w:ascii="Verdana" w:hAnsi="Verdana" w:cs="Verdana"/>
          <w:sz w:val="20"/>
          <w:szCs w:val="20"/>
          <w:lang w:val="es-ES"/>
        </w:rPr>
        <w:t>Además, la Corte nota que el Ministerio de Defensa –Fuerza Terrestre canceló al ISSFA la cantidad de US$570.772,86 (quinientos setenta mil setecientos setenta y dos dólares de los Estados Unidos de América con ochenta y seis centavos), a fin de habilitar las condiciones del reingreso al servicio activo del señor Mejía Idrovo</w:t>
      </w:r>
      <w:r w:rsidRPr="00A7150A">
        <w:rPr>
          <w:rStyle w:val="Refdenotaalpie"/>
          <w:rFonts w:ascii="Verdana" w:hAnsi="Verdana" w:cs="Verdana"/>
          <w:sz w:val="20"/>
          <w:szCs w:val="20"/>
          <w:lang w:val="es-ES"/>
        </w:rPr>
        <w:footnoteReference w:id="115"/>
      </w:r>
      <w:r w:rsidRPr="00A7150A">
        <w:rPr>
          <w:rFonts w:ascii="Verdana" w:hAnsi="Verdana" w:cs="Verdana"/>
          <w:sz w:val="20"/>
          <w:szCs w:val="20"/>
          <w:lang w:val="es-ES"/>
        </w:rPr>
        <w:t xml:space="preserve">. Sin embargo, este Tribunal considera que se </w:t>
      </w:r>
      <w:r w:rsidRPr="00A7150A">
        <w:rPr>
          <w:rFonts w:ascii="Verdana" w:hAnsi="Verdana" w:cs="Verdana"/>
          <w:sz w:val="20"/>
          <w:szCs w:val="20"/>
          <w:lang w:val="es-ES"/>
        </w:rPr>
        <w:lastRenderedPageBreak/>
        <w:t>desprende del expediente que hasta la presente fecha ningún pago, con o sin intermediación del ISSFA, se ha realizado directamente en favor de la víctima.</w:t>
      </w:r>
    </w:p>
    <w:p w:rsidR="00F249DD" w:rsidRPr="007040F4" w:rsidRDefault="00F249DD" w:rsidP="00120F89">
      <w:pPr>
        <w:autoSpaceDE w:val="0"/>
        <w:autoSpaceDN w:val="0"/>
        <w:adjustRightInd w:val="0"/>
        <w:jc w:val="both"/>
        <w:rPr>
          <w:rFonts w:ascii="Verdana" w:hAnsi="Verdana" w:cs="Verdana"/>
          <w:sz w:val="20"/>
          <w:szCs w:val="20"/>
          <w:lang w:val="es-ES"/>
        </w:rPr>
      </w:pPr>
    </w:p>
    <w:p w:rsidR="00F249DD" w:rsidRPr="007B12F3" w:rsidRDefault="00F249DD">
      <w:pPr>
        <w:numPr>
          <w:ilvl w:val="0"/>
          <w:numId w:val="56"/>
        </w:numPr>
        <w:tabs>
          <w:tab w:val="clear" w:pos="1170"/>
        </w:tabs>
        <w:autoSpaceDE w:val="0"/>
        <w:autoSpaceDN w:val="0"/>
        <w:adjustRightInd w:val="0"/>
        <w:ind w:left="0"/>
        <w:jc w:val="both"/>
        <w:rPr>
          <w:rFonts w:ascii="Verdana" w:hAnsi="Verdana" w:cs="Verdana"/>
          <w:sz w:val="20"/>
          <w:szCs w:val="20"/>
          <w:lang w:val="es-ES"/>
        </w:rPr>
      </w:pPr>
      <w:r w:rsidRPr="007B12F3">
        <w:rPr>
          <w:rFonts w:ascii="Verdana" w:hAnsi="Verdana" w:cs="Verdana"/>
          <w:sz w:val="20"/>
          <w:szCs w:val="20"/>
          <w:lang w:val="es-ES"/>
        </w:rPr>
        <w:t xml:space="preserve">En atención a la coincidencia entre las partes con el monto establecido por el propio Estado para reparar los daños materiales e inmateriales sufridos por la víctima, la Corte, en el presente caso, estima pertinente acoger el monto de US$ 358.033,59 (trescientos cincuenta y ocho mil treinta y tres dólares de los Estados Unidos de América con cincuenta y nueve centavos) </w:t>
      </w:r>
      <w:r w:rsidRPr="00EB4602">
        <w:rPr>
          <w:rFonts w:ascii="Verdana" w:hAnsi="Verdana" w:cs="Verdana"/>
          <w:sz w:val="20"/>
          <w:szCs w:val="20"/>
          <w:lang w:val="es-ES"/>
        </w:rPr>
        <w:t>propuesto por Ecuador, el cual se encuentra calculado hasta junio de 2009. Posteriormente, el Estado remitió a la Corte nueva información</w:t>
      </w:r>
      <w:r w:rsidRPr="00EB4602">
        <w:rPr>
          <w:rStyle w:val="Refdenotaalpie"/>
          <w:rFonts w:ascii="Verdana" w:hAnsi="Verdana" w:cs="Verdana"/>
          <w:sz w:val="20"/>
          <w:szCs w:val="20"/>
          <w:lang w:val="es-ES"/>
        </w:rPr>
        <w:footnoteReference w:id="116"/>
      </w:r>
      <w:r w:rsidRPr="00EB4602">
        <w:rPr>
          <w:rFonts w:ascii="Verdana" w:hAnsi="Verdana" w:cs="Verdana"/>
          <w:sz w:val="20"/>
          <w:szCs w:val="20"/>
          <w:lang w:val="es-ES"/>
        </w:rPr>
        <w:t xml:space="preserve"> que incluye lo que correspondería al período comprendido entre junio de 2009 a septiembre de 2010 hasta la reincorporación del señor Mejía Idrovo a las fuerzas armadas. Teniendo en cuenta los parámetros del cálculo remitido por el Estado, este Tribunal fija, en equidad, la cantidad de US$26,000.00 (</w:t>
      </w:r>
      <w:r w:rsidRPr="00EB4602">
        <w:rPr>
          <w:rFonts w:ascii="Verdana" w:hAnsi="Verdana" w:cs="Verdana"/>
          <w:bCs/>
          <w:sz w:val="20"/>
          <w:szCs w:val="20"/>
          <w:lang w:val="es-ES"/>
        </w:rPr>
        <w:t xml:space="preserve">veintiséis mil </w:t>
      </w:r>
      <w:r w:rsidRPr="00EB4602">
        <w:rPr>
          <w:rFonts w:ascii="Verdana" w:hAnsi="Verdana" w:cs="Verdana"/>
          <w:sz w:val="20"/>
          <w:szCs w:val="20"/>
          <w:lang w:val="es-ES"/>
        </w:rPr>
        <w:t xml:space="preserve">dólares de los Estados Unidos de América) por el mencionado período, que se adiciona al monto por concepto de daño material antes indicado. Por lo tanto, la Corte considera que el Estado debe pagar al señor Mejía Idrovo la suma total de US$384,033.59 (trescientos ochenta y cuatro mil treinta y tres dólares de los Estados Unidos de América con cincuenta y nueve centavos) a título de </w:t>
      </w:r>
      <w:r w:rsidRPr="00EB4602">
        <w:rPr>
          <w:rFonts w:ascii="Verdana" w:hAnsi="Verdana"/>
          <w:sz w:val="20"/>
          <w:szCs w:val="20"/>
          <w:lang w:val="es-ES"/>
        </w:rPr>
        <w:t>indemnización compensatoria por los daños materiales e inmateriales</w:t>
      </w:r>
      <w:r w:rsidRPr="00EB4602">
        <w:rPr>
          <w:rFonts w:ascii="Verdana" w:hAnsi="Verdana" w:cs="Verdana"/>
          <w:sz w:val="20"/>
          <w:szCs w:val="20"/>
          <w:lang w:val="es-ES"/>
        </w:rPr>
        <w:t>. Dicho</w:t>
      </w:r>
      <w:r w:rsidRPr="007B12F3">
        <w:rPr>
          <w:rFonts w:ascii="Verdana" w:hAnsi="Verdana" w:cs="Verdana"/>
          <w:sz w:val="20"/>
          <w:szCs w:val="20"/>
          <w:lang w:val="es-ES"/>
        </w:rPr>
        <w:t xml:space="preserve"> monto deberá ser pagado al señor Mejía Idrovo en el plazo de un año, a partir de la notificación de la presente Sentencia, sin la aplicación de ningún descuento o deducción por concepto de impuestos.</w:t>
      </w:r>
    </w:p>
    <w:p w:rsidR="00F249DD" w:rsidRPr="007040F4" w:rsidRDefault="00F249DD" w:rsidP="00120F89">
      <w:pPr>
        <w:autoSpaceDE w:val="0"/>
        <w:autoSpaceDN w:val="0"/>
        <w:adjustRightInd w:val="0"/>
        <w:jc w:val="both"/>
        <w:rPr>
          <w:rFonts w:ascii="Verdana" w:hAnsi="Verdana" w:cs="Verdana"/>
          <w:sz w:val="20"/>
          <w:szCs w:val="20"/>
          <w:highlight w:val="yellow"/>
          <w:lang w:val="es-ES"/>
        </w:rPr>
      </w:pPr>
    </w:p>
    <w:p w:rsidR="00F249DD" w:rsidRPr="007040F4" w:rsidRDefault="00F249DD" w:rsidP="00120F89">
      <w:pPr>
        <w:pStyle w:val="Ttulo2"/>
        <w:numPr>
          <w:ilvl w:val="0"/>
          <w:numId w:val="30"/>
        </w:numPr>
        <w:rPr>
          <w:lang w:val="es-ES"/>
        </w:rPr>
      </w:pPr>
      <w:bookmarkStart w:id="354" w:name="_Toc294634500"/>
      <w:bookmarkStart w:id="355" w:name="_Toc294635328"/>
      <w:bookmarkStart w:id="356" w:name="_Toc294862721"/>
      <w:bookmarkStart w:id="357" w:name="_Toc294862784"/>
      <w:bookmarkStart w:id="358" w:name="_Toc295380335"/>
      <w:bookmarkStart w:id="359" w:name="_Toc295394487"/>
      <w:bookmarkStart w:id="360" w:name="_Toc295394641"/>
      <w:bookmarkStart w:id="361" w:name="_Toc295986093"/>
      <w:bookmarkStart w:id="362" w:name="_Toc295986310"/>
      <w:bookmarkStart w:id="363" w:name="_Toc295986430"/>
      <w:r w:rsidRPr="004727E4">
        <w:rPr>
          <w:lang w:val="es-ES"/>
        </w:rPr>
        <w:t>Co</w:t>
      </w:r>
      <w:r w:rsidRPr="007040F4">
        <w:rPr>
          <w:lang w:val="es-ES"/>
        </w:rPr>
        <w:t>stas y Gastos</w:t>
      </w:r>
      <w:bookmarkEnd w:id="354"/>
      <w:bookmarkEnd w:id="355"/>
      <w:bookmarkEnd w:id="356"/>
      <w:bookmarkEnd w:id="357"/>
      <w:bookmarkEnd w:id="358"/>
      <w:bookmarkEnd w:id="359"/>
      <w:bookmarkEnd w:id="360"/>
      <w:bookmarkEnd w:id="361"/>
      <w:bookmarkEnd w:id="362"/>
      <w:bookmarkEnd w:id="363"/>
    </w:p>
    <w:p w:rsidR="00F249DD" w:rsidRPr="007040F4" w:rsidRDefault="00F249DD" w:rsidP="00120F89">
      <w:pPr>
        <w:autoSpaceDE w:val="0"/>
        <w:autoSpaceDN w:val="0"/>
        <w:adjustRightInd w:val="0"/>
        <w:jc w:val="both"/>
        <w:rPr>
          <w:rFonts w:ascii="Verdana" w:hAnsi="Verdana" w:cs="Verdana"/>
          <w:sz w:val="20"/>
          <w:szCs w:val="20"/>
          <w:highlight w:val="yellow"/>
          <w:lang w:val="es-ES"/>
        </w:rPr>
      </w:pPr>
    </w:p>
    <w:p w:rsidR="00F249DD" w:rsidRDefault="00F249DD">
      <w:pPr>
        <w:numPr>
          <w:ilvl w:val="0"/>
          <w:numId w:val="56"/>
        </w:numPr>
        <w:tabs>
          <w:tab w:val="clear" w:pos="1170"/>
        </w:tabs>
        <w:autoSpaceDE w:val="0"/>
        <w:autoSpaceDN w:val="0"/>
        <w:adjustRightInd w:val="0"/>
        <w:ind w:left="0"/>
        <w:jc w:val="both"/>
        <w:rPr>
          <w:rFonts w:ascii="Verdana" w:hAnsi="Verdana" w:cs="Verdana"/>
          <w:sz w:val="20"/>
          <w:szCs w:val="20"/>
          <w:lang w:val="es-ES"/>
        </w:rPr>
      </w:pPr>
      <w:r w:rsidRPr="007040F4">
        <w:rPr>
          <w:rFonts w:ascii="Verdana" w:hAnsi="Verdana" w:cs="Verdana"/>
          <w:sz w:val="20"/>
          <w:szCs w:val="20"/>
          <w:lang w:val="es-ES"/>
        </w:rPr>
        <w:t>Como ya lo ha señalado la Corte en oportunidades anteriores, las costas y gastos están comprendidos dentro del concepto de reparación establecido en el artículo 63.1 de la Convención Americana</w:t>
      </w:r>
      <w:r w:rsidRPr="007040F4">
        <w:rPr>
          <w:rFonts w:ascii="Verdana" w:hAnsi="Verdana" w:cs="Verdana"/>
          <w:sz w:val="20"/>
          <w:szCs w:val="20"/>
          <w:vertAlign w:val="superscript"/>
          <w:lang w:val="es-ES"/>
        </w:rPr>
        <w:footnoteReference w:id="117"/>
      </w:r>
      <w:r w:rsidRPr="007040F4">
        <w:rPr>
          <w:rFonts w:ascii="Verdana" w:hAnsi="Verdana" w:cs="Verdana"/>
          <w:sz w:val="20"/>
          <w:szCs w:val="20"/>
          <w:lang w:val="es-ES"/>
        </w:rPr>
        <w:t xml:space="preserve">. </w:t>
      </w:r>
    </w:p>
    <w:p w:rsidR="00F249DD" w:rsidRPr="007040F4" w:rsidRDefault="00F249DD" w:rsidP="00120F89">
      <w:pPr>
        <w:autoSpaceDE w:val="0"/>
        <w:autoSpaceDN w:val="0"/>
        <w:adjustRightInd w:val="0"/>
        <w:jc w:val="both"/>
        <w:rPr>
          <w:rFonts w:ascii="Verdana" w:hAnsi="Verdana" w:cs="Verdana"/>
          <w:sz w:val="20"/>
          <w:szCs w:val="20"/>
          <w:lang w:val="es-ES"/>
        </w:rPr>
      </w:pPr>
    </w:p>
    <w:p w:rsidR="00F249DD" w:rsidRDefault="00F249DD">
      <w:pPr>
        <w:numPr>
          <w:ilvl w:val="0"/>
          <w:numId w:val="56"/>
        </w:numPr>
        <w:tabs>
          <w:tab w:val="clear" w:pos="1170"/>
        </w:tabs>
        <w:autoSpaceDE w:val="0"/>
        <w:autoSpaceDN w:val="0"/>
        <w:adjustRightInd w:val="0"/>
        <w:ind w:left="0"/>
        <w:jc w:val="both"/>
        <w:rPr>
          <w:rFonts w:ascii="Verdana" w:hAnsi="Verdana" w:cs="Verdana"/>
          <w:sz w:val="20"/>
          <w:szCs w:val="20"/>
          <w:lang w:val="es-ES"/>
        </w:rPr>
      </w:pPr>
      <w:r w:rsidRPr="007040F4">
        <w:rPr>
          <w:rFonts w:ascii="Verdana" w:hAnsi="Verdana" w:cs="Verdana"/>
          <w:sz w:val="20"/>
          <w:szCs w:val="20"/>
          <w:lang w:val="es-ES"/>
        </w:rPr>
        <w:t xml:space="preserve">La Comisión solicitó que “una vez escuchados los representantes de la víctima”, </w:t>
      </w:r>
      <w:r>
        <w:rPr>
          <w:rFonts w:ascii="Verdana" w:hAnsi="Verdana" w:cs="Verdana"/>
          <w:sz w:val="20"/>
          <w:szCs w:val="20"/>
          <w:lang w:val="es-ES"/>
        </w:rPr>
        <w:t xml:space="preserve">el Tribunal </w:t>
      </w:r>
      <w:r w:rsidRPr="007040F4">
        <w:rPr>
          <w:rFonts w:ascii="Verdana" w:hAnsi="Verdana" w:cs="Verdana"/>
          <w:sz w:val="20"/>
          <w:szCs w:val="20"/>
          <w:lang w:val="es-ES"/>
        </w:rPr>
        <w:t xml:space="preserve">ordene al Estado el pago de las costas </w:t>
      </w:r>
      <w:r>
        <w:rPr>
          <w:rFonts w:ascii="Verdana" w:hAnsi="Verdana" w:cs="Verdana"/>
          <w:sz w:val="20"/>
          <w:szCs w:val="20"/>
          <w:lang w:val="es-ES"/>
        </w:rPr>
        <w:t xml:space="preserve">originadas a nivel nacional, así como las originadas en la tramitación del caso </w:t>
      </w:r>
      <w:r w:rsidRPr="007040F4">
        <w:rPr>
          <w:rFonts w:ascii="Verdana" w:hAnsi="Verdana" w:cs="Verdana"/>
          <w:sz w:val="20"/>
          <w:szCs w:val="20"/>
          <w:lang w:val="es-ES"/>
        </w:rPr>
        <w:t xml:space="preserve">ante </w:t>
      </w:r>
      <w:r>
        <w:rPr>
          <w:rFonts w:ascii="Verdana" w:hAnsi="Verdana" w:cs="Verdana"/>
          <w:sz w:val="20"/>
          <w:szCs w:val="20"/>
          <w:lang w:val="es-ES"/>
        </w:rPr>
        <w:t>la Comisión y las que se originen como consecuencia de su tramitación ante la Corte debidamente probadas por los representantes.</w:t>
      </w:r>
    </w:p>
    <w:p w:rsidR="00F249DD" w:rsidRPr="007040F4" w:rsidRDefault="00F249DD" w:rsidP="00120F89">
      <w:pPr>
        <w:autoSpaceDE w:val="0"/>
        <w:autoSpaceDN w:val="0"/>
        <w:adjustRightInd w:val="0"/>
        <w:jc w:val="both"/>
        <w:rPr>
          <w:rFonts w:ascii="Verdana" w:hAnsi="Verdana" w:cs="Verdana"/>
          <w:sz w:val="20"/>
          <w:szCs w:val="20"/>
          <w:lang w:val="es-ES"/>
        </w:rPr>
      </w:pPr>
    </w:p>
    <w:p w:rsidR="00F249DD" w:rsidRDefault="00F249DD">
      <w:pPr>
        <w:numPr>
          <w:ilvl w:val="0"/>
          <w:numId w:val="56"/>
        </w:numPr>
        <w:tabs>
          <w:tab w:val="clear" w:pos="1170"/>
        </w:tabs>
        <w:autoSpaceDE w:val="0"/>
        <w:autoSpaceDN w:val="0"/>
        <w:adjustRightInd w:val="0"/>
        <w:ind w:left="0"/>
        <w:jc w:val="both"/>
        <w:rPr>
          <w:rFonts w:ascii="Verdana" w:hAnsi="Verdana" w:cs="Verdana"/>
          <w:sz w:val="20"/>
          <w:szCs w:val="20"/>
          <w:lang w:val="es-ES"/>
        </w:rPr>
      </w:pPr>
      <w:r w:rsidRPr="007040F4">
        <w:rPr>
          <w:rFonts w:ascii="Verdana" w:hAnsi="Verdana" w:cs="Verdana"/>
          <w:sz w:val="20"/>
          <w:szCs w:val="20"/>
          <w:lang w:val="es-ES"/>
        </w:rPr>
        <w:t>Los representantes solicita</w:t>
      </w:r>
      <w:r>
        <w:rPr>
          <w:rFonts w:ascii="Verdana" w:hAnsi="Verdana" w:cs="Verdana"/>
          <w:sz w:val="20"/>
          <w:szCs w:val="20"/>
          <w:lang w:val="es-ES"/>
        </w:rPr>
        <w:t>ron</w:t>
      </w:r>
      <w:r w:rsidRPr="007040F4">
        <w:rPr>
          <w:rFonts w:ascii="Verdana" w:hAnsi="Verdana" w:cs="Verdana"/>
          <w:sz w:val="20"/>
          <w:szCs w:val="20"/>
          <w:lang w:val="es-ES"/>
        </w:rPr>
        <w:t xml:space="preserve"> a la Corte que ordene al Estado reintegrar los gastos y costas en que incurrió la víctima por concepto de asesoría legal realizados para su defensa en los procesos llevados a cabo a nivel interno e internacional. </w:t>
      </w:r>
      <w:r w:rsidRPr="00955773">
        <w:rPr>
          <w:rFonts w:ascii="Verdana" w:hAnsi="Verdana" w:cs="Verdana"/>
          <w:sz w:val="20"/>
          <w:szCs w:val="20"/>
          <w:lang w:val="es-ES"/>
        </w:rPr>
        <w:t xml:space="preserve">En específico, en su escrito de solicitudes y argumentos solicitaron el reintegro de los gastos realizados por CEDHU con motivo de su representación ante las instancias internacionales, principalmente relativo a costos de comunicaciones y viajes realizados por un abogado de dicha representación durante la tramitación del caso ante la Comisión y </w:t>
      </w:r>
      <w:r>
        <w:rPr>
          <w:rFonts w:ascii="Verdana" w:hAnsi="Verdana" w:cs="Verdana"/>
          <w:sz w:val="20"/>
          <w:szCs w:val="20"/>
          <w:lang w:val="es-ES"/>
        </w:rPr>
        <w:t xml:space="preserve">consideraron los gastos en que incurrían en el trámite </w:t>
      </w:r>
      <w:r w:rsidRPr="00955773">
        <w:rPr>
          <w:rFonts w:ascii="Verdana" w:hAnsi="Verdana" w:cs="Verdana"/>
          <w:sz w:val="20"/>
          <w:szCs w:val="20"/>
          <w:lang w:val="es-ES"/>
        </w:rPr>
        <w:t>ante esta Corte</w:t>
      </w:r>
      <w:r>
        <w:rPr>
          <w:rFonts w:ascii="Verdana" w:hAnsi="Verdana" w:cs="Verdana"/>
          <w:sz w:val="20"/>
          <w:szCs w:val="20"/>
          <w:lang w:val="es-ES"/>
        </w:rPr>
        <w:t>. En consecuencia, solicitaron</w:t>
      </w:r>
      <w:r w:rsidRPr="00955773">
        <w:rPr>
          <w:rFonts w:ascii="Verdana" w:hAnsi="Verdana" w:cs="Verdana"/>
          <w:sz w:val="20"/>
          <w:szCs w:val="20"/>
          <w:lang w:val="es-ES"/>
        </w:rPr>
        <w:t xml:space="preserve"> </w:t>
      </w:r>
      <w:r>
        <w:rPr>
          <w:rFonts w:ascii="Verdana" w:hAnsi="Verdana" w:cs="Verdana"/>
          <w:sz w:val="20"/>
          <w:szCs w:val="20"/>
          <w:lang w:val="es-ES"/>
        </w:rPr>
        <w:t xml:space="preserve">que la Corte ordene el pago de costas y gastos </w:t>
      </w:r>
      <w:r w:rsidRPr="00955773">
        <w:rPr>
          <w:rFonts w:ascii="Verdana" w:hAnsi="Verdana" w:cs="Verdana"/>
          <w:sz w:val="20"/>
          <w:szCs w:val="20"/>
          <w:lang w:val="es-ES"/>
        </w:rPr>
        <w:t>por un</w:t>
      </w:r>
      <w:r>
        <w:rPr>
          <w:rFonts w:ascii="Verdana" w:hAnsi="Verdana" w:cs="Verdana"/>
          <w:sz w:val="20"/>
          <w:szCs w:val="20"/>
          <w:lang w:val="es-ES"/>
        </w:rPr>
        <w:t xml:space="preserve"> monto</w:t>
      </w:r>
      <w:r w:rsidRPr="00955773">
        <w:rPr>
          <w:rFonts w:ascii="Verdana" w:hAnsi="Verdana" w:cs="Verdana"/>
          <w:sz w:val="20"/>
          <w:szCs w:val="20"/>
          <w:lang w:val="es-ES"/>
        </w:rPr>
        <w:t xml:space="preserve"> de US$15,000.00 (quince mil dólares de los Estados Unidos de América). </w:t>
      </w:r>
      <w:r w:rsidRPr="00955773">
        <w:rPr>
          <w:rFonts w:ascii="Verdana" w:hAnsi="Verdana" w:cs="Verdana"/>
          <w:sz w:val="20"/>
          <w:szCs w:val="20"/>
          <w:lang w:val="es-ES"/>
        </w:rPr>
        <w:lastRenderedPageBreak/>
        <w:t>Posteriormente, en</w:t>
      </w:r>
      <w:r w:rsidRPr="007040F4">
        <w:rPr>
          <w:rFonts w:ascii="Verdana" w:hAnsi="Verdana" w:cs="Verdana"/>
          <w:sz w:val="20"/>
          <w:szCs w:val="20"/>
          <w:lang w:val="es-ES"/>
        </w:rPr>
        <w:t xml:space="preserve"> su escrito de alegatos finales, </w:t>
      </w:r>
      <w:r w:rsidRPr="00FC3247">
        <w:rPr>
          <w:rFonts w:ascii="Verdana" w:hAnsi="Verdana" w:cs="Verdana"/>
          <w:sz w:val="20"/>
          <w:szCs w:val="20"/>
          <w:lang w:val="es-ES"/>
        </w:rPr>
        <w:t>señalaron que el señor Mejía Idrovo contrató</w:t>
      </w:r>
      <w:r>
        <w:rPr>
          <w:rFonts w:ascii="Verdana" w:hAnsi="Verdana" w:cs="Verdana"/>
          <w:sz w:val="20"/>
          <w:szCs w:val="20"/>
          <w:lang w:val="es-ES"/>
        </w:rPr>
        <w:t xml:space="preserve"> </w:t>
      </w:r>
      <w:r w:rsidRPr="007040F4">
        <w:rPr>
          <w:rFonts w:ascii="Verdana" w:hAnsi="Verdana" w:cs="Verdana"/>
          <w:sz w:val="20"/>
          <w:szCs w:val="20"/>
          <w:lang w:val="es-ES"/>
        </w:rPr>
        <w:t xml:space="preserve">los servicios profesionales del </w:t>
      </w:r>
      <w:r>
        <w:rPr>
          <w:rFonts w:ascii="Verdana" w:hAnsi="Verdana" w:cs="Verdana"/>
          <w:sz w:val="20"/>
          <w:szCs w:val="20"/>
          <w:lang w:val="es-ES"/>
        </w:rPr>
        <w:t>señor</w:t>
      </w:r>
      <w:r w:rsidRPr="007040F4">
        <w:rPr>
          <w:rFonts w:ascii="Verdana" w:hAnsi="Verdana" w:cs="Verdana"/>
          <w:sz w:val="20"/>
          <w:szCs w:val="20"/>
          <w:lang w:val="es-ES"/>
        </w:rPr>
        <w:t xml:space="preserve"> Edison Burbano Portilla por la cantidad de US$30.000</w:t>
      </w:r>
      <w:r>
        <w:rPr>
          <w:rFonts w:ascii="Verdana" w:hAnsi="Verdana" w:cs="Verdana"/>
          <w:sz w:val="20"/>
          <w:szCs w:val="20"/>
          <w:lang w:val="es-ES"/>
        </w:rPr>
        <w:t xml:space="preserve">,00 (treinta mil dólares de los Estados Unidos de América), </w:t>
      </w:r>
      <w:r w:rsidRPr="00FC3247">
        <w:rPr>
          <w:rFonts w:ascii="Verdana" w:hAnsi="Verdana" w:cs="Verdana"/>
          <w:sz w:val="20"/>
          <w:szCs w:val="20"/>
          <w:lang w:val="es-ES"/>
        </w:rPr>
        <w:t>los cuales serían pagaderos una vez el señor Mejía Idrovo fuera integrado al servicio activo, y se le reconozcan los daños causados,</w:t>
      </w:r>
      <w:r>
        <w:rPr>
          <w:rFonts w:ascii="Verdana" w:hAnsi="Verdana" w:cs="Verdana"/>
          <w:sz w:val="20"/>
          <w:szCs w:val="20"/>
          <w:lang w:val="es-ES"/>
        </w:rPr>
        <w:t xml:space="preserve"> </w:t>
      </w:r>
      <w:r w:rsidRPr="007040F4">
        <w:rPr>
          <w:rFonts w:ascii="Verdana" w:hAnsi="Verdana" w:cs="Verdana"/>
          <w:sz w:val="20"/>
          <w:szCs w:val="20"/>
          <w:lang w:val="es-ES"/>
        </w:rPr>
        <w:t>y</w:t>
      </w:r>
      <w:r>
        <w:rPr>
          <w:rFonts w:ascii="Verdana" w:hAnsi="Verdana" w:cs="Verdana"/>
          <w:sz w:val="20"/>
          <w:szCs w:val="20"/>
          <w:lang w:val="es-ES"/>
        </w:rPr>
        <w:t xml:space="preserve"> remitieron los comprobantes</w:t>
      </w:r>
      <w:r w:rsidRPr="007040F4">
        <w:rPr>
          <w:rFonts w:ascii="Verdana" w:hAnsi="Verdana" w:cs="Verdana"/>
          <w:sz w:val="20"/>
          <w:szCs w:val="20"/>
          <w:lang w:val="es-ES"/>
        </w:rPr>
        <w:t xml:space="preserve"> de los gastos de pasajes </w:t>
      </w:r>
      <w:r>
        <w:rPr>
          <w:rFonts w:ascii="Verdana" w:hAnsi="Verdana" w:cs="Verdana"/>
          <w:sz w:val="20"/>
          <w:szCs w:val="20"/>
          <w:lang w:val="es-ES"/>
        </w:rPr>
        <w:t xml:space="preserve">aéreos </w:t>
      </w:r>
      <w:r w:rsidRPr="007040F4">
        <w:rPr>
          <w:rFonts w:ascii="Verdana" w:hAnsi="Verdana" w:cs="Verdana"/>
          <w:sz w:val="20"/>
          <w:szCs w:val="20"/>
          <w:lang w:val="es-ES"/>
        </w:rPr>
        <w:t xml:space="preserve">del </w:t>
      </w:r>
      <w:r>
        <w:rPr>
          <w:rFonts w:ascii="Verdana" w:hAnsi="Verdana" w:cs="Verdana"/>
          <w:sz w:val="20"/>
          <w:szCs w:val="20"/>
          <w:lang w:val="es-ES"/>
        </w:rPr>
        <w:t>c</w:t>
      </w:r>
      <w:r w:rsidRPr="007040F4">
        <w:rPr>
          <w:rFonts w:ascii="Verdana" w:hAnsi="Verdana" w:cs="Verdana"/>
          <w:sz w:val="20"/>
          <w:szCs w:val="20"/>
          <w:lang w:val="es-ES"/>
        </w:rPr>
        <w:t xml:space="preserve">oronel Mejía Idrovo y de su abogado Xavier Mejía para trasladarse a una sesión de trabajo a la Comisión Interamericana </w:t>
      </w:r>
      <w:r>
        <w:rPr>
          <w:rFonts w:ascii="Verdana" w:hAnsi="Verdana" w:cs="Verdana"/>
          <w:sz w:val="20"/>
          <w:szCs w:val="20"/>
          <w:lang w:val="es-ES"/>
        </w:rPr>
        <w:t xml:space="preserve">en el año 2008, así como los comprobantes relativos a los gastos incurridos para su asistencia </w:t>
      </w:r>
      <w:r w:rsidRPr="007040F4">
        <w:rPr>
          <w:rFonts w:ascii="Verdana" w:hAnsi="Verdana" w:cs="Verdana"/>
          <w:sz w:val="20"/>
          <w:szCs w:val="20"/>
          <w:lang w:val="es-ES"/>
        </w:rPr>
        <w:t xml:space="preserve">a la audiencia </w:t>
      </w:r>
      <w:r>
        <w:rPr>
          <w:rFonts w:ascii="Verdana" w:hAnsi="Verdana" w:cs="Verdana"/>
          <w:sz w:val="20"/>
          <w:szCs w:val="20"/>
          <w:lang w:val="es-ES"/>
        </w:rPr>
        <w:t xml:space="preserve">pública </w:t>
      </w:r>
      <w:r w:rsidRPr="007040F4">
        <w:rPr>
          <w:rFonts w:ascii="Verdana" w:hAnsi="Verdana" w:cs="Verdana"/>
          <w:sz w:val="20"/>
          <w:szCs w:val="20"/>
          <w:lang w:val="es-ES"/>
        </w:rPr>
        <w:t>ante esta Corte por la cantidad de US$4.022,88</w:t>
      </w:r>
      <w:r>
        <w:rPr>
          <w:rFonts w:ascii="Verdana" w:hAnsi="Verdana" w:cs="Verdana"/>
          <w:sz w:val="20"/>
          <w:szCs w:val="20"/>
          <w:lang w:val="es-ES"/>
        </w:rPr>
        <w:t xml:space="preserve"> (cuatro mil veintidós dólares de los Estados Unidos de América)</w:t>
      </w:r>
      <w:r w:rsidRPr="007040F4">
        <w:rPr>
          <w:rFonts w:ascii="Verdana" w:hAnsi="Verdana" w:cs="Verdana"/>
          <w:sz w:val="20"/>
          <w:szCs w:val="20"/>
          <w:lang w:val="es-ES"/>
        </w:rPr>
        <w:t>. En suma, los representantes solicita</w:t>
      </w:r>
      <w:r>
        <w:rPr>
          <w:rFonts w:ascii="Verdana" w:hAnsi="Verdana" w:cs="Verdana"/>
          <w:sz w:val="20"/>
          <w:szCs w:val="20"/>
          <w:lang w:val="es-ES"/>
        </w:rPr>
        <w:t>ron</w:t>
      </w:r>
      <w:r w:rsidRPr="007040F4">
        <w:rPr>
          <w:rFonts w:ascii="Verdana" w:hAnsi="Verdana" w:cs="Verdana"/>
          <w:sz w:val="20"/>
          <w:szCs w:val="20"/>
          <w:lang w:val="es-ES"/>
        </w:rPr>
        <w:t xml:space="preserve"> el reembolso de gastos por un total aproximado de US$34.000</w:t>
      </w:r>
      <w:r>
        <w:rPr>
          <w:rFonts w:ascii="Verdana" w:hAnsi="Verdana" w:cs="Verdana"/>
          <w:sz w:val="20"/>
          <w:szCs w:val="20"/>
          <w:lang w:val="es-ES"/>
        </w:rPr>
        <w:t>,00</w:t>
      </w:r>
      <w:r w:rsidRPr="007040F4">
        <w:rPr>
          <w:rFonts w:ascii="Verdana" w:hAnsi="Verdana" w:cs="Verdana"/>
          <w:sz w:val="20"/>
          <w:szCs w:val="20"/>
          <w:lang w:val="es-ES"/>
        </w:rPr>
        <w:t xml:space="preserve"> (tre</w:t>
      </w:r>
      <w:r>
        <w:rPr>
          <w:rFonts w:ascii="Verdana" w:hAnsi="Verdana" w:cs="Verdana"/>
          <w:sz w:val="20"/>
          <w:szCs w:val="20"/>
          <w:lang w:val="es-ES"/>
        </w:rPr>
        <w:t>i</w:t>
      </w:r>
      <w:r w:rsidRPr="007040F4">
        <w:rPr>
          <w:rFonts w:ascii="Verdana" w:hAnsi="Verdana" w:cs="Verdana"/>
          <w:sz w:val="20"/>
          <w:szCs w:val="20"/>
          <w:lang w:val="es-ES"/>
        </w:rPr>
        <w:t>nt</w:t>
      </w:r>
      <w:r>
        <w:rPr>
          <w:rFonts w:ascii="Verdana" w:hAnsi="Verdana" w:cs="Verdana"/>
          <w:sz w:val="20"/>
          <w:szCs w:val="20"/>
          <w:lang w:val="es-ES"/>
        </w:rPr>
        <w:t>a y</w:t>
      </w:r>
      <w:r w:rsidRPr="007040F4">
        <w:rPr>
          <w:rFonts w:ascii="Verdana" w:hAnsi="Verdana" w:cs="Verdana"/>
          <w:sz w:val="20"/>
          <w:szCs w:val="20"/>
          <w:lang w:val="es-ES"/>
        </w:rPr>
        <w:t xml:space="preserve"> cuatro mil dólares de los Estados Unidos de América). Respecto de gastos realizados por CEDHU</w:t>
      </w:r>
      <w:r w:rsidRPr="00955773">
        <w:rPr>
          <w:rFonts w:ascii="Verdana" w:hAnsi="Verdana" w:cs="Verdana"/>
          <w:sz w:val="20"/>
          <w:szCs w:val="20"/>
          <w:lang w:val="es-ES"/>
        </w:rPr>
        <w:t xml:space="preserve">, en el trámite internacional y equivalente a nueve años de litigio, </w:t>
      </w:r>
      <w:r w:rsidRPr="007040F4">
        <w:rPr>
          <w:rFonts w:ascii="Verdana" w:hAnsi="Verdana" w:cs="Verdana"/>
          <w:sz w:val="20"/>
          <w:szCs w:val="20"/>
          <w:lang w:val="es-ES"/>
        </w:rPr>
        <w:t>los representantes, remiti</w:t>
      </w:r>
      <w:r>
        <w:rPr>
          <w:rFonts w:ascii="Verdana" w:hAnsi="Verdana" w:cs="Verdana"/>
          <w:sz w:val="20"/>
          <w:szCs w:val="20"/>
          <w:lang w:val="es-ES"/>
        </w:rPr>
        <w:t>eron</w:t>
      </w:r>
      <w:r w:rsidRPr="007040F4">
        <w:rPr>
          <w:rFonts w:ascii="Verdana" w:hAnsi="Verdana" w:cs="Verdana"/>
          <w:sz w:val="20"/>
          <w:szCs w:val="20"/>
          <w:lang w:val="es-ES"/>
        </w:rPr>
        <w:t xml:space="preserve"> “alguna información disponible respecto a gastos ante la Comisión y </w:t>
      </w:r>
      <w:r>
        <w:rPr>
          <w:rFonts w:ascii="Verdana" w:hAnsi="Verdana" w:cs="Verdana"/>
          <w:sz w:val="20"/>
          <w:szCs w:val="20"/>
          <w:lang w:val="es-ES"/>
        </w:rPr>
        <w:t>[</w:t>
      </w:r>
      <w:r w:rsidRPr="007040F4">
        <w:rPr>
          <w:rFonts w:ascii="Verdana" w:hAnsi="Verdana" w:cs="Verdana"/>
          <w:sz w:val="20"/>
          <w:szCs w:val="20"/>
          <w:lang w:val="es-ES"/>
        </w:rPr>
        <w:t>…</w:t>
      </w:r>
      <w:r>
        <w:rPr>
          <w:rFonts w:ascii="Verdana" w:hAnsi="Verdana" w:cs="Verdana"/>
          <w:sz w:val="20"/>
          <w:szCs w:val="20"/>
          <w:lang w:val="es-ES"/>
        </w:rPr>
        <w:t xml:space="preserve">] </w:t>
      </w:r>
      <w:r w:rsidRPr="007040F4">
        <w:rPr>
          <w:rFonts w:ascii="Verdana" w:hAnsi="Verdana" w:cs="Verdana"/>
          <w:sz w:val="20"/>
          <w:szCs w:val="20"/>
          <w:lang w:val="es-ES"/>
        </w:rPr>
        <w:t>en la fase del procedimiento adelantado ante la Corte”, considera</w:t>
      </w:r>
      <w:r>
        <w:rPr>
          <w:rFonts w:ascii="Verdana" w:hAnsi="Verdana" w:cs="Verdana"/>
          <w:sz w:val="20"/>
          <w:szCs w:val="20"/>
          <w:lang w:val="es-ES"/>
        </w:rPr>
        <w:t>ron</w:t>
      </w:r>
      <w:r w:rsidRPr="007040F4">
        <w:rPr>
          <w:rFonts w:ascii="Verdana" w:hAnsi="Verdana" w:cs="Verdana"/>
          <w:sz w:val="20"/>
          <w:szCs w:val="20"/>
          <w:lang w:val="es-ES"/>
        </w:rPr>
        <w:t xml:space="preserve"> que sería razonable que</w:t>
      </w:r>
      <w:r>
        <w:rPr>
          <w:rFonts w:ascii="Verdana" w:hAnsi="Verdana" w:cs="Verdana"/>
          <w:sz w:val="20"/>
          <w:szCs w:val="20"/>
          <w:lang w:val="es-ES"/>
        </w:rPr>
        <w:t xml:space="preserve"> </w:t>
      </w:r>
      <w:r w:rsidRPr="007040F4">
        <w:rPr>
          <w:rFonts w:ascii="Verdana" w:hAnsi="Verdana" w:cs="Verdana"/>
          <w:sz w:val="20"/>
          <w:szCs w:val="20"/>
          <w:lang w:val="es-ES"/>
        </w:rPr>
        <w:t>la Corte ordene al Estado que reintegre a la CEDH</w:t>
      </w:r>
      <w:r>
        <w:rPr>
          <w:rFonts w:ascii="Verdana" w:hAnsi="Verdana" w:cs="Verdana"/>
          <w:sz w:val="20"/>
          <w:szCs w:val="20"/>
          <w:lang w:val="es-ES"/>
        </w:rPr>
        <w:t>U</w:t>
      </w:r>
      <w:r w:rsidRPr="007040F4">
        <w:rPr>
          <w:rFonts w:ascii="Verdana" w:hAnsi="Verdana" w:cs="Verdana"/>
          <w:sz w:val="20"/>
          <w:szCs w:val="20"/>
          <w:lang w:val="es-ES"/>
        </w:rPr>
        <w:t xml:space="preserve"> “la cantidad de 15.000 dólares”. Sin embargo, careciendo </w:t>
      </w:r>
      <w:r>
        <w:rPr>
          <w:rFonts w:ascii="Verdana" w:hAnsi="Verdana" w:cs="Verdana"/>
          <w:sz w:val="20"/>
          <w:szCs w:val="20"/>
          <w:lang w:val="es-ES"/>
        </w:rPr>
        <w:t xml:space="preserve">de </w:t>
      </w:r>
      <w:r w:rsidRPr="007040F4">
        <w:rPr>
          <w:rFonts w:ascii="Verdana" w:hAnsi="Verdana" w:cs="Verdana"/>
          <w:sz w:val="20"/>
          <w:szCs w:val="20"/>
          <w:lang w:val="es-ES"/>
        </w:rPr>
        <w:t xml:space="preserve">evidencias “de todos los gastos incurridos”, los representantes solicitaron que </w:t>
      </w:r>
      <w:r>
        <w:rPr>
          <w:rFonts w:ascii="Verdana" w:hAnsi="Verdana" w:cs="Verdana"/>
          <w:sz w:val="20"/>
          <w:szCs w:val="20"/>
          <w:lang w:val="es-ES"/>
        </w:rPr>
        <w:t xml:space="preserve">el Tribunal </w:t>
      </w:r>
      <w:r w:rsidRPr="007040F4">
        <w:rPr>
          <w:rFonts w:ascii="Verdana" w:hAnsi="Verdana" w:cs="Verdana"/>
          <w:sz w:val="20"/>
          <w:szCs w:val="20"/>
          <w:lang w:val="es-ES"/>
        </w:rPr>
        <w:t xml:space="preserve">“determine cuanto debe reintegrar el Estado a la CEDHU” en base a su jurisprudencia y a la equidad.    </w:t>
      </w:r>
    </w:p>
    <w:p w:rsidR="00F249DD" w:rsidRPr="007040F4" w:rsidRDefault="00F249DD" w:rsidP="00120F89">
      <w:pPr>
        <w:autoSpaceDE w:val="0"/>
        <w:autoSpaceDN w:val="0"/>
        <w:adjustRightInd w:val="0"/>
        <w:jc w:val="both"/>
        <w:rPr>
          <w:rFonts w:ascii="Verdana" w:hAnsi="Verdana" w:cs="Verdana"/>
          <w:sz w:val="20"/>
          <w:szCs w:val="20"/>
          <w:lang w:val="es-ES"/>
        </w:rPr>
      </w:pPr>
    </w:p>
    <w:p w:rsidR="00F249DD" w:rsidRDefault="00F249DD">
      <w:pPr>
        <w:numPr>
          <w:ilvl w:val="0"/>
          <w:numId w:val="56"/>
        </w:numPr>
        <w:tabs>
          <w:tab w:val="clear" w:pos="1170"/>
        </w:tabs>
        <w:autoSpaceDE w:val="0"/>
        <w:autoSpaceDN w:val="0"/>
        <w:adjustRightInd w:val="0"/>
        <w:ind w:left="0"/>
        <w:jc w:val="both"/>
        <w:rPr>
          <w:rFonts w:ascii="Verdana" w:hAnsi="Verdana" w:cs="Verdana"/>
          <w:sz w:val="20"/>
          <w:szCs w:val="20"/>
          <w:lang w:val="es-ES"/>
        </w:rPr>
      </w:pPr>
      <w:r w:rsidRPr="007040F4">
        <w:rPr>
          <w:rFonts w:ascii="Verdana" w:hAnsi="Verdana" w:cs="Verdana"/>
          <w:sz w:val="20"/>
          <w:szCs w:val="20"/>
          <w:lang w:val="es-ES"/>
        </w:rPr>
        <w:t>El Estado no ha tomado posición sobre las pretensiones de los representantes en materia de costas y gastos.</w:t>
      </w:r>
    </w:p>
    <w:p w:rsidR="00F249DD" w:rsidRPr="007040F4" w:rsidRDefault="00F249DD" w:rsidP="00120F89">
      <w:pPr>
        <w:autoSpaceDE w:val="0"/>
        <w:autoSpaceDN w:val="0"/>
        <w:adjustRightInd w:val="0"/>
        <w:jc w:val="both"/>
        <w:rPr>
          <w:rFonts w:ascii="Verdana" w:hAnsi="Verdana" w:cs="Verdana"/>
          <w:sz w:val="20"/>
          <w:szCs w:val="20"/>
          <w:lang w:val="es-ES"/>
        </w:rPr>
      </w:pPr>
    </w:p>
    <w:p w:rsidR="00F249DD" w:rsidRDefault="00F249DD">
      <w:pPr>
        <w:numPr>
          <w:ilvl w:val="0"/>
          <w:numId w:val="56"/>
        </w:numPr>
        <w:tabs>
          <w:tab w:val="clear" w:pos="1170"/>
        </w:tabs>
        <w:autoSpaceDE w:val="0"/>
        <w:autoSpaceDN w:val="0"/>
        <w:adjustRightInd w:val="0"/>
        <w:ind w:left="0"/>
        <w:jc w:val="both"/>
        <w:rPr>
          <w:rFonts w:ascii="Verdana" w:hAnsi="Verdana" w:cs="Verdana"/>
          <w:sz w:val="20"/>
          <w:szCs w:val="20"/>
          <w:lang w:val="es-ES"/>
        </w:rPr>
      </w:pPr>
      <w:r w:rsidRPr="00D146A9">
        <w:rPr>
          <w:rFonts w:ascii="Verdana" w:hAnsi="Verdana" w:cs="Verdana"/>
          <w:sz w:val="20"/>
          <w:szCs w:val="20"/>
          <w:highlight w:val="yellow"/>
          <w:lang w:val="es-ES"/>
        </w:rPr>
        <w:t>Como lo ha señalado la Corte, las costas y gastos hacen parte del concepto de reparación, toda vez que la actividad desplegada por las víctimas con el fin de obtener justicia, tanto a nivel nacional como internacional, implica erogaciones que deben ser compensadas cuando la responsabilidad internacional del Estado es declarada mediante una sentencia condenatoria</w:t>
      </w:r>
      <w:r w:rsidRPr="007040F4">
        <w:rPr>
          <w:rFonts w:ascii="Verdana" w:hAnsi="Verdana" w:cs="Verdana"/>
          <w:sz w:val="20"/>
          <w:szCs w:val="20"/>
          <w:lang w:val="es-ES"/>
        </w:rPr>
        <w:t xml:space="preserve">. </w:t>
      </w:r>
      <w:r w:rsidRPr="00D146A9">
        <w:rPr>
          <w:rFonts w:ascii="Verdana" w:hAnsi="Verdana" w:cs="Verdana"/>
          <w:sz w:val="20"/>
          <w:szCs w:val="20"/>
          <w:highlight w:val="yellow"/>
          <w:lang w:val="es-ES"/>
        </w:rPr>
        <w:t xml:space="preserve">En cuanto a su reembolso, corresponde al Tribunal apreciar prudentemente su alcance, el cual comprende los gastos generados ante las autoridades de la jurisdicción interna, así como los generados en el curso del proceso ante este Tribunal, teniendo en cuenta las circunstancias del caso concreto y la naturaleza de la jurisdicción internacional de protección de los derechos humanos. Esta apreciación puede ser realizada con base en el principio de equidad y tomando en cuenta los gastos señalados por las partes, siempre que su </w:t>
      </w:r>
      <w:r w:rsidRPr="00D146A9">
        <w:rPr>
          <w:rFonts w:ascii="Verdana" w:hAnsi="Verdana" w:cs="Verdana"/>
          <w:i/>
          <w:sz w:val="20"/>
          <w:szCs w:val="20"/>
          <w:highlight w:val="yellow"/>
          <w:lang w:val="es-ES"/>
        </w:rPr>
        <w:t>quantum</w:t>
      </w:r>
      <w:r w:rsidRPr="00D146A9">
        <w:rPr>
          <w:rFonts w:ascii="Verdana" w:hAnsi="Verdana" w:cs="Verdana"/>
          <w:sz w:val="20"/>
          <w:szCs w:val="20"/>
          <w:highlight w:val="yellow"/>
          <w:lang w:val="es-ES"/>
        </w:rPr>
        <w:t xml:space="preserve"> sea razonable</w:t>
      </w:r>
      <w:r>
        <w:rPr>
          <w:rStyle w:val="Refdenotaalpie"/>
          <w:rFonts w:ascii="Verdana" w:hAnsi="Verdana" w:cs="Verdana"/>
          <w:sz w:val="20"/>
          <w:szCs w:val="20"/>
          <w:lang w:val="es-ES"/>
        </w:rPr>
        <w:footnoteReference w:id="118"/>
      </w:r>
      <w:r w:rsidRPr="007040F4">
        <w:rPr>
          <w:rFonts w:ascii="Verdana" w:hAnsi="Verdana" w:cs="Verdana"/>
          <w:sz w:val="20"/>
          <w:szCs w:val="20"/>
          <w:lang w:val="es-ES"/>
        </w:rPr>
        <w:t>.</w:t>
      </w:r>
      <w:r>
        <w:rPr>
          <w:rFonts w:ascii="Verdana" w:hAnsi="Verdana" w:cs="Verdana"/>
          <w:sz w:val="20"/>
          <w:szCs w:val="20"/>
          <w:lang w:val="es-ES"/>
        </w:rPr>
        <w:t xml:space="preserve">    </w:t>
      </w:r>
    </w:p>
    <w:p w:rsidR="00F249DD" w:rsidRPr="003515BA" w:rsidRDefault="00F249DD" w:rsidP="00120F89">
      <w:pPr>
        <w:autoSpaceDE w:val="0"/>
        <w:autoSpaceDN w:val="0"/>
        <w:adjustRightInd w:val="0"/>
        <w:jc w:val="both"/>
        <w:rPr>
          <w:rFonts w:ascii="Verdana" w:hAnsi="Verdana" w:cs="Verdana"/>
          <w:sz w:val="20"/>
          <w:szCs w:val="20"/>
          <w:lang w:val="es-ES"/>
        </w:rPr>
      </w:pPr>
    </w:p>
    <w:p w:rsidR="00F249DD" w:rsidRDefault="00F249DD">
      <w:pPr>
        <w:numPr>
          <w:ilvl w:val="0"/>
          <w:numId w:val="56"/>
        </w:numPr>
        <w:tabs>
          <w:tab w:val="clear" w:pos="1170"/>
        </w:tabs>
        <w:autoSpaceDE w:val="0"/>
        <w:autoSpaceDN w:val="0"/>
        <w:adjustRightInd w:val="0"/>
        <w:ind w:left="0"/>
        <w:jc w:val="both"/>
        <w:rPr>
          <w:rFonts w:ascii="Verdana" w:hAnsi="Verdana" w:cs="Verdana"/>
          <w:sz w:val="20"/>
          <w:szCs w:val="20"/>
          <w:lang w:val="es-ES"/>
        </w:rPr>
      </w:pPr>
      <w:r w:rsidRPr="003515BA">
        <w:rPr>
          <w:rFonts w:ascii="Verdana" w:hAnsi="Verdana"/>
          <w:sz w:val="20"/>
          <w:szCs w:val="20"/>
          <w:lang w:val="es-ES"/>
        </w:rPr>
        <w:t>E</w:t>
      </w:r>
      <w:r w:rsidRPr="003515BA">
        <w:rPr>
          <w:rFonts w:ascii="Verdana" w:hAnsi="Verdana"/>
          <w:sz w:val="20"/>
          <w:szCs w:val="20"/>
          <w:lang w:val="es-CR"/>
        </w:rPr>
        <w:t>l Tribunal ha señalado reiteradamente que “las pretensiones de las víctimas o sus representantes en materia de costas y gastos, y las pruebas que los sustentan,</w:t>
      </w:r>
      <w:r>
        <w:rPr>
          <w:rFonts w:ascii="Verdana" w:hAnsi="Verdana"/>
          <w:sz w:val="20"/>
          <w:szCs w:val="20"/>
          <w:lang w:val="es-CR"/>
        </w:rPr>
        <w:t xml:space="preserve"> deben presentarse a la Corte </w:t>
      </w:r>
      <w:r w:rsidRPr="003515BA">
        <w:rPr>
          <w:rFonts w:ascii="Verdana" w:hAnsi="Verdana"/>
          <w:sz w:val="20"/>
          <w:szCs w:val="20"/>
          <w:lang w:val="es-CR"/>
        </w:rPr>
        <w:t>en el prim</w:t>
      </w:r>
      <w:r>
        <w:rPr>
          <w:rFonts w:ascii="Verdana" w:hAnsi="Verdana"/>
          <w:sz w:val="20"/>
          <w:szCs w:val="20"/>
          <w:lang w:val="es-CR"/>
        </w:rPr>
        <w:t xml:space="preserve">er momento </w:t>
      </w:r>
      <w:r w:rsidRPr="003515BA">
        <w:rPr>
          <w:rFonts w:ascii="Verdana" w:hAnsi="Verdana"/>
          <w:sz w:val="20"/>
          <w:szCs w:val="20"/>
          <w:lang w:val="es-CR"/>
        </w:rPr>
        <w:t xml:space="preserve">procesal que se les concede, esto es, en el escrito de solicitudes y argumentos, sin perjuicio de que tales  pretensiones se actualicen </w:t>
      </w:r>
      <w:r>
        <w:rPr>
          <w:rFonts w:ascii="Verdana" w:hAnsi="Verdana"/>
          <w:sz w:val="20"/>
          <w:szCs w:val="20"/>
          <w:lang w:val="es-CR"/>
        </w:rPr>
        <w:t>en un momento posterior, conform</w:t>
      </w:r>
      <w:r w:rsidRPr="003515BA">
        <w:rPr>
          <w:rFonts w:ascii="Verdana" w:hAnsi="Verdana"/>
          <w:sz w:val="20"/>
          <w:szCs w:val="20"/>
          <w:lang w:val="es-CR"/>
        </w:rPr>
        <w:t>e a las nuevas costas y gastos que se haya incurrido en el procedimiento</w:t>
      </w:r>
      <w:r w:rsidRPr="002810D0">
        <w:rPr>
          <w:rStyle w:val="Refdenotaalpie"/>
          <w:rFonts w:ascii="Verdana" w:hAnsi="Verdana"/>
          <w:sz w:val="20"/>
          <w:szCs w:val="20"/>
          <w:lang w:val="es-CR"/>
        </w:rPr>
        <w:footnoteReference w:id="119"/>
      </w:r>
      <w:r w:rsidRPr="002810D0">
        <w:rPr>
          <w:rFonts w:ascii="Verdana" w:hAnsi="Verdana"/>
          <w:sz w:val="20"/>
          <w:szCs w:val="20"/>
          <w:lang w:val="es-CR"/>
        </w:rPr>
        <w:t>.</w:t>
      </w:r>
      <w:r w:rsidRPr="002810D0">
        <w:rPr>
          <w:rFonts w:ascii="Verdana" w:hAnsi="Verdana"/>
          <w:sz w:val="16"/>
          <w:szCs w:val="16"/>
          <w:lang w:val="es-CR"/>
        </w:rPr>
        <w:t xml:space="preserve">  </w:t>
      </w:r>
      <w:r w:rsidRPr="002810D0">
        <w:rPr>
          <w:rFonts w:ascii="Verdana" w:hAnsi="Verdana" w:cs="Verdana"/>
          <w:sz w:val="20"/>
          <w:szCs w:val="20"/>
          <w:lang w:val="es-ES"/>
        </w:rPr>
        <w:t>Al</w:t>
      </w:r>
      <w:r w:rsidRPr="00832D3A">
        <w:rPr>
          <w:rFonts w:ascii="Verdana" w:hAnsi="Verdana" w:cs="Verdana"/>
          <w:sz w:val="20"/>
          <w:szCs w:val="20"/>
          <w:lang w:val="es-ES"/>
        </w:rPr>
        <w:t xml:space="preserve"> respecto, se constató que los representantes incurrieron en gastos relacionados con la tramitación del presente caso ante la jurisdicción interna, así como ante la Comisión y este Tribunal relativos a </w:t>
      </w:r>
      <w:r w:rsidRPr="00832D3A">
        <w:rPr>
          <w:rFonts w:ascii="Verdana" w:hAnsi="Verdana"/>
          <w:sz w:val="20"/>
          <w:szCs w:val="20"/>
          <w:lang w:val="es-CR"/>
        </w:rPr>
        <w:t>servicios profesional</w:t>
      </w:r>
      <w:r>
        <w:rPr>
          <w:rFonts w:ascii="Verdana" w:hAnsi="Verdana"/>
          <w:sz w:val="20"/>
          <w:szCs w:val="20"/>
          <w:lang w:val="es-CR"/>
        </w:rPr>
        <w:t>es</w:t>
      </w:r>
      <w:r w:rsidRPr="00832D3A">
        <w:rPr>
          <w:rFonts w:ascii="Verdana" w:hAnsi="Verdana"/>
          <w:sz w:val="20"/>
          <w:szCs w:val="20"/>
          <w:lang w:val="es-CR"/>
        </w:rPr>
        <w:t xml:space="preserve">, </w:t>
      </w:r>
      <w:r w:rsidRPr="00832D3A">
        <w:rPr>
          <w:rFonts w:ascii="Verdana" w:hAnsi="Verdana"/>
          <w:sz w:val="20"/>
          <w:szCs w:val="20"/>
          <w:lang w:val="es-ES"/>
        </w:rPr>
        <w:t xml:space="preserve">envío de documentos, </w:t>
      </w:r>
      <w:r>
        <w:rPr>
          <w:rFonts w:ascii="Verdana" w:hAnsi="Verdana"/>
          <w:sz w:val="20"/>
          <w:szCs w:val="20"/>
          <w:lang w:val="es-ES_tradnl"/>
        </w:rPr>
        <w:t xml:space="preserve">compra de tiquetes aéreos, hospedaje, y </w:t>
      </w:r>
      <w:r w:rsidRPr="00832D3A">
        <w:rPr>
          <w:rFonts w:ascii="Verdana" w:hAnsi="Verdana"/>
          <w:sz w:val="20"/>
          <w:szCs w:val="20"/>
          <w:lang w:val="es-ES_tradnl"/>
        </w:rPr>
        <w:t xml:space="preserve">otros gastos </w:t>
      </w:r>
      <w:r>
        <w:rPr>
          <w:rFonts w:ascii="Verdana" w:hAnsi="Verdana"/>
          <w:sz w:val="20"/>
          <w:szCs w:val="20"/>
          <w:lang w:val="es-ES_tradnl"/>
        </w:rPr>
        <w:t>relacionados</w:t>
      </w:r>
      <w:r w:rsidRPr="00832D3A">
        <w:rPr>
          <w:rFonts w:ascii="Verdana" w:hAnsi="Verdana"/>
          <w:sz w:val="20"/>
          <w:szCs w:val="20"/>
          <w:lang w:val="es-ES_tradnl"/>
        </w:rPr>
        <w:t xml:space="preserve"> </w:t>
      </w:r>
      <w:r>
        <w:rPr>
          <w:rFonts w:ascii="Verdana" w:hAnsi="Verdana"/>
          <w:sz w:val="20"/>
          <w:szCs w:val="20"/>
          <w:lang w:val="es-ES_tradnl"/>
        </w:rPr>
        <w:t xml:space="preserve">con la </w:t>
      </w:r>
      <w:r w:rsidRPr="00832D3A">
        <w:rPr>
          <w:rFonts w:ascii="Verdana" w:hAnsi="Verdana"/>
          <w:sz w:val="20"/>
          <w:szCs w:val="20"/>
          <w:lang w:val="es-ES_tradnl"/>
        </w:rPr>
        <w:t>solicit</w:t>
      </w:r>
      <w:r>
        <w:rPr>
          <w:rFonts w:ascii="Verdana" w:hAnsi="Verdana"/>
          <w:sz w:val="20"/>
          <w:szCs w:val="20"/>
          <w:lang w:val="es-ES_tradnl"/>
        </w:rPr>
        <w:t>ud</w:t>
      </w:r>
      <w:r w:rsidRPr="00832D3A">
        <w:rPr>
          <w:rFonts w:ascii="Verdana" w:hAnsi="Verdana"/>
          <w:sz w:val="20"/>
          <w:szCs w:val="20"/>
          <w:lang w:val="es-ES_tradnl"/>
        </w:rPr>
        <w:t xml:space="preserve"> visas e impuestos de salida</w:t>
      </w:r>
      <w:r>
        <w:rPr>
          <w:rFonts w:ascii="Verdana" w:hAnsi="Verdana"/>
          <w:sz w:val="20"/>
          <w:szCs w:val="20"/>
          <w:lang w:val="es-ES_tradnl"/>
        </w:rPr>
        <w:t>,</w:t>
      </w:r>
      <w:r w:rsidRPr="00F16596">
        <w:rPr>
          <w:rFonts w:ascii="Verdana" w:hAnsi="Verdana"/>
          <w:sz w:val="20"/>
          <w:szCs w:val="20"/>
          <w:lang w:val="es-ES"/>
        </w:rPr>
        <w:t xml:space="preserve"> </w:t>
      </w:r>
      <w:r w:rsidRPr="00955773">
        <w:rPr>
          <w:rFonts w:ascii="Verdana" w:hAnsi="Verdana"/>
          <w:sz w:val="20"/>
          <w:szCs w:val="20"/>
          <w:lang w:val="es-ES"/>
        </w:rPr>
        <w:t>etc.</w:t>
      </w:r>
      <w:r>
        <w:rPr>
          <w:rFonts w:ascii="Verdana" w:hAnsi="Verdana"/>
          <w:sz w:val="20"/>
          <w:szCs w:val="20"/>
          <w:lang w:val="es-ES"/>
        </w:rPr>
        <w:t>,</w:t>
      </w:r>
      <w:r w:rsidRPr="00955773">
        <w:rPr>
          <w:rFonts w:ascii="Verdana" w:hAnsi="Verdana" w:cs="Verdana"/>
          <w:sz w:val="20"/>
          <w:szCs w:val="20"/>
          <w:lang w:val="es-ES"/>
        </w:rPr>
        <w:t xml:space="preserve"> </w:t>
      </w:r>
      <w:r>
        <w:rPr>
          <w:rFonts w:ascii="Verdana" w:hAnsi="Verdana"/>
          <w:sz w:val="20"/>
          <w:szCs w:val="20"/>
          <w:lang w:val="es-ES_tradnl"/>
        </w:rPr>
        <w:t xml:space="preserve"> con ocasión de la celebración de la audiencia pública en San José, </w:t>
      </w:r>
      <w:r w:rsidRPr="00955773">
        <w:rPr>
          <w:rFonts w:ascii="Verdana" w:hAnsi="Verdana"/>
          <w:sz w:val="20"/>
          <w:szCs w:val="20"/>
          <w:lang w:val="es-ES"/>
        </w:rPr>
        <w:t xml:space="preserve">Costa Rica, </w:t>
      </w:r>
      <w:r w:rsidRPr="00955773">
        <w:rPr>
          <w:rFonts w:ascii="Verdana" w:hAnsi="Verdana" w:cs="Verdana"/>
          <w:sz w:val="20"/>
          <w:szCs w:val="20"/>
          <w:lang w:val="es-ES"/>
        </w:rPr>
        <w:t xml:space="preserve">para lo cual remitieron </w:t>
      </w:r>
      <w:r w:rsidRPr="00B36838">
        <w:rPr>
          <w:rFonts w:ascii="Verdana" w:hAnsi="Verdana" w:cs="Verdana"/>
          <w:sz w:val="20"/>
          <w:szCs w:val="20"/>
          <w:lang w:val="es-ES"/>
        </w:rPr>
        <w:t>los</w:t>
      </w:r>
      <w:r w:rsidRPr="00955773">
        <w:rPr>
          <w:rFonts w:ascii="Verdana" w:hAnsi="Verdana" w:cs="Verdana"/>
          <w:sz w:val="20"/>
          <w:szCs w:val="20"/>
          <w:lang w:val="es-ES"/>
        </w:rPr>
        <w:t xml:space="preserve"> comprobantes</w:t>
      </w:r>
      <w:r>
        <w:rPr>
          <w:rFonts w:ascii="Verdana" w:hAnsi="Verdana" w:cs="Verdana"/>
          <w:sz w:val="20"/>
          <w:szCs w:val="20"/>
          <w:lang w:val="es-ES"/>
        </w:rPr>
        <w:t xml:space="preserve"> respectivos</w:t>
      </w:r>
      <w:r w:rsidRPr="00955773">
        <w:rPr>
          <w:rFonts w:ascii="Verdana" w:hAnsi="Verdana" w:cs="Verdana"/>
          <w:sz w:val="20"/>
          <w:szCs w:val="20"/>
          <w:lang w:val="es-ES"/>
        </w:rPr>
        <w:t xml:space="preserve">. No obstante, la Corte nota </w:t>
      </w:r>
      <w:r w:rsidRPr="00E05410">
        <w:rPr>
          <w:rFonts w:ascii="Verdana" w:hAnsi="Verdana" w:cs="Verdana"/>
          <w:sz w:val="20"/>
          <w:szCs w:val="20"/>
          <w:lang w:val="es-ES"/>
        </w:rPr>
        <w:t xml:space="preserve">que </w:t>
      </w:r>
      <w:r w:rsidRPr="00FC3247">
        <w:rPr>
          <w:rFonts w:ascii="Verdana" w:hAnsi="Verdana" w:cs="Verdana"/>
          <w:sz w:val="20"/>
          <w:szCs w:val="20"/>
          <w:lang w:val="es-ES"/>
        </w:rPr>
        <w:t>los comprobantes</w:t>
      </w:r>
      <w:r w:rsidRPr="00E05410">
        <w:rPr>
          <w:rFonts w:ascii="Verdana" w:hAnsi="Verdana" w:cs="Verdana"/>
          <w:sz w:val="20"/>
          <w:szCs w:val="20"/>
          <w:lang w:val="es-ES"/>
        </w:rPr>
        <w:t xml:space="preserve"> y la solicitud del pago por los servicios profesionales del señor Edison Burbano Portilla, </w:t>
      </w:r>
      <w:r w:rsidRPr="00FC3247">
        <w:rPr>
          <w:rFonts w:ascii="Verdana" w:hAnsi="Verdana" w:cs="Verdana"/>
          <w:sz w:val="20"/>
          <w:szCs w:val="20"/>
          <w:lang w:val="es-ES"/>
        </w:rPr>
        <w:t>los gastos relacionados con el traslado y estadía</w:t>
      </w:r>
      <w:r w:rsidRPr="00E05410">
        <w:rPr>
          <w:rFonts w:ascii="Verdana" w:hAnsi="Verdana" w:cs="Verdana"/>
          <w:sz w:val="20"/>
          <w:szCs w:val="20"/>
          <w:lang w:val="es-ES"/>
        </w:rPr>
        <w:t xml:space="preserve"> del abogado Xavier Mejía </w:t>
      </w:r>
      <w:r w:rsidRPr="00FC3247">
        <w:rPr>
          <w:rFonts w:ascii="Verdana" w:hAnsi="Verdana" w:cs="Verdana"/>
          <w:sz w:val="20"/>
          <w:szCs w:val="20"/>
          <w:lang w:val="es-ES"/>
        </w:rPr>
        <w:t>y del señor Mejía Idrovo en la Ciudad de Washington en el año 2008</w:t>
      </w:r>
      <w:r w:rsidRPr="00E05410">
        <w:rPr>
          <w:rFonts w:ascii="Verdana" w:hAnsi="Verdana" w:cs="Verdana"/>
          <w:sz w:val="20"/>
          <w:szCs w:val="20"/>
          <w:lang w:val="es-ES"/>
        </w:rPr>
        <w:t xml:space="preserve">, </w:t>
      </w:r>
      <w:r w:rsidRPr="00FC3247">
        <w:rPr>
          <w:rFonts w:ascii="Verdana" w:hAnsi="Verdana" w:cs="Verdana"/>
          <w:sz w:val="20"/>
          <w:szCs w:val="20"/>
          <w:lang w:val="es-ES"/>
        </w:rPr>
        <w:t>así como respecto a algunos gastos incurridos por</w:t>
      </w:r>
      <w:r w:rsidRPr="00E05410">
        <w:rPr>
          <w:rFonts w:ascii="Verdana" w:hAnsi="Verdana" w:cs="Verdana"/>
          <w:sz w:val="20"/>
          <w:szCs w:val="20"/>
          <w:lang w:val="es-ES"/>
        </w:rPr>
        <w:t xml:space="preserve"> </w:t>
      </w:r>
      <w:r w:rsidRPr="00FC3247">
        <w:rPr>
          <w:rFonts w:ascii="Verdana" w:hAnsi="Verdana" w:cs="Verdana"/>
          <w:sz w:val="20"/>
          <w:szCs w:val="20"/>
          <w:lang w:val="es-ES"/>
        </w:rPr>
        <w:t xml:space="preserve">CEDHU </w:t>
      </w:r>
      <w:r w:rsidRPr="00FC3247">
        <w:rPr>
          <w:rFonts w:ascii="Verdana" w:hAnsi="Verdana" w:cs="Verdana"/>
          <w:sz w:val="20"/>
          <w:szCs w:val="20"/>
          <w:lang w:val="es-ES"/>
        </w:rPr>
        <w:lastRenderedPageBreak/>
        <w:t>ante la Comisión</w:t>
      </w:r>
      <w:r w:rsidRPr="00E05410">
        <w:rPr>
          <w:rFonts w:ascii="Verdana" w:hAnsi="Verdana" w:cs="Verdana"/>
          <w:sz w:val="20"/>
          <w:szCs w:val="20"/>
          <w:lang w:val="es-ES"/>
        </w:rPr>
        <w:t xml:space="preserve"> fue presentada extemporáneamente (</w:t>
      </w:r>
      <w:r w:rsidRPr="00E05410">
        <w:rPr>
          <w:rFonts w:ascii="Verdana" w:hAnsi="Verdana" w:cs="Verdana"/>
          <w:i/>
          <w:sz w:val="20"/>
          <w:szCs w:val="20"/>
          <w:lang w:val="es-ES"/>
        </w:rPr>
        <w:t>supra</w:t>
      </w:r>
      <w:r w:rsidRPr="00E05410">
        <w:rPr>
          <w:rFonts w:ascii="Verdana" w:hAnsi="Verdana" w:cs="Verdana"/>
          <w:sz w:val="20"/>
          <w:szCs w:val="20"/>
          <w:lang w:val="es-ES"/>
        </w:rPr>
        <w:t xml:space="preserve"> párr. 3</w:t>
      </w:r>
      <w:r>
        <w:rPr>
          <w:rFonts w:ascii="Verdana" w:hAnsi="Verdana" w:cs="Verdana"/>
          <w:sz w:val="20"/>
          <w:szCs w:val="20"/>
          <w:lang w:val="es-ES"/>
        </w:rPr>
        <w:t xml:space="preserve">9) </w:t>
      </w:r>
      <w:r w:rsidRPr="00E05410">
        <w:rPr>
          <w:rFonts w:ascii="Verdana" w:hAnsi="Verdana" w:cs="Verdana"/>
          <w:sz w:val="20"/>
          <w:szCs w:val="20"/>
          <w:lang w:val="es-ES"/>
        </w:rPr>
        <w:t>y por ende es improcedente.</w:t>
      </w:r>
      <w:r w:rsidRPr="00955773">
        <w:rPr>
          <w:rFonts w:ascii="Verdana" w:hAnsi="Verdana" w:cs="Verdana"/>
          <w:sz w:val="20"/>
          <w:szCs w:val="20"/>
          <w:lang w:val="es-ES"/>
        </w:rPr>
        <w:t xml:space="preserve"> </w:t>
      </w:r>
    </w:p>
    <w:p w:rsidR="00F249DD" w:rsidRPr="00955773" w:rsidRDefault="00F249DD" w:rsidP="00120F89">
      <w:pPr>
        <w:autoSpaceDE w:val="0"/>
        <w:autoSpaceDN w:val="0"/>
        <w:adjustRightInd w:val="0"/>
        <w:jc w:val="both"/>
        <w:rPr>
          <w:rFonts w:ascii="Verdana" w:hAnsi="Verdana" w:cs="Verdana"/>
          <w:sz w:val="20"/>
          <w:szCs w:val="20"/>
          <w:lang w:val="es-ES"/>
        </w:rPr>
      </w:pPr>
    </w:p>
    <w:p w:rsidR="00F249DD" w:rsidRDefault="00F249DD">
      <w:pPr>
        <w:numPr>
          <w:ilvl w:val="0"/>
          <w:numId w:val="56"/>
        </w:numPr>
        <w:tabs>
          <w:tab w:val="clear" w:pos="1170"/>
        </w:tabs>
        <w:autoSpaceDE w:val="0"/>
        <w:autoSpaceDN w:val="0"/>
        <w:adjustRightInd w:val="0"/>
        <w:ind w:left="0"/>
        <w:jc w:val="both"/>
        <w:rPr>
          <w:rFonts w:ascii="Verdana" w:hAnsi="Verdana" w:cs="Verdana"/>
          <w:sz w:val="20"/>
          <w:szCs w:val="20"/>
          <w:lang w:val="es-ES_tradnl"/>
        </w:rPr>
      </w:pPr>
      <w:r>
        <w:rPr>
          <w:rFonts w:ascii="Verdana" w:hAnsi="Verdana" w:cs="Verdana"/>
          <w:sz w:val="20"/>
          <w:szCs w:val="20"/>
          <w:lang w:val="es-ES"/>
        </w:rPr>
        <w:t>Sin perjuicio de lo anterior</w:t>
      </w:r>
      <w:r w:rsidRPr="00955773">
        <w:rPr>
          <w:rFonts w:ascii="Verdana" w:hAnsi="Verdana" w:cs="Verdana"/>
          <w:sz w:val="20"/>
          <w:szCs w:val="20"/>
          <w:lang w:val="es-ES"/>
        </w:rPr>
        <w:t xml:space="preserve">, </w:t>
      </w:r>
      <w:r>
        <w:rPr>
          <w:rFonts w:ascii="Verdana" w:hAnsi="Verdana" w:cs="Verdana"/>
          <w:sz w:val="20"/>
          <w:szCs w:val="20"/>
          <w:lang w:val="es-ES"/>
        </w:rPr>
        <w:t xml:space="preserve">y teniendo en cuenta que la víctima o sus representantes han incurrido en determinados gastos, </w:t>
      </w:r>
      <w:r w:rsidRPr="00955773">
        <w:rPr>
          <w:rFonts w:ascii="Verdana" w:hAnsi="Verdana" w:cs="Verdana"/>
          <w:sz w:val="20"/>
          <w:szCs w:val="20"/>
          <w:lang w:val="es-ES"/>
        </w:rPr>
        <w:t>la Corte fija en equidad una cantidad total de US$15,000.00 (quince mil dólares de los Estados Unidos de América) por conce</w:t>
      </w:r>
      <w:r w:rsidRPr="00955773">
        <w:rPr>
          <w:rFonts w:ascii="Verdana" w:hAnsi="Verdana" w:cs="Verdana"/>
          <w:sz w:val="20"/>
          <w:szCs w:val="20"/>
          <w:lang w:val="es-CR"/>
        </w:rPr>
        <w:t xml:space="preserve">pto de costas y gastos </w:t>
      </w:r>
      <w:r w:rsidRPr="00955773">
        <w:rPr>
          <w:rFonts w:ascii="Verdana" w:hAnsi="Verdana" w:cs="Verdana"/>
          <w:sz w:val="20"/>
          <w:szCs w:val="20"/>
          <w:lang w:val="es-ES"/>
        </w:rPr>
        <w:t>incurridos en el liti</w:t>
      </w:r>
      <w:r w:rsidRPr="00955773">
        <w:rPr>
          <w:rFonts w:ascii="Verdana" w:hAnsi="Verdana" w:cs="Verdana"/>
          <w:sz w:val="20"/>
          <w:szCs w:val="20"/>
          <w:lang w:val="es-ES_tradnl"/>
        </w:rPr>
        <w:t xml:space="preserve">gio del proceso interamericano en el presente caso. Dicha cantidad deberá ser </w:t>
      </w:r>
      <w:r>
        <w:rPr>
          <w:rFonts w:ascii="Verdana" w:hAnsi="Verdana" w:cs="Verdana"/>
          <w:sz w:val="20"/>
          <w:szCs w:val="20"/>
          <w:lang w:val="es-ES_tradnl"/>
        </w:rPr>
        <w:t>entregada al señor Mejía Idrovo, quien a su vez deberá entregar la cantidad que corresponda a las personas u organizaciones que lo hayan representado.</w:t>
      </w:r>
      <w:r w:rsidRPr="00955773">
        <w:rPr>
          <w:rFonts w:ascii="Verdana" w:hAnsi="Verdana" w:cs="Verdana"/>
          <w:sz w:val="20"/>
          <w:szCs w:val="20"/>
          <w:lang w:val="es-ES_tradnl"/>
        </w:rPr>
        <w:t xml:space="preserve"> </w:t>
      </w:r>
    </w:p>
    <w:p w:rsidR="00F249DD" w:rsidRPr="00F32738" w:rsidRDefault="00F249DD" w:rsidP="00120F89">
      <w:pPr>
        <w:autoSpaceDE w:val="0"/>
        <w:autoSpaceDN w:val="0"/>
        <w:adjustRightInd w:val="0"/>
        <w:jc w:val="both"/>
        <w:rPr>
          <w:rFonts w:ascii="Verdana" w:hAnsi="Verdana" w:cs="Verdana"/>
          <w:sz w:val="20"/>
          <w:szCs w:val="20"/>
          <w:lang w:val="es-ES_tradnl"/>
        </w:rPr>
      </w:pPr>
    </w:p>
    <w:p w:rsidR="00F249DD" w:rsidRDefault="00F249DD">
      <w:pPr>
        <w:numPr>
          <w:ilvl w:val="0"/>
          <w:numId w:val="56"/>
        </w:numPr>
        <w:tabs>
          <w:tab w:val="clear" w:pos="1170"/>
        </w:tabs>
        <w:autoSpaceDE w:val="0"/>
        <w:autoSpaceDN w:val="0"/>
        <w:adjustRightInd w:val="0"/>
        <w:ind w:left="0"/>
        <w:jc w:val="both"/>
        <w:rPr>
          <w:rFonts w:ascii="Verdana" w:hAnsi="Verdana" w:cs="Verdana"/>
          <w:sz w:val="20"/>
          <w:szCs w:val="20"/>
          <w:lang w:val="es-ES"/>
        </w:rPr>
      </w:pPr>
      <w:r w:rsidRPr="00F32738">
        <w:rPr>
          <w:rFonts w:ascii="Verdana" w:hAnsi="Verdana" w:cs="Verdana"/>
          <w:sz w:val="20"/>
          <w:szCs w:val="20"/>
          <w:lang w:val="es-ES_tradnl"/>
        </w:rPr>
        <w:t>En el procedimiento de supervis</w:t>
      </w:r>
      <w:r w:rsidRPr="00F32738">
        <w:rPr>
          <w:rFonts w:ascii="Verdana" w:hAnsi="Verdana" w:cs="Verdana"/>
          <w:sz w:val="20"/>
          <w:szCs w:val="20"/>
          <w:lang w:val="es-ES"/>
        </w:rPr>
        <w:t>ión de cum</w:t>
      </w:r>
      <w:r w:rsidRPr="00F32738">
        <w:rPr>
          <w:rFonts w:ascii="Verdana" w:hAnsi="Verdana" w:cs="Verdana"/>
          <w:sz w:val="20"/>
          <w:szCs w:val="20"/>
          <w:lang w:val="es-ES_tradnl"/>
        </w:rPr>
        <w:t>plimiento de la presente Sent</w:t>
      </w:r>
      <w:r w:rsidRPr="00F32738">
        <w:rPr>
          <w:rFonts w:ascii="Verdana" w:hAnsi="Verdana" w:cs="Verdana"/>
          <w:sz w:val="20"/>
          <w:szCs w:val="20"/>
          <w:lang w:val="es-ES"/>
        </w:rPr>
        <w:t>encia, el Tribunal podrá disponer el reembolso por parte del Estado a la</w:t>
      </w:r>
      <w:r>
        <w:rPr>
          <w:rFonts w:ascii="Verdana" w:hAnsi="Verdana" w:cs="Verdana"/>
          <w:sz w:val="20"/>
          <w:szCs w:val="20"/>
          <w:lang w:val="es-ES"/>
        </w:rPr>
        <w:t xml:space="preserve"> </w:t>
      </w:r>
      <w:r w:rsidRPr="00F32738">
        <w:rPr>
          <w:rFonts w:ascii="Verdana" w:hAnsi="Verdana" w:cs="Verdana"/>
          <w:sz w:val="20"/>
          <w:szCs w:val="20"/>
          <w:lang w:val="es-ES"/>
        </w:rPr>
        <w:t>víctima o sus representantes de los gastos razonables debidamente comprobados.</w:t>
      </w:r>
    </w:p>
    <w:p w:rsidR="00F249DD" w:rsidRPr="00F32738" w:rsidRDefault="00F249DD" w:rsidP="00120F89">
      <w:pPr>
        <w:autoSpaceDE w:val="0"/>
        <w:autoSpaceDN w:val="0"/>
        <w:adjustRightInd w:val="0"/>
        <w:jc w:val="both"/>
        <w:rPr>
          <w:rFonts w:ascii="Verdana" w:hAnsi="Verdana" w:cs="Verdana"/>
          <w:sz w:val="20"/>
          <w:szCs w:val="20"/>
          <w:lang w:val="es-ES"/>
        </w:rPr>
      </w:pPr>
    </w:p>
    <w:p w:rsidR="00F249DD" w:rsidRPr="00F32738" w:rsidRDefault="00F249DD" w:rsidP="00120F89">
      <w:pPr>
        <w:pStyle w:val="Ttulo2"/>
        <w:numPr>
          <w:ilvl w:val="0"/>
          <w:numId w:val="30"/>
        </w:numPr>
        <w:rPr>
          <w:rFonts w:cs="Verdana"/>
          <w:lang w:val="es-ES"/>
        </w:rPr>
      </w:pPr>
      <w:bookmarkStart w:id="364" w:name="_Toc294634501"/>
      <w:bookmarkStart w:id="365" w:name="_Toc294635329"/>
      <w:bookmarkStart w:id="366" w:name="_Toc294862722"/>
      <w:bookmarkStart w:id="367" w:name="_Toc294862785"/>
      <w:bookmarkStart w:id="368" w:name="_Toc295380336"/>
      <w:bookmarkStart w:id="369" w:name="_Toc295394488"/>
      <w:bookmarkStart w:id="370" w:name="_Toc295394642"/>
      <w:bookmarkStart w:id="371" w:name="_Toc295986094"/>
      <w:bookmarkStart w:id="372" w:name="_Toc295986311"/>
      <w:bookmarkStart w:id="373" w:name="_Toc295986431"/>
      <w:r w:rsidRPr="00F32738">
        <w:rPr>
          <w:rFonts w:cs="Verdana"/>
          <w:lang w:val="es-ES"/>
        </w:rPr>
        <w:t>Modalidades de cumplimiento de los pagos ordenados</w:t>
      </w:r>
      <w:bookmarkEnd w:id="364"/>
      <w:bookmarkEnd w:id="365"/>
      <w:bookmarkEnd w:id="366"/>
      <w:bookmarkEnd w:id="367"/>
      <w:bookmarkEnd w:id="368"/>
      <w:bookmarkEnd w:id="369"/>
      <w:bookmarkEnd w:id="370"/>
      <w:bookmarkEnd w:id="371"/>
      <w:bookmarkEnd w:id="372"/>
      <w:bookmarkEnd w:id="373"/>
    </w:p>
    <w:p w:rsidR="00F249DD" w:rsidRPr="00F32738" w:rsidRDefault="00F249DD" w:rsidP="00120F89">
      <w:pPr>
        <w:autoSpaceDE w:val="0"/>
        <w:autoSpaceDN w:val="0"/>
        <w:adjustRightInd w:val="0"/>
        <w:jc w:val="both"/>
        <w:rPr>
          <w:rFonts w:ascii="Verdana" w:hAnsi="Verdana" w:cs="Verdana"/>
          <w:sz w:val="20"/>
          <w:szCs w:val="20"/>
          <w:highlight w:val="yellow"/>
          <w:lang w:val="es-ES"/>
        </w:rPr>
      </w:pPr>
    </w:p>
    <w:p w:rsidR="00F249DD" w:rsidRDefault="00F249DD">
      <w:pPr>
        <w:numPr>
          <w:ilvl w:val="0"/>
          <w:numId w:val="56"/>
        </w:numPr>
        <w:tabs>
          <w:tab w:val="clear" w:pos="1170"/>
        </w:tabs>
        <w:autoSpaceDE w:val="0"/>
        <w:autoSpaceDN w:val="0"/>
        <w:adjustRightInd w:val="0"/>
        <w:ind w:left="0"/>
        <w:jc w:val="both"/>
        <w:rPr>
          <w:rFonts w:ascii="Verdana" w:hAnsi="Verdana" w:cs="Verdana"/>
          <w:sz w:val="20"/>
          <w:szCs w:val="20"/>
          <w:lang w:val="es-ES"/>
        </w:rPr>
      </w:pPr>
      <w:r w:rsidRPr="0059593D">
        <w:rPr>
          <w:rFonts w:ascii="Verdana" w:hAnsi="Verdana" w:cs="Verdana"/>
          <w:sz w:val="20"/>
          <w:szCs w:val="20"/>
          <w:lang w:val="es-ES"/>
        </w:rPr>
        <w:t>El Estado deberá efectuar el pago de las indemnizaciones por concepto de daño material e inmaterial al señor Mejía Idrovo, y el pago por concepto de costas y gastos directamente a la víctima dentro del plazo de un año contado a partir de la notificación de la presente Sentencia, en los términos de los párrafos siguientes.</w:t>
      </w:r>
    </w:p>
    <w:p w:rsidR="00F249DD" w:rsidRPr="00F32738" w:rsidRDefault="00F249DD" w:rsidP="00120F89">
      <w:pPr>
        <w:autoSpaceDE w:val="0"/>
        <w:autoSpaceDN w:val="0"/>
        <w:adjustRightInd w:val="0"/>
        <w:jc w:val="both"/>
        <w:rPr>
          <w:rFonts w:ascii="Verdana" w:hAnsi="Verdana" w:cs="Verdana"/>
          <w:b/>
          <w:sz w:val="20"/>
          <w:szCs w:val="20"/>
          <w:lang w:val="es-ES"/>
        </w:rPr>
      </w:pPr>
    </w:p>
    <w:p w:rsidR="00F249DD" w:rsidRDefault="00F249DD">
      <w:pPr>
        <w:numPr>
          <w:ilvl w:val="0"/>
          <w:numId w:val="56"/>
        </w:numPr>
        <w:tabs>
          <w:tab w:val="clear" w:pos="1170"/>
        </w:tabs>
        <w:autoSpaceDE w:val="0"/>
        <w:autoSpaceDN w:val="0"/>
        <w:adjustRightInd w:val="0"/>
        <w:ind w:left="0"/>
        <w:jc w:val="both"/>
        <w:rPr>
          <w:rFonts w:ascii="Verdana" w:hAnsi="Verdana" w:cs="Verdana"/>
          <w:sz w:val="20"/>
          <w:szCs w:val="20"/>
          <w:lang w:val="es-ES"/>
        </w:rPr>
      </w:pPr>
      <w:r w:rsidRPr="0059593D">
        <w:rPr>
          <w:rFonts w:ascii="Verdana" w:hAnsi="Verdana" w:cs="Verdana"/>
          <w:sz w:val="20"/>
          <w:szCs w:val="20"/>
          <w:lang w:val="es-ES"/>
        </w:rPr>
        <w:t>Las indemnizaciones establecidas por</w:t>
      </w:r>
      <w:r w:rsidRPr="00F32738">
        <w:rPr>
          <w:rFonts w:ascii="Verdana" w:hAnsi="Verdana" w:cs="Verdana"/>
          <w:b/>
          <w:sz w:val="20"/>
          <w:szCs w:val="20"/>
          <w:lang w:val="es-ES"/>
        </w:rPr>
        <w:t xml:space="preserve"> </w:t>
      </w:r>
      <w:r w:rsidRPr="00955773">
        <w:rPr>
          <w:rFonts w:ascii="Verdana" w:hAnsi="Verdana" w:cs="Verdana"/>
          <w:sz w:val="20"/>
          <w:szCs w:val="20"/>
          <w:lang w:val="es-ES"/>
        </w:rPr>
        <w:t>c</w:t>
      </w:r>
      <w:r w:rsidRPr="0059593D">
        <w:rPr>
          <w:rFonts w:ascii="Verdana" w:hAnsi="Verdana" w:cs="Verdana"/>
          <w:sz w:val="20"/>
          <w:szCs w:val="20"/>
          <w:lang w:val="es-ES"/>
        </w:rPr>
        <w:t>oncepto</w:t>
      </w:r>
      <w:r w:rsidRPr="00F32738">
        <w:rPr>
          <w:rFonts w:ascii="Verdana" w:hAnsi="Verdana" w:cs="Verdana"/>
          <w:i/>
          <w:sz w:val="20"/>
          <w:szCs w:val="20"/>
          <w:lang w:val="es-ES"/>
        </w:rPr>
        <w:t xml:space="preserve"> </w:t>
      </w:r>
      <w:r w:rsidRPr="00FC3247">
        <w:rPr>
          <w:rFonts w:ascii="Verdana" w:hAnsi="Verdana" w:cs="Verdana"/>
          <w:sz w:val="20"/>
          <w:szCs w:val="20"/>
          <w:lang w:val="es-ES"/>
        </w:rPr>
        <w:t>d</w:t>
      </w:r>
      <w:r w:rsidRPr="00AA55C9">
        <w:rPr>
          <w:rFonts w:ascii="Verdana" w:hAnsi="Verdana" w:cs="Verdana"/>
          <w:sz w:val="20"/>
          <w:szCs w:val="20"/>
          <w:lang w:val="es-ES"/>
        </w:rPr>
        <w:t>e</w:t>
      </w:r>
      <w:r w:rsidRPr="009938D4">
        <w:rPr>
          <w:rFonts w:ascii="Verdana" w:hAnsi="Verdana" w:cs="Verdana"/>
          <w:sz w:val="20"/>
          <w:szCs w:val="20"/>
          <w:lang w:val="es-ES"/>
        </w:rPr>
        <w:t xml:space="preserve"> daño material e inmaterial no excluyen cualquier otro beneficio que por ley pudiera ser acreedor el señor Mejía Idrovo de acuerdo a las normas del Ecuador. </w:t>
      </w:r>
    </w:p>
    <w:p w:rsidR="00F249DD" w:rsidRPr="007040F4" w:rsidRDefault="00F249DD" w:rsidP="00120F89">
      <w:pPr>
        <w:autoSpaceDE w:val="0"/>
        <w:autoSpaceDN w:val="0"/>
        <w:adjustRightInd w:val="0"/>
        <w:jc w:val="both"/>
        <w:rPr>
          <w:rFonts w:ascii="Verdana" w:hAnsi="Verdana" w:cs="Verdana"/>
          <w:sz w:val="20"/>
          <w:szCs w:val="20"/>
          <w:lang w:val="es-ES"/>
        </w:rPr>
      </w:pPr>
    </w:p>
    <w:p w:rsidR="00F249DD" w:rsidRDefault="00F249DD">
      <w:pPr>
        <w:numPr>
          <w:ilvl w:val="0"/>
          <w:numId w:val="56"/>
        </w:numPr>
        <w:tabs>
          <w:tab w:val="clear" w:pos="1170"/>
        </w:tabs>
        <w:autoSpaceDE w:val="0"/>
        <w:autoSpaceDN w:val="0"/>
        <w:adjustRightInd w:val="0"/>
        <w:ind w:left="0"/>
        <w:jc w:val="both"/>
        <w:rPr>
          <w:rFonts w:ascii="Verdana" w:hAnsi="Verdana" w:cs="Verdana"/>
          <w:sz w:val="20"/>
          <w:szCs w:val="20"/>
          <w:lang w:val="es-ES"/>
        </w:rPr>
      </w:pPr>
      <w:r w:rsidRPr="007040F4">
        <w:rPr>
          <w:rFonts w:ascii="Verdana" w:hAnsi="Verdana" w:cs="Verdana"/>
          <w:sz w:val="20"/>
          <w:szCs w:val="20"/>
          <w:lang w:val="es-ES"/>
        </w:rPr>
        <w:t xml:space="preserve">En caso de que </w:t>
      </w:r>
      <w:r>
        <w:rPr>
          <w:rFonts w:ascii="Verdana" w:hAnsi="Verdana" w:cs="Verdana"/>
          <w:sz w:val="20"/>
          <w:szCs w:val="20"/>
          <w:lang w:val="es-ES"/>
        </w:rPr>
        <w:t>el</w:t>
      </w:r>
      <w:r w:rsidRPr="007040F4">
        <w:rPr>
          <w:rFonts w:ascii="Verdana" w:hAnsi="Verdana" w:cs="Verdana"/>
          <w:sz w:val="20"/>
          <w:szCs w:val="20"/>
          <w:lang w:val="es-ES"/>
        </w:rPr>
        <w:t xml:space="preserve"> beneficiario fallezca antes de que le sea entregada la indemnización respectiva, ésta se efectuará directamente a sus derechohabientes, conforme al derecho interno aplicable.</w:t>
      </w:r>
    </w:p>
    <w:p w:rsidR="00F249DD" w:rsidRPr="007040F4" w:rsidRDefault="00F249DD" w:rsidP="00120F89">
      <w:pPr>
        <w:autoSpaceDE w:val="0"/>
        <w:autoSpaceDN w:val="0"/>
        <w:adjustRightInd w:val="0"/>
        <w:jc w:val="both"/>
        <w:rPr>
          <w:rFonts w:ascii="Verdana" w:hAnsi="Verdana" w:cs="Verdana"/>
          <w:sz w:val="20"/>
          <w:szCs w:val="20"/>
          <w:lang w:val="es-ES"/>
        </w:rPr>
      </w:pPr>
    </w:p>
    <w:p w:rsidR="00F249DD" w:rsidRDefault="00F249DD">
      <w:pPr>
        <w:numPr>
          <w:ilvl w:val="0"/>
          <w:numId w:val="56"/>
        </w:numPr>
        <w:tabs>
          <w:tab w:val="clear" w:pos="1170"/>
        </w:tabs>
        <w:autoSpaceDE w:val="0"/>
        <w:autoSpaceDN w:val="0"/>
        <w:adjustRightInd w:val="0"/>
        <w:ind w:left="0"/>
        <w:jc w:val="both"/>
        <w:rPr>
          <w:rFonts w:ascii="Verdana" w:hAnsi="Verdana" w:cs="Verdana"/>
          <w:sz w:val="20"/>
          <w:szCs w:val="20"/>
          <w:lang w:val="es-ES"/>
        </w:rPr>
      </w:pPr>
      <w:r w:rsidRPr="007040F4">
        <w:rPr>
          <w:rFonts w:ascii="Verdana" w:hAnsi="Verdana" w:cs="Verdana"/>
          <w:sz w:val="20"/>
          <w:szCs w:val="20"/>
          <w:lang w:val="es-ES"/>
        </w:rPr>
        <w:t>El Estado debe cumplir sus obligaciones mediante el pago en dólares de los Estados Unidos de América</w:t>
      </w:r>
      <w:r>
        <w:rPr>
          <w:rFonts w:ascii="Verdana" w:hAnsi="Verdana" w:cs="Verdana"/>
          <w:sz w:val="20"/>
          <w:szCs w:val="20"/>
          <w:lang w:val="es-ES"/>
        </w:rPr>
        <w:t>.</w:t>
      </w:r>
    </w:p>
    <w:p w:rsidR="00F249DD" w:rsidRPr="007040F4" w:rsidRDefault="00F249DD" w:rsidP="00120F89">
      <w:pPr>
        <w:autoSpaceDE w:val="0"/>
        <w:autoSpaceDN w:val="0"/>
        <w:adjustRightInd w:val="0"/>
        <w:jc w:val="both"/>
        <w:rPr>
          <w:rFonts w:ascii="Verdana" w:hAnsi="Verdana" w:cs="Verdana"/>
          <w:sz w:val="20"/>
          <w:szCs w:val="20"/>
          <w:lang w:val="es-ES"/>
        </w:rPr>
      </w:pPr>
    </w:p>
    <w:p w:rsidR="00F249DD" w:rsidRDefault="00F249DD">
      <w:pPr>
        <w:numPr>
          <w:ilvl w:val="0"/>
          <w:numId w:val="56"/>
        </w:numPr>
        <w:tabs>
          <w:tab w:val="clear" w:pos="1170"/>
        </w:tabs>
        <w:autoSpaceDE w:val="0"/>
        <w:autoSpaceDN w:val="0"/>
        <w:adjustRightInd w:val="0"/>
        <w:ind w:left="0"/>
        <w:jc w:val="both"/>
        <w:rPr>
          <w:rFonts w:ascii="Verdana" w:hAnsi="Verdana" w:cs="Verdana"/>
          <w:sz w:val="20"/>
          <w:szCs w:val="20"/>
          <w:lang w:val="es-ES"/>
        </w:rPr>
      </w:pPr>
      <w:r w:rsidRPr="007040F4">
        <w:rPr>
          <w:rFonts w:ascii="Verdana" w:hAnsi="Verdana" w:cs="Verdana"/>
          <w:sz w:val="20"/>
          <w:szCs w:val="20"/>
          <w:lang w:val="es-ES"/>
        </w:rPr>
        <w:t xml:space="preserve">Si por causas atribuibles </w:t>
      </w:r>
      <w:r>
        <w:rPr>
          <w:rFonts w:ascii="Verdana" w:hAnsi="Verdana" w:cs="Verdana"/>
          <w:sz w:val="20"/>
          <w:szCs w:val="20"/>
          <w:lang w:val="es-ES"/>
        </w:rPr>
        <w:t>al</w:t>
      </w:r>
      <w:r w:rsidRPr="007040F4">
        <w:rPr>
          <w:rFonts w:ascii="Verdana" w:hAnsi="Verdana" w:cs="Verdana"/>
          <w:sz w:val="20"/>
          <w:szCs w:val="20"/>
          <w:lang w:val="es-ES"/>
        </w:rPr>
        <w:t xml:space="preserve"> beneficiario de las indemnizaciones o a sus derechohabientes, respectivamente, no fuese posible que éstos las reciban dentro del plazo indicado, el Estado consignará dichos montos a su favor en una cuenta o certificado de depósito en una institución financiera, en dólares estadounidenses y en las condiciones financieras más favorables que permitan la legislación y la práctica bancaria. Si al cabo de 10 años la indemnización no ha sido reclamada, las cantidades serán devueltas al Estado con los intereses devengados.</w:t>
      </w:r>
    </w:p>
    <w:p w:rsidR="00F249DD" w:rsidRPr="007040F4" w:rsidRDefault="00F249DD" w:rsidP="00120F89">
      <w:pPr>
        <w:autoSpaceDE w:val="0"/>
        <w:autoSpaceDN w:val="0"/>
        <w:adjustRightInd w:val="0"/>
        <w:jc w:val="both"/>
        <w:rPr>
          <w:rFonts w:ascii="Verdana" w:hAnsi="Verdana" w:cs="Verdana"/>
          <w:sz w:val="20"/>
          <w:szCs w:val="20"/>
          <w:lang w:val="es-ES"/>
        </w:rPr>
      </w:pPr>
    </w:p>
    <w:p w:rsidR="00F249DD" w:rsidRDefault="00F249DD">
      <w:pPr>
        <w:numPr>
          <w:ilvl w:val="0"/>
          <w:numId w:val="56"/>
        </w:numPr>
        <w:tabs>
          <w:tab w:val="clear" w:pos="1170"/>
        </w:tabs>
        <w:autoSpaceDE w:val="0"/>
        <w:autoSpaceDN w:val="0"/>
        <w:adjustRightInd w:val="0"/>
        <w:ind w:left="0"/>
        <w:jc w:val="both"/>
        <w:rPr>
          <w:rFonts w:ascii="Verdana" w:hAnsi="Verdana" w:cs="Verdana"/>
          <w:sz w:val="20"/>
          <w:szCs w:val="20"/>
          <w:lang w:val="es-ES"/>
        </w:rPr>
      </w:pPr>
      <w:r w:rsidRPr="007040F4">
        <w:rPr>
          <w:rFonts w:ascii="Verdana" w:hAnsi="Verdana" w:cs="Verdana"/>
          <w:sz w:val="20"/>
          <w:szCs w:val="20"/>
          <w:lang w:val="es-ES"/>
        </w:rPr>
        <w:t>Las cantidades asignadas en la presente Sentencia como indemnizaci</w:t>
      </w:r>
      <w:r>
        <w:rPr>
          <w:rFonts w:ascii="Verdana" w:hAnsi="Verdana" w:cs="Verdana"/>
          <w:sz w:val="20"/>
          <w:szCs w:val="20"/>
          <w:lang w:val="es-ES"/>
        </w:rPr>
        <w:t>ones</w:t>
      </w:r>
      <w:r w:rsidRPr="007040F4">
        <w:rPr>
          <w:rFonts w:ascii="Verdana" w:hAnsi="Verdana" w:cs="Verdana"/>
          <w:sz w:val="20"/>
          <w:szCs w:val="20"/>
          <w:lang w:val="es-ES"/>
        </w:rPr>
        <w:t xml:space="preserve"> y como reintegro de costas y gastos deberán ser entregadas a la persona indicada en forma íntegra conforme a lo establecido en este Fallo, sin reducciones derivadas de eventuales cargas fiscales. </w:t>
      </w:r>
    </w:p>
    <w:p w:rsidR="00F249DD" w:rsidRPr="007040F4" w:rsidRDefault="00F249DD" w:rsidP="00120F89">
      <w:pPr>
        <w:autoSpaceDE w:val="0"/>
        <w:autoSpaceDN w:val="0"/>
        <w:adjustRightInd w:val="0"/>
        <w:jc w:val="both"/>
        <w:rPr>
          <w:rFonts w:ascii="Verdana" w:hAnsi="Verdana" w:cs="Verdana"/>
          <w:sz w:val="20"/>
          <w:szCs w:val="20"/>
          <w:lang w:val="es-ES"/>
        </w:rPr>
      </w:pPr>
    </w:p>
    <w:p w:rsidR="00F249DD" w:rsidRDefault="00F249DD">
      <w:pPr>
        <w:numPr>
          <w:ilvl w:val="0"/>
          <w:numId w:val="56"/>
        </w:numPr>
        <w:tabs>
          <w:tab w:val="clear" w:pos="1170"/>
        </w:tabs>
        <w:autoSpaceDE w:val="0"/>
        <w:autoSpaceDN w:val="0"/>
        <w:adjustRightInd w:val="0"/>
        <w:ind w:left="0"/>
        <w:jc w:val="both"/>
        <w:rPr>
          <w:rFonts w:ascii="Verdana" w:hAnsi="Verdana" w:cs="Verdana"/>
          <w:sz w:val="20"/>
          <w:szCs w:val="20"/>
          <w:lang w:val="es-ES"/>
        </w:rPr>
      </w:pPr>
      <w:r w:rsidRPr="007040F4">
        <w:rPr>
          <w:rFonts w:ascii="Verdana" w:hAnsi="Verdana" w:cs="Verdana"/>
          <w:sz w:val="20"/>
          <w:szCs w:val="20"/>
          <w:lang w:val="es-ES"/>
        </w:rPr>
        <w:t>En caso de que el Estado incurriera en mora, deberá pagar un interés sobre la cantidad adeudada, correspondiente al</w:t>
      </w:r>
      <w:r>
        <w:rPr>
          <w:rFonts w:ascii="Verdana" w:hAnsi="Verdana" w:cs="Verdana"/>
          <w:sz w:val="20"/>
          <w:szCs w:val="20"/>
          <w:lang w:val="es-ES"/>
        </w:rPr>
        <w:t xml:space="preserve"> interés bancario moratorio en Ecuador</w:t>
      </w:r>
      <w:r w:rsidRPr="007040F4">
        <w:rPr>
          <w:rFonts w:ascii="Verdana" w:hAnsi="Verdana" w:cs="Verdana"/>
          <w:sz w:val="20"/>
          <w:szCs w:val="20"/>
          <w:lang w:val="es-ES"/>
        </w:rPr>
        <w:t>.</w:t>
      </w:r>
    </w:p>
    <w:p w:rsidR="00F249DD" w:rsidRDefault="00F249DD" w:rsidP="00120F89">
      <w:pPr>
        <w:autoSpaceDE w:val="0"/>
        <w:autoSpaceDN w:val="0"/>
        <w:adjustRightInd w:val="0"/>
        <w:jc w:val="both"/>
        <w:rPr>
          <w:rFonts w:ascii="Verdana" w:hAnsi="Verdana" w:cs="Verdana"/>
          <w:sz w:val="20"/>
          <w:szCs w:val="20"/>
          <w:lang w:val="es-ES"/>
        </w:rPr>
      </w:pPr>
    </w:p>
    <w:p w:rsidR="00F249DD" w:rsidRDefault="00F249DD">
      <w:pPr>
        <w:pStyle w:val="Ttulo1"/>
        <w:ind w:left="0" w:firstLine="0"/>
        <w:jc w:val="center"/>
        <w:rPr>
          <w:sz w:val="20"/>
          <w:szCs w:val="20"/>
          <w:lang w:val="es-ES"/>
        </w:rPr>
      </w:pPr>
      <w:bookmarkStart w:id="374" w:name="_Toc286223894"/>
      <w:bookmarkStart w:id="375" w:name="_Toc294633784"/>
      <w:bookmarkStart w:id="376" w:name="_Toc294634502"/>
      <w:bookmarkStart w:id="377" w:name="_Toc294635330"/>
      <w:bookmarkStart w:id="378" w:name="_Toc294862723"/>
      <w:bookmarkStart w:id="379" w:name="_Toc294862786"/>
      <w:bookmarkStart w:id="380" w:name="_Toc295380337"/>
      <w:bookmarkStart w:id="381" w:name="_Toc295394489"/>
      <w:bookmarkStart w:id="382" w:name="_Toc295394643"/>
      <w:bookmarkStart w:id="383" w:name="_Toc295986095"/>
      <w:bookmarkStart w:id="384" w:name="_Toc295986312"/>
      <w:bookmarkStart w:id="385" w:name="_Toc295986432"/>
    </w:p>
    <w:p w:rsidR="00F249DD" w:rsidRPr="007040F4" w:rsidRDefault="00F249DD" w:rsidP="00120F89">
      <w:pPr>
        <w:pStyle w:val="Ttulo1"/>
        <w:numPr>
          <w:ilvl w:val="0"/>
          <w:numId w:val="0"/>
        </w:numPr>
        <w:jc w:val="center"/>
        <w:rPr>
          <w:sz w:val="20"/>
          <w:szCs w:val="20"/>
          <w:lang w:val="es-ES"/>
        </w:rPr>
      </w:pPr>
      <w:r w:rsidRPr="007040F4">
        <w:rPr>
          <w:sz w:val="20"/>
          <w:szCs w:val="20"/>
          <w:lang w:val="es-ES"/>
        </w:rPr>
        <w:t>Puntos Resolutivos</w:t>
      </w:r>
      <w:bookmarkEnd w:id="374"/>
      <w:bookmarkEnd w:id="375"/>
      <w:bookmarkEnd w:id="376"/>
      <w:bookmarkEnd w:id="377"/>
      <w:bookmarkEnd w:id="378"/>
      <w:bookmarkEnd w:id="379"/>
      <w:bookmarkEnd w:id="380"/>
      <w:bookmarkEnd w:id="381"/>
      <w:bookmarkEnd w:id="382"/>
      <w:bookmarkEnd w:id="383"/>
      <w:bookmarkEnd w:id="384"/>
      <w:bookmarkEnd w:id="385"/>
    </w:p>
    <w:p w:rsidR="00F249DD" w:rsidRDefault="00F249DD" w:rsidP="00120F89">
      <w:pPr>
        <w:autoSpaceDE w:val="0"/>
        <w:autoSpaceDN w:val="0"/>
        <w:adjustRightInd w:val="0"/>
        <w:jc w:val="both"/>
        <w:rPr>
          <w:rFonts w:ascii="Verdana" w:hAnsi="Verdana" w:cs="Verdana"/>
          <w:sz w:val="20"/>
          <w:szCs w:val="20"/>
          <w:lang w:val="es-ES"/>
        </w:rPr>
      </w:pPr>
    </w:p>
    <w:p w:rsidR="00F249DD" w:rsidRDefault="00F249DD">
      <w:pPr>
        <w:numPr>
          <w:ilvl w:val="0"/>
          <w:numId w:val="56"/>
        </w:numPr>
        <w:tabs>
          <w:tab w:val="clear" w:pos="1170"/>
        </w:tabs>
        <w:autoSpaceDE w:val="0"/>
        <w:autoSpaceDN w:val="0"/>
        <w:adjustRightInd w:val="0"/>
        <w:ind w:left="0"/>
        <w:jc w:val="both"/>
        <w:rPr>
          <w:rFonts w:ascii="Verdana" w:hAnsi="Verdana" w:cs="Verdana"/>
          <w:sz w:val="20"/>
          <w:szCs w:val="20"/>
          <w:lang w:val="es-ES"/>
        </w:rPr>
      </w:pPr>
      <w:r w:rsidRPr="007040F4">
        <w:rPr>
          <w:rFonts w:ascii="Verdana" w:hAnsi="Verdana"/>
          <w:sz w:val="20"/>
          <w:szCs w:val="20"/>
          <w:lang w:val="es-ES"/>
        </w:rPr>
        <w:t xml:space="preserve">Por tanto, </w:t>
      </w:r>
    </w:p>
    <w:p w:rsidR="00F249DD" w:rsidRPr="007040F4" w:rsidRDefault="00F249DD" w:rsidP="00120F89">
      <w:pPr>
        <w:spacing w:before="200" w:after="200"/>
        <w:jc w:val="both"/>
        <w:rPr>
          <w:rFonts w:ascii="Verdana" w:hAnsi="Verdana"/>
          <w:b/>
          <w:sz w:val="20"/>
          <w:szCs w:val="20"/>
          <w:lang w:val="es-ES"/>
        </w:rPr>
      </w:pPr>
      <w:r w:rsidRPr="007040F4">
        <w:rPr>
          <w:rFonts w:ascii="Verdana" w:hAnsi="Verdana"/>
          <w:b/>
          <w:sz w:val="20"/>
          <w:szCs w:val="20"/>
          <w:lang w:val="es-ES"/>
        </w:rPr>
        <w:t xml:space="preserve">LA CORTE </w:t>
      </w:r>
    </w:p>
    <w:p w:rsidR="00F249DD" w:rsidRDefault="00F249DD" w:rsidP="00CD04D8">
      <w:pPr>
        <w:spacing w:before="200" w:after="200"/>
        <w:jc w:val="both"/>
        <w:rPr>
          <w:rFonts w:ascii="Verdana" w:hAnsi="Verdana"/>
          <w:b/>
          <w:sz w:val="20"/>
          <w:szCs w:val="20"/>
          <w:lang w:val="es-ES"/>
        </w:rPr>
      </w:pPr>
      <w:r w:rsidRPr="007040F4">
        <w:rPr>
          <w:rFonts w:ascii="Verdana" w:hAnsi="Verdana"/>
          <w:b/>
          <w:sz w:val="20"/>
          <w:szCs w:val="20"/>
          <w:lang w:val="es-ES"/>
        </w:rPr>
        <w:lastRenderedPageBreak/>
        <w:t>DECIDE:</w:t>
      </w:r>
    </w:p>
    <w:p w:rsidR="00F249DD" w:rsidRPr="00BD2327" w:rsidRDefault="00F249DD" w:rsidP="00CD04D8">
      <w:pPr>
        <w:spacing w:before="200" w:after="200"/>
        <w:jc w:val="both"/>
        <w:rPr>
          <w:rFonts w:ascii="Verdana" w:hAnsi="Verdana"/>
          <w:sz w:val="20"/>
          <w:szCs w:val="20"/>
          <w:lang w:val="es-ES"/>
        </w:rPr>
      </w:pPr>
      <w:r w:rsidRPr="007040F4">
        <w:rPr>
          <w:rFonts w:ascii="Verdana" w:hAnsi="Verdana"/>
          <w:sz w:val="20"/>
          <w:szCs w:val="20"/>
          <w:lang w:val="es-ES"/>
        </w:rPr>
        <w:t xml:space="preserve">Por </w:t>
      </w:r>
      <w:r>
        <w:rPr>
          <w:rFonts w:ascii="Verdana" w:hAnsi="Verdana"/>
          <w:sz w:val="20"/>
          <w:szCs w:val="20"/>
          <w:lang w:val="es-ES"/>
        </w:rPr>
        <w:t>unanimidad</w:t>
      </w:r>
      <w:r w:rsidRPr="007040F4">
        <w:rPr>
          <w:rFonts w:ascii="Verdana" w:hAnsi="Verdana"/>
          <w:sz w:val="20"/>
          <w:szCs w:val="20"/>
          <w:lang w:val="es-ES"/>
        </w:rPr>
        <w:t>, que,</w:t>
      </w:r>
    </w:p>
    <w:p w:rsidR="00F249DD" w:rsidRPr="007040F4" w:rsidRDefault="00F249DD" w:rsidP="00CD04D8">
      <w:pPr>
        <w:spacing w:before="200" w:after="200"/>
        <w:jc w:val="both"/>
        <w:rPr>
          <w:rFonts w:ascii="Verdana" w:hAnsi="Verdana"/>
          <w:sz w:val="20"/>
          <w:szCs w:val="20"/>
          <w:lang w:val="es-ES"/>
        </w:rPr>
      </w:pPr>
      <w:r w:rsidRPr="007040F4">
        <w:rPr>
          <w:rFonts w:ascii="Verdana" w:hAnsi="Verdana"/>
          <w:sz w:val="20"/>
          <w:szCs w:val="20"/>
          <w:lang w:val="es-ES"/>
        </w:rPr>
        <w:t xml:space="preserve">1. Desestimar las excepciones preliminares interpuestas por el Estado, en los términos de los párrafos </w:t>
      </w:r>
      <w:r>
        <w:rPr>
          <w:rFonts w:ascii="Verdana" w:hAnsi="Verdana"/>
          <w:sz w:val="20"/>
          <w:szCs w:val="20"/>
          <w:lang w:val="es-ES"/>
        </w:rPr>
        <w:t>18 al 23 y 27 al 34</w:t>
      </w:r>
      <w:r w:rsidRPr="007040F4">
        <w:rPr>
          <w:rFonts w:ascii="Verdana" w:hAnsi="Verdana"/>
          <w:sz w:val="20"/>
          <w:szCs w:val="20"/>
          <w:lang w:val="es-ES"/>
        </w:rPr>
        <w:t xml:space="preserve"> de la presente Sentencia.</w:t>
      </w:r>
    </w:p>
    <w:p w:rsidR="00F249DD" w:rsidRPr="007040F4" w:rsidRDefault="00F249DD" w:rsidP="00CD04D8">
      <w:pPr>
        <w:spacing w:before="200" w:after="200"/>
        <w:jc w:val="both"/>
        <w:rPr>
          <w:rFonts w:ascii="Verdana" w:hAnsi="Verdana"/>
          <w:b/>
          <w:sz w:val="20"/>
          <w:szCs w:val="20"/>
          <w:lang w:val="es-ES"/>
        </w:rPr>
      </w:pPr>
      <w:r w:rsidRPr="007040F4">
        <w:rPr>
          <w:rFonts w:ascii="Verdana" w:hAnsi="Verdana"/>
          <w:b/>
          <w:sz w:val="20"/>
          <w:szCs w:val="20"/>
          <w:lang w:val="es-ES"/>
        </w:rPr>
        <w:t>DECLARA:</w:t>
      </w:r>
    </w:p>
    <w:p w:rsidR="00F249DD" w:rsidRPr="007040F4" w:rsidRDefault="00F249DD" w:rsidP="00CD04D8">
      <w:pPr>
        <w:spacing w:before="200" w:after="200"/>
        <w:jc w:val="both"/>
        <w:rPr>
          <w:rFonts w:ascii="Verdana" w:hAnsi="Verdana"/>
          <w:sz w:val="20"/>
          <w:szCs w:val="20"/>
          <w:lang w:val="es-ES"/>
        </w:rPr>
      </w:pPr>
      <w:r w:rsidRPr="007040F4">
        <w:rPr>
          <w:rFonts w:ascii="Verdana" w:hAnsi="Verdana"/>
          <w:sz w:val="20"/>
          <w:szCs w:val="20"/>
          <w:lang w:val="es-ES"/>
        </w:rPr>
        <w:t>Por</w:t>
      </w:r>
      <w:r>
        <w:rPr>
          <w:rFonts w:ascii="Verdana" w:hAnsi="Verdana"/>
          <w:sz w:val="20"/>
          <w:szCs w:val="20"/>
          <w:lang w:val="es-ES"/>
        </w:rPr>
        <w:t xml:space="preserve"> unanimidad</w:t>
      </w:r>
      <w:r w:rsidRPr="007040F4">
        <w:rPr>
          <w:rFonts w:ascii="Verdana" w:hAnsi="Verdana"/>
          <w:sz w:val="20"/>
          <w:szCs w:val="20"/>
          <w:lang w:val="es-ES"/>
        </w:rPr>
        <w:t>, que</w:t>
      </w:r>
    </w:p>
    <w:p w:rsidR="00F249DD" w:rsidRPr="0038089D" w:rsidRDefault="00F249DD" w:rsidP="00884CD4">
      <w:pPr>
        <w:spacing w:before="200" w:after="200"/>
        <w:jc w:val="both"/>
        <w:rPr>
          <w:rFonts w:ascii="Verdana" w:hAnsi="Verdana"/>
          <w:sz w:val="20"/>
          <w:szCs w:val="20"/>
          <w:lang w:val="es-ES"/>
        </w:rPr>
      </w:pPr>
      <w:r>
        <w:rPr>
          <w:rFonts w:ascii="Verdana" w:hAnsi="Verdana"/>
          <w:sz w:val="20"/>
          <w:szCs w:val="20"/>
          <w:lang w:val="es-ES"/>
        </w:rPr>
        <w:t>1.</w:t>
      </w:r>
      <w:r>
        <w:rPr>
          <w:rFonts w:ascii="Verdana" w:hAnsi="Verdana"/>
          <w:sz w:val="20"/>
          <w:szCs w:val="20"/>
          <w:lang w:val="es-ES"/>
        </w:rPr>
        <w:tab/>
      </w:r>
      <w:r w:rsidRPr="0038089D">
        <w:rPr>
          <w:rFonts w:ascii="Verdana" w:hAnsi="Verdana"/>
          <w:sz w:val="20"/>
          <w:szCs w:val="20"/>
          <w:lang w:val="es-ES"/>
        </w:rPr>
        <w:t xml:space="preserve">No corresponde emitir un pronunciamiento sobre la alegada violación del debido proceso establecido en el artículo 8.1 de la Convención Americana </w:t>
      </w:r>
      <w:r>
        <w:rPr>
          <w:rFonts w:ascii="Verdana" w:hAnsi="Verdana"/>
          <w:sz w:val="20"/>
          <w:szCs w:val="20"/>
          <w:lang w:val="es-ES"/>
        </w:rPr>
        <w:t>sobre</w:t>
      </w:r>
      <w:r w:rsidRPr="0038089D">
        <w:rPr>
          <w:rFonts w:ascii="Verdana" w:hAnsi="Verdana"/>
          <w:sz w:val="20"/>
          <w:szCs w:val="20"/>
          <w:lang w:val="es-ES"/>
        </w:rPr>
        <w:t xml:space="preserve"> Derechos Humanos, en los términos de los párrafos</w:t>
      </w:r>
      <w:r>
        <w:rPr>
          <w:rFonts w:ascii="Verdana" w:hAnsi="Verdana"/>
          <w:sz w:val="20"/>
          <w:szCs w:val="20"/>
          <w:lang w:val="es-ES"/>
        </w:rPr>
        <w:t xml:space="preserve"> 63 y 64 y 68 al 84</w:t>
      </w:r>
      <w:r w:rsidRPr="0038089D">
        <w:rPr>
          <w:rFonts w:ascii="Verdana" w:hAnsi="Verdana"/>
          <w:sz w:val="20"/>
          <w:szCs w:val="20"/>
          <w:lang w:val="es-ES"/>
        </w:rPr>
        <w:t xml:space="preserve"> de la presente Sentencia.</w:t>
      </w:r>
    </w:p>
    <w:p w:rsidR="00F249DD" w:rsidRPr="00D146A9" w:rsidRDefault="00F249DD" w:rsidP="00CD04D8">
      <w:pPr>
        <w:numPr>
          <w:ilvl w:val="3"/>
          <w:numId w:val="26"/>
        </w:numPr>
        <w:spacing w:before="200" w:after="200"/>
        <w:ind w:left="0" w:firstLine="0"/>
        <w:jc w:val="both"/>
        <w:rPr>
          <w:rFonts w:ascii="Verdana" w:hAnsi="Verdana"/>
          <w:sz w:val="20"/>
          <w:szCs w:val="20"/>
          <w:highlight w:val="yellow"/>
          <w:lang w:val="es-ES"/>
        </w:rPr>
      </w:pPr>
      <w:r w:rsidRPr="00D146A9">
        <w:rPr>
          <w:rFonts w:ascii="Verdana" w:hAnsi="Verdana"/>
          <w:sz w:val="20"/>
          <w:szCs w:val="20"/>
          <w:highlight w:val="yellow"/>
          <w:lang w:val="es-ES"/>
        </w:rPr>
        <w:t>El Estado es responsable por la violación del derecho a la protección judicial establecido en los artículos 25.1 y 25.2.c) de la Convención Americana sobre Derechos Humanos, en relación con el artículo 1.1 de ese instrumento, en perjuicio de José Alfredo Mejía Idrovo, en los términos de los párrafos 89 al 112 de la presente Sentencia.</w:t>
      </w:r>
    </w:p>
    <w:p w:rsidR="00F249DD" w:rsidRDefault="00F249DD" w:rsidP="00CD04D8">
      <w:pPr>
        <w:numPr>
          <w:ilvl w:val="3"/>
          <w:numId w:val="26"/>
        </w:numPr>
        <w:spacing w:before="200" w:after="200"/>
        <w:ind w:left="0" w:firstLine="0"/>
        <w:jc w:val="both"/>
        <w:rPr>
          <w:rFonts w:ascii="Verdana" w:hAnsi="Verdana"/>
          <w:sz w:val="20"/>
          <w:szCs w:val="20"/>
          <w:lang w:val="es-ES"/>
        </w:rPr>
      </w:pPr>
      <w:r w:rsidRPr="00966986">
        <w:rPr>
          <w:rFonts w:ascii="Verdana" w:hAnsi="Verdana"/>
          <w:sz w:val="20"/>
          <w:szCs w:val="20"/>
          <w:lang w:val="es-ES"/>
        </w:rPr>
        <w:t xml:space="preserve">No fue demostrado que el Estado incumplió con la obligación contenida en el artículo 2 de la Convención Americana </w:t>
      </w:r>
      <w:r>
        <w:rPr>
          <w:rFonts w:ascii="Verdana" w:hAnsi="Verdana"/>
          <w:sz w:val="20"/>
          <w:szCs w:val="20"/>
          <w:lang w:val="es-ES"/>
        </w:rPr>
        <w:t>sobre</w:t>
      </w:r>
      <w:r w:rsidRPr="00966986">
        <w:rPr>
          <w:rFonts w:ascii="Verdana" w:hAnsi="Verdana"/>
          <w:sz w:val="20"/>
          <w:szCs w:val="20"/>
          <w:lang w:val="es-ES"/>
        </w:rPr>
        <w:t xml:space="preserve"> Derechos Humanos, </w:t>
      </w:r>
      <w:r w:rsidRPr="0038089D">
        <w:rPr>
          <w:rFonts w:ascii="Verdana" w:hAnsi="Verdana"/>
          <w:sz w:val="20"/>
          <w:szCs w:val="20"/>
          <w:lang w:val="es-ES"/>
        </w:rPr>
        <w:t>en perjuicio de José Alfredo Mejía Idrovo, e</w:t>
      </w:r>
      <w:r w:rsidRPr="00966986">
        <w:rPr>
          <w:rFonts w:ascii="Verdana" w:hAnsi="Verdana"/>
          <w:sz w:val="20"/>
          <w:szCs w:val="20"/>
          <w:lang w:val="es-ES"/>
        </w:rPr>
        <w:t>n los términos de</w:t>
      </w:r>
      <w:r>
        <w:rPr>
          <w:rFonts w:ascii="Verdana" w:hAnsi="Verdana"/>
          <w:sz w:val="20"/>
          <w:szCs w:val="20"/>
          <w:lang w:val="es-ES"/>
        </w:rPr>
        <w:t xml:space="preserve">l </w:t>
      </w:r>
      <w:r w:rsidRPr="00966986">
        <w:rPr>
          <w:rFonts w:ascii="Verdana" w:hAnsi="Verdana"/>
          <w:sz w:val="20"/>
          <w:szCs w:val="20"/>
          <w:lang w:val="es-ES"/>
        </w:rPr>
        <w:t xml:space="preserve">párrafo </w:t>
      </w:r>
      <w:r>
        <w:rPr>
          <w:rFonts w:ascii="Verdana" w:hAnsi="Verdana"/>
          <w:sz w:val="20"/>
          <w:szCs w:val="20"/>
          <w:lang w:val="es-ES"/>
        </w:rPr>
        <w:t>115</w:t>
      </w:r>
      <w:r w:rsidRPr="00966986">
        <w:rPr>
          <w:rFonts w:ascii="Verdana" w:hAnsi="Verdana"/>
          <w:sz w:val="20"/>
          <w:szCs w:val="20"/>
          <w:lang w:val="es-ES"/>
        </w:rPr>
        <w:t xml:space="preserve"> de la presente Sentencia</w:t>
      </w:r>
      <w:r>
        <w:rPr>
          <w:rFonts w:ascii="Verdana" w:hAnsi="Verdana"/>
          <w:sz w:val="20"/>
          <w:szCs w:val="20"/>
          <w:lang w:val="es-ES"/>
        </w:rPr>
        <w:t>.</w:t>
      </w:r>
    </w:p>
    <w:p w:rsidR="00F249DD" w:rsidRDefault="00F249DD" w:rsidP="0062765F">
      <w:pPr>
        <w:numPr>
          <w:ilvl w:val="3"/>
          <w:numId w:val="26"/>
        </w:numPr>
        <w:spacing w:before="200" w:after="200"/>
        <w:ind w:left="0" w:firstLine="0"/>
        <w:jc w:val="both"/>
        <w:rPr>
          <w:rFonts w:ascii="Verdana" w:hAnsi="Verdana"/>
          <w:sz w:val="20"/>
          <w:szCs w:val="20"/>
          <w:lang w:val="es-ES"/>
        </w:rPr>
      </w:pPr>
      <w:r>
        <w:rPr>
          <w:rFonts w:ascii="Verdana" w:hAnsi="Verdana"/>
          <w:sz w:val="20"/>
          <w:szCs w:val="20"/>
          <w:lang w:val="es-ES"/>
        </w:rPr>
        <w:t xml:space="preserve">No corresponde emitir un pronunciamiento sobre la alegada </w:t>
      </w:r>
      <w:r w:rsidRPr="00966986">
        <w:rPr>
          <w:rFonts w:ascii="Verdana" w:hAnsi="Verdana"/>
          <w:sz w:val="20"/>
          <w:szCs w:val="20"/>
          <w:lang w:val="es-ES"/>
        </w:rPr>
        <w:t>violación del derecho a la igualdad ante la Ley establecido en el</w:t>
      </w:r>
      <w:r w:rsidRPr="007040F4">
        <w:rPr>
          <w:rFonts w:ascii="Verdana" w:hAnsi="Verdana"/>
          <w:sz w:val="20"/>
          <w:szCs w:val="20"/>
          <w:lang w:val="es-ES"/>
        </w:rPr>
        <w:t xml:space="preserve"> artículo 24 de la Convención</w:t>
      </w:r>
      <w:r>
        <w:rPr>
          <w:rFonts w:ascii="Verdana" w:hAnsi="Verdana"/>
          <w:sz w:val="20"/>
          <w:szCs w:val="20"/>
          <w:lang w:val="es-ES"/>
        </w:rPr>
        <w:t xml:space="preserve"> Americana sobre Derechos Humanos, de conformidad con </w:t>
      </w:r>
      <w:r w:rsidRPr="007040F4">
        <w:rPr>
          <w:rFonts w:ascii="Verdana" w:hAnsi="Verdana"/>
          <w:sz w:val="20"/>
          <w:szCs w:val="20"/>
          <w:lang w:val="es-ES"/>
        </w:rPr>
        <w:t xml:space="preserve">los párrafos </w:t>
      </w:r>
      <w:r>
        <w:rPr>
          <w:rFonts w:ascii="Verdana" w:hAnsi="Verdana"/>
          <w:sz w:val="20"/>
          <w:szCs w:val="20"/>
          <w:lang w:val="es-ES"/>
        </w:rPr>
        <w:t>120 al 125</w:t>
      </w:r>
      <w:r w:rsidRPr="007040F4">
        <w:rPr>
          <w:rFonts w:ascii="Verdana" w:hAnsi="Verdana"/>
          <w:sz w:val="20"/>
          <w:szCs w:val="20"/>
          <w:lang w:val="es-ES"/>
        </w:rPr>
        <w:t xml:space="preserve"> de la presente Sentencia.</w:t>
      </w:r>
    </w:p>
    <w:p w:rsidR="00F249DD" w:rsidRPr="0062765F" w:rsidRDefault="00F249DD" w:rsidP="003515BA">
      <w:pPr>
        <w:numPr>
          <w:ilvl w:val="3"/>
          <w:numId w:val="26"/>
        </w:numPr>
        <w:spacing w:before="200" w:after="200"/>
        <w:ind w:left="0" w:firstLine="0"/>
        <w:jc w:val="both"/>
        <w:rPr>
          <w:rFonts w:ascii="Verdana" w:hAnsi="Verdana"/>
          <w:sz w:val="20"/>
          <w:szCs w:val="20"/>
          <w:lang w:val="es-ES"/>
        </w:rPr>
      </w:pPr>
      <w:r w:rsidRPr="00955773">
        <w:rPr>
          <w:rFonts w:ascii="Verdana" w:hAnsi="Verdana"/>
          <w:sz w:val="20"/>
          <w:szCs w:val="20"/>
          <w:lang w:val="es-ES"/>
        </w:rPr>
        <w:t xml:space="preserve">El Estado cumplió con su deber de reincorporar en su cargo a José Alfredo Mejía Idrovo, y con ello restituir sus derechos, en los términos de los párrafos </w:t>
      </w:r>
      <w:r>
        <w:rPr>
          <w:rFonts w:ascii="Verdana" w:hAnsi="Verdana"/>
          <w:sz w:val="20"/>
          <w:szCs w:val="20"/>
          <w:lang w:val="es-ES"/>
        </w:rPr>
        <w:t>137 y 138</w:t>
      </w:r>
      <w:r w:rsidRPr="00955773">
        <w:rPr>
          <w:rFonts w:ascii="Verdana" w:hAnsi="Verdana"/>
          <w:sz w:val="20"/>
          <w:szCs w:val="20"/>
          <w:lang w:val="es-ES"/>
        </w:rPr>
        <w:t xml:space="preserve"> de la presente Sentencia.</w:t>
      </w:r>
    </w:p>
    <w:p w:rsidR="00F249DD" w:rsidRPr="007040F4" w:rsidRDefault="00F249DD" w:rsidP="00CD04D8">
      <w:pPr>
        <w:spacing w:before="200" w:after="200"/>
        <w:jc w:val="both"/>
        <w:rPr>
          <w:rFonts w:ascii="Verdana" w:hAnsi="Verdana"/>
          <w:b/>
          <w:sz w:val="20"/>
          <w:szCs w:val="20"/>
          <w:lang w:val="es-ES"/>
        </w:rPr>
      </w:pPr>
      <w:r w:rsidRPr="007040F4">
        <w:rPr>
          <w:rFonts w:ascii="Verdana" w:hAnsi="Verdana"/>
          <w:b/>
          <w:sz w:val="20"/>
          <w:szCs w:val="20"/>
          <w:lang w:val="es-ES"/>
        </w:rPr>
        <w:t>DISPONE</w:t>
      </w:r>
      <w:r>
        <w:rPr>
          <w:rFonts w:ascii="Verdana" w:hAnsi="Verdana"/>
          <w:b/>
          <w:sz w:val="20"/>
          <w:szCs w:val="20"/>
          <w:lang w:val="es-ES"/>
        </w:rPr>
        <w:t>:</w:t>
      </w:r>
      <w:r w:rsidRPr="007040F4">
        <w:rPr>
          <w:rFonts w:ascii="Verdana" w:hAnsi="Verdana"/>
          <w:b/>
          <w:sz w:val="20"/>
          <w:szCs w:val="20"/>
          <w:lang w:val="es-ES"/>
        </w:rPr>
        <w:t xml:space="preserve"> </w:t>
      </w:r>
    </w:p>
    <w:p w:rsidR="00F249DD" w:rsidRPr="007040F4" w:rsidRDefault="00F249DD" w:rsidP="00CD04D8">
      <w:pPr>
        <w:spacing w:before="200" w:after="200"/>
        <w:jc w:val="both"/>
        <w:rPr>
          <w:rFonts w:ascii="Verdana" w:hAnsi="Verdana"/>
          <w:sz w:val="20"/>
          <w:szCs w:val="20"/>
          <w:lang w:val="es-ES"/>
        </w:rPr>
      </w:pPr>
      <w:r w:rsidRPr="007040F4">
        <w:rPr>
          <w:rFonts w:ascii="Verdana" w:hAnsi="Verdana"/>
          <w:sz w:val="20"/>
          <w:szCs w:val="20"/>
          <w:lang w:val="es-ES"/>
        </w:rPr>
        <w:t xml:space="preserve">Por </w:t>
      </w:r>
      <w:r>
        <w:rPr>
          <w:rFonts w:ascii="Verdana" w:hAnsi="Verdana"/>
          <w:sz w:val="20"/>
          <w:szCs w:val="20"/>
          <w:lang w:val="es-ES"/>
        </w:rPr>
        <w:t>unanimidad</w:t>
      </w:r>
      <w:r w:rsidRPr="007040F4">
        <w:rPr>
          <w:rFonts w:ascii="Verdana" w:hAnsi="Verdana"/>
          <w:sz w:val="20"/>
          <w:szCs w:val="20"/>
          <w:lang w:val="es-ES"/>
        </w:rPr>
        <w:t>, que,</w:t>
      </w:r>
    </w:p>
    <w:p w:rsidR="00F249DD" w:rsidRPr="007363BA" w:rsidRDefault="00F249DD" w:rsidP="00CD04D8">
      <w:pPr>
        <w:numPr>
          <w:ilvl w:val="0"/>
          <w:numId w:val="23"/>
        </w:numPr>
        <w:tabs>
          <w:tab w:val="num" w:pos="900"/>
        </w:tabs>
        <w:spacing w:before="200" w:after="200"/>
        <w:jc w:val="both"/>
        <w:rPr>
          <w:rFonts w:ascii="Verdana" w:hAnsi="Verdana"/>
          <w:sz w:val="20"/>
          <w:szCs w:val="20"/>
          <w:highlight w:val="yellow"/>
          <w:lang w:val="es-ES"/>
        </w:rPr>
      </w:pPr>
      <w:r w:rsidRPr="007363BA">
        <w:rPr>
          <w:rFonts w:ascii="Verdana" w:hAnsi="Verdana"/>
          <w:sz w:val="20"/>
          <w:szCs w:val="20"/>
          <w:highlight w:val="yellow"/>
          <w:lang w:val="es-ES"/>
        </w:rPr>
        <w:t xml:space="preserve">Esta Sentencia constituye </w:t>
      </w:r>
      <w:r w:rsidRPr="007363BA">
        <w:rPr>
          <w:rFonts w:ascii="Verdana" w:hAnsi="Verdana"/>
          <w:i/>
          <w:sz w:val="20"/>
          <w:szCs w:val="20"/>
          <w:highlight w:val="yellow"/>
          <w:lang w:val="es-ES"/>
        </w:rPr>
        <w:t>per se</w:t>
      </w:r>
      <w:r w:rsidRPr="007363BA">
        <w:rPr>
          <w:rFonts w:ascii="Verdana" w:hAnsi="Verdana"/>
          <w:sz w:val="20"/>
          <w:szCs w:val="20"/>
          <w:highlight w:val="yellow"/>
          <w:lang w:val="es-ES"/>
        </w:rPr>
        <w:t xml:space="preserve"> una forma de reparación.</w:t>
      </w:r>
    </w:p>
    <w:p w:rsidR="00F249DD" w:rsidRPr="007363BA" w:rsidRDefault="00F249DD" w:rsidP="00120F89">
      <w:pPr>
        <w:numPr>
          <w:ilvl w:val="0"/>
          <w:numId w:val="23"/>
        </w:numPr>
        <w:tabs>
          <w:tab w:val="clear" w:pos="720"/>
        </w:tabs>
        <w:ind w:left="0" w:firstLine="0"/>
        <w:jc w:val="both"/>
        <w:rPr>
          <w:rFonts w:ascii="Verdana" w:hAnsi="Verdana"/>
          <w:sz w:val="20"/>
          <w:szCs w:val="20"/>
          <w:highlight w:val="yellow"/>
          <w:lang w:val="es-ES"/>
        </w:rPr>
      </w:pPr>
      <w:r w:rsidRPr="007363BA">
        <w:rPr>
          <w:rFonts w:ascii="Verdana" w:hAnsi="Verdana"/>
          <w:sz w:val="20"/>
          <w:szCs w:val="20"/>
          <w:highlight w:val="yellow"/>
          <w:lang w:val="es-ES"/>
        </w:rPr>
        <w:t xml:space="preserve">El Estado debe realizar las publicaciones ordenadas en el párrafo 141 de esta Sentencia, en la forma y en el plazo indicado en el mencionado párrafo del Fallo. </w:t>
      </w:r>
    </w:p>
    <w:p w:rsidR="00F249DD" w:rsidRPr="007363BA" w:rsidRDefault="00F249DD" w:rsidP="00120F89">
      <w:pPr>
        <w:jc w:val="both"/>
        <w:rPr>
          <w:rFonts w:ascii="Verdana" w:hAnsi="Verdana"/>
          <w:sz w:val="20"/>
          <w:szCs w:val="20"/>
          <w:highlight w:val="yellow"/>
          <w:lang w:val="es-ES"/>
        </w:rPr>
      </w:pPr>
    </w:p>
    <w:p w:rsidR="00F249DD" w:rsidRPr="007363BA" w:rsidRDefault="00F249DD" w:rsidP="00120F89">
      <w:pPr>
        <w:numPr>
          <w:ilvl w:val="0"/>
          <w:numId w:val="23"/>
        </w:numPr>
        <w:tabs>
          <w:tab w:val="clear" w:pos="720"/>
        </w:tabs>
        <w:ind w:left="0" w:firstLine="0"/>
        <w:jc w:val="both"/>
        <w:rPr>
          <w:rFonts w:ascii="Verdana" w:hAnsi="Verdana"/>
          <w:sz w:val="20"/>
          <w:szCs w:val="20"/>
          <w:highlight w:val="yellow"/>
          <w:lang w:val="es-ES"/>
        </w:rPr>
      </w:pPr>
      <w:r w:rsidRPr="007363BA">
        <w:rPr>
          <w:rFonts w:ascii="Verdana" w:hAnsi="Verdana"/>
          <w:sz w:val="20"/>
          <w:szCs w:val="20"/>
          <w:highlight w:val="yellow"/>
          <w:lang w:val="es-ES"/>
        </w:rPr>
        <w:t>El Estado debe pagar las cantidades fijadas en los párrafos 156 y 163, dentro de los plazos respectivos, por concepto de indemnizaciones por daños materiales e inmateriales, y costas y gastos, en los términos y condiciones indicados en los párrafos 150 al 155 y 161, 162 y 164 de la presente Sentencia.</w:t>
      </w:r>
    </w:p>
    <w:p w:rsidR="00F249DD" w:rsidRPr="007363BA" w:rsidRDefault="00F249DD" w:rsidP="00120F89">
      <w:pPr>
        <w:jc w:val="both"/>
        <w:rPr>
          <w:rFonts w:ascii="Verdana" w:hAnsi="Verdana"/>
          <w:sz w:val="20"/>
          <w:szCs w:val="20"/>
          <w:highlight w:val="yellow"/>
          <w:lang w:val="es-ES"/>
        </w:rPr>
      </w:pPr>
    </w:p>
    <w:p w:rsidR="00F249DD" w:rsidRPr="007363BA" w:rsidRDefault="00F249DD">
      <w:pPr>
        <w:numPr>
          <w:ilvl w:val="0"/>
          <w:numId w:val="23"/>
        </w:numPr>
        <w:tabs>
          <w:tab w:val="clear" w:pos="720"/>
        </w:tabs>
        <w:ind w:left="0" w:firstLine="0"/>
        <w:jc w:val="both"/>
        <w:rPr>
          <w:rFonts w:ascii="Verdana" w:hAnsi="Verdana"/>
          <w:sz w:val="20"/>
          <w:szCs w:val="20"/>
          <w:highlight w:val="yellow"/>
          <w:lang w:val="es-ES"/>
        </w:rPr>
      </w:pPr>
      <w:r w:rsidRPr="007363BA">
        <w:rPr>
          <w:rFonts w:ascii="Verdana" w:hAnsi="Verdana"/>
          <w:sz w:val="20"/>
          <w:szCs w:val="20"/>
          <w:highlight w:val="yellow"/>
          <w:lang w:val="es-ES"/>
        </w:rPr>
        <w:t xml:space="preserve">Dentro del plazo de un año contado a partir de la notificación de esta Sentencia y a los efectos de la supervisión, el Estado debe rendir al Tribunal un informe sobre las medidas adoptadas para ello. </w:t>
      </w:r>
    </w:p>
    <w:p w:rsidR="00F249DD" w:rsidRPr="007363BA" w:rsidRDefault="00F249DD" w:rsidP="00120F89">
      <w:pPr>
        <w:jc w:val="both"/>
        <w:rPr>
          <w:rFonts w:ascii="Verdana" w:hAnsi="Verdana"/>
          <w:sz w:val="20"/>
          <w:szCs w:val="20"/>
          <w:highlight w:val="yellow"/>
          <w:lang w:val="es-ES"/>
        </w:rPr>
      </w:pPr>
    </w:p>
    <w:p w:rsidR="00F249DD" w:rsidRPr="007363BA" w:rsidRDefault="00F249DD">
      <w:pPr>
        <w:numPr>
          <w:ilvl w:val="0"/>
          <w:numId w:val="23"/>
        </w:numPr>
        <w:tabs>
          <w:tab w:val="clear" w:pos="720"/>
        </w:tabs>
        <w:ind w:left="0" w:firstLine="0"/>
        <w:jc w:val="both"/>
        <w:rPr>
          <w:rFonts w:ascii="Verdana" w:hAnsi="Verdana"/>
          <w:sz w:val="20"/>
          <w:szCs w:val="20"/>
          <w:highlight w:val="yellow"/>
          <w:lang w:val="es-ES"/>
        </w:rPr>
      </w:pPr>
      <w:r w:rsidRPr="007363BA">
        <w:rPr>
          <w:rFonts w:ascii="Verdana" w:hAnsi="Verdana"/>
          <w:sz w:val="20"/>
          <w:szCs w:val="20"/>
          <w:highlight w:val="yellow"/>
          <w:lang w:val="es-ES"/>
        </w:rPr>
        <w:t>La Corte dará por concluido el presente caso una vez que el Estado haya dado cabal cumplimiento a lo dispuesto en la misma.</w:t>
      </w:r>
    </w:p>
    <w:p w:rsidR="00F249DD" w:rsidRDefault="00F249DD" w:rsidP="00D708A8">
      <w:pPr>
        <w:pStyle w:val="Prrafodelista"/>
        <w:rPr>
          <w:rFonts w:ascii="Verdana" w:hAnsi="Verdana"/>
          <w:sz w:val="20"/>
          <w:szCs w:val="20"/>
          <w:lang w:val="es-ES"/>
        </w:rPr>
      </w:pPr>
    </w:p>
    <w:p w:rsidR="00F249DD" w:rsidRDefault="00F249DD" w:rsidP="00D708A8">
      <w:pPr>
        <w:jc w:val="both"/>
        <w:rPr>
          <w:rFonts w:ascii="Verdana" w:hAnsi="Verdana"/>
          <w:sz w:val="20"/>
          <w:szCs w:val="20"/>
          <w:lang w:val="es-ES"/>
        </w:rPr>
      </w:pPr>
    </w:p>
    <w:p w:rsidR="00F249DD" w:rsidRDefault="00F249DD" w:rsidP="00D708A8">
      <w:pPr>
        <w:jc w:val="both"/>
        <w:rPr>
          <w:rFonts w:ascii="Verdana" w:hAnsi="Verdana"/>
          <w:sz w:val="20"/>
          <w:szCs w:val="20"/>
          <w:lang w:val="es-ES"/>
        </w:rPr>
      </w:pPr>
    </w:p>
    <w:p w:rsidR="00854CE8" w:rsidRDefault="00854CE8" w:rsidP="00854CE8">
      <w:pPr>
        <w:jc w:val="center"/>
        <w:rPr>
          <w:lang w:val="es-ES"/>
        </w:rPr>
      </w:pPr>
    </w:p>
    <w:p w:rsidR="00854CE8" w:rsidRDefault="00854CE8" w:rsidP="00854CE8">
      <w:pPr>
        <w:jc w:val="center"/>
        <w:rPr>
          <w:lang w:val="es-ES"/>
        </w:rPr>
      </w:pPr>
    </w:p>
    <w:p w:rsidR="00854CE8" w:rsidRDefault="00854CE8" w:rsidP="00854CE8">
      <w:pPr>
        <w:jc w:val="center"/>
        <w:rPr>
          <w:lang w:val="es-ES"/>
        </w:rPr>
      </w:pPr>
    </w:p>
    <w:p w:rsidR="00854CE8" w:rsidRDefault="00854CE8" w:rsidP="00854CE8">
      <w:pPr>
        <w:jc w:val="center"/>
        <w:rPr>
          <w:lang w:val="es-ES"/>
        </w:rPr>
      </w:pPr>
    </w:p>
    <w:p w:rsidR="00854CE8" w:rsidRDefault="00854CE8" w:rsidP="00854CE8">
      <w:pPr>
        <w:jc w:val="center"/>
        <w:rPr>
          <w:lang w:val="es-ES"/>
        </w:rPr>
      </w:pPr>
    </w:p>
    <w:p w:rsidR="00854CE8" w:rsidRDefault="00854CE8" w:rsidP="00854CE8">
      <w:pPr>
        <w:jc w:val="center"/>
        <w:rPr>
          <w:lang w:val="es-ES"/>
        </w:rPr>
      </w:pPr>
      <w:r>
        <w:rPr>
          <w:lang w:val="es-ES"/>
        </w:rPr>
        <w:t>Diego García-Sayán</w:t>
      </w:r>
      <w:r>
        <w:rPr>
          <w:lang w:val="es-ES"/>
        </w:rPr>
        <w:tab/>
      </w:r>
    </w:p>
    <w:p w:rsidR="00854CE8" w:rsidRDefault="00854CE8" w:rsidP="00854CE8">
      <w:pPr>
        <w:jc w:val="center"/>
        <w:rPr>
          <w:lang w:val="es-ES"/>
        </w:rPr>
      </w:pPr>
      <w:r>
        <w:rPr>
          <w:lang w:val="es-ES"/>
        </w:rPr>
        <w:t>Presidente</w:t>
      </w:r>
    </w:p>
    <w:p w:rsidR="00854CE8" w:rsidRDefault="00854CE8" w:rsidP="00854CE8">
      <w:pPr>
        <w:jc w:val="both"/>
        <w:rPr>
          <w:lang w:val="es-ES"/>
        </w:rPr>
      </w:pPr>
    </w:p>
    <w:p w:rsidR="00854CE8" w:rsidRDefault="00854CE8" w:rsidP="00854CE8">
      <w:pPr>
        <w:jc w:val="both"/>
        <w:rPr>
          <w:lang w:val="es-ES"/>
        </w:rPr>
      </w:pPr>
    </w:p>
    <w:p w:rsidR="00854CE8" w:rsidRDefault="00854CE8" w:rsidP="00854CE8">
      <w:pPr>
        <w:jc w:val="both"/>
        <w:rPr>
          <w:lang w:val="es-ES"/>
        </w:rPr>
      </w:pPr>
    </w:p>
    <w:p w:rsidR="00854CE8" w:rsidRDefault="00854CE8" w:rsidP="00854CE8">
      <w:pPr>
        <w:jc w:val="both"/>
        <w:rPr>
          <w:lang w:val="es-ES"/>
        </w:rPr>
      </w:pPr>
    </w:p>
    <w:p w:rsidR="00854CE8" w:rsidRDefault="00854CE8" w:rsidP="00854CE8">
      <w:pPr>
        <w:jc w:val="both"/>
        <w:rPr>
          <w:lang w:val="es-ES"/>
        </w:rPr>
      </w:pPr>
      <w:r>
        <w:rPr>
          <w:lang w:val="es-ES"/>
        </w:rPr>
        <w:t>Leonardo A. Franco</w:t>
      </w:r>
      <w:r>
        <w:rPr>
          <w:lang w:val="es-ES"/>
        </w:rPr>
        <w:tab/>
      </w:r>
      <w:r>
        <w:rPr>
          <w:lang w:val="es-ES"/>
        </w:rPr>
        <w:tab/>
      </w:r>
      <w:r>
        <w:rPr>
          <w:lang w:val="es-ES"/>
        </w:rPr>
        <w:tab/>
      </w:r>
      <w:r>
        <w:rPr>
          <w:lang w:val="es-ES"/>
        </w:rPr>
        <w:tab/>
      </w:r>
      <w:r>
        <w:rPr>
          <w:lang w:val="es-ES"/>
        </w:rPr>
        <w:tab/>
        <w:t xml:space="preserve">      </w:t>
      </w:r>
      <w:r>
        <w:rPr>
          <w:lang w:val="es-ES"/>
        </w:rPr>
        <w:tab/>
        <w:t xml:space="preserve">    Manuel E. Ventura Robles</w:t>
      </w:r>
    </w:p>
    <w:p w:rsidR="00854CE8" w:rsidRDefault="00854CE8" w:rsidP="00854CE8">
      <w:pPr>
        <w:jc w:val="both"/>
        <w:rPr>
          <w:lang w:val="es-ES"/>
        </w:rPr>
      </w:pPr>
    </w:p>
    <w:p w:rsidR="00854CE8" w:rsidRDefault="00854CE8" w:rsidP="00854CE8">
      <w:pPr>
        <w:jc w:val="both"/>
        <w:rPr>
          <w:lang w:val="es-ES"/>
        </w:rPr>
      </w:pPr>
    </w:p>
    <w:p w:rsidR="00854CE8" w:rsidRDefault="00854CE8" w:rsidP="00854CE8">
      <w:pPr>
        <w:rPr>
          <w:lang w:val="es-ES"/>
        </w:rPr>
      </w:pPr>
    </w:p>
    <w:p w:rsidR="00854CE8" w:rsidRDefault="00854CE8" w:rsidP="00854CE8">
      <w:pPr>
        <w:rPr>
          <w:lang w:val="es-ES"/>
        </w:rPr>
      </w:pPr>
    </w:p>
    <w:p w:rsidR="00854CE8" w:rsidRPr="00712B42" w:rsidRDefault="00854CE8" w:rsidP="00854CE8">
      <w:r w:rsidRPr="00712B42">
        <w:t xml:space="preserve">Margarette May Macaulay </w:t>
      </w:r>
      <w:r w:rsidRPr="00712B42">
        <w:tab/>
      </w:r>
      <w:r w:rsidRPr="00712B42">
        <w:tab/>
      </w:r>
      <w:r w:rsidRPr="00712B42">
        <w:tab/>
      </w:r>
      <w:r w:rsidRPr="00712B42">
        <w:tab/>
      </w:r>
      <w:r w:rsidRPr="00712B42">
        <w:tab/>
        <w:t xml:space="preserve">         Rhadys Abreu Blondet</w:t>
      </w:r>
    </w:p>
    <w:p w:rsidR="00854CE8" w:rsidRPr="00712B42" w:rsidRDefault="00854CE8" w:rsidP="00854CE8"/>
    <w:p w:rsidR="00854CE8" w:rsidRPr="00712B42" w:rsidRDefault="00854CE8" w:rsidP="00854CE8"/>
    <w:p w:rsidR="00854CE8" w:rsidRPr="00712B42" w:rsidRDefault="00854CE8" w:rsidP="00854CE8"/>
    <w:p w:rsidR="00854CE8" w:rsidRPr="00712B42" w:rsidRDefault="00854CE8" w:rsidP="00854CE8"/>
    <w:p w:rsidR="00854CE8" w:rsidRDefault="00854CE8" w:rsidP="00854CE8">
      <w:pPr>
        <w:jc w:val="center"/>
        <w:rPr>
          <w:lang w:val="es-ES"/>
        </w:rPr>
      </w:pPr>
      <w:r>
        <w:rPr>
          <w:lang w:val="es-ES"/>
        </w:rPr>
        <w:t>Eduardo Vio Grossi</w:t>
      </w:r>
    </w:p>
    <w:p w:rsidR="00854CE8" w:rsidRDefault="00854CE8" w:rsidP="00854CE8">
      <w:pPr>
        <w:jc w:val="both"/>
        <w:rPr>
          <w:lang w:val="es-ES"/>
        </w:rPr>
      </w:pPr>
      <w:r>
        <w:rPr>
          <w:lang w:val="es-ES"/>
        </w:rPr>
        <w:tab/>
      </w:r>
      <w:r>
        <w:rPr>
          <w:lang w:val="es-ES"/>
        </w:rPr>
        <w:tab/>
      </w:r>
    </w:p>
    <w:p w:rsidR="00854CE8" w:rsidRDefault="00854CE8" w:rsidP="00854CE8">
      <w:pPr>
        <w:jc w:val="both"/>
        <w:rPr>
          <w:lang w:val="es-ES"/>
        </w:rPr>
      </w:pPr>
    </w:p>
    <w:p w:rsidR="00854CE8" w:rsidRDefault="00854CE8" w:rsidP="00854CE8">
      <w:pPr>
        <w:jc w:val="both"/>
        <w:rPr>
          <w:lang w:val="es-ES"/>
        </w:rPr>
      </w:pPr>
    </w:p>
    <w:p w:rsidR="00854CE8" w:rsidRDefault="00854CE8" w:rsidP="00854CE8">
      <w:pPr>
        <w:jc w:val="both"/>
        <w:rPr>
          <w:lang w:val="es-ES"/>
        </w:rPr>
      </w:pPr>
    </w:p>
    <w:p w:rsidR="00854CE8" w:rsidRDefault="00854CE8" w:rsidP="00854CE8">
      <w:pPr>
        <w:jc w:val="both"/>
        <w:rPr>
          <w:lang w:val="es-ES"/>
        </w:rPr>
      </w:pPr>
    </w:p>
    <w:p w:rsidR="00854CE8" w:rsidRDefault="00854CE8" w:rsidP="00854CE8">
      <w:pPr>
        <w:jc w:val="both"/>
        <w:rPr>
          <w:lang w:val="es-ES"/>
        </w:rPr>
      </w:pPr>
    </w:p>
    <w:p w:rsidR="00854CE8" w:rsidRDefault="00854CE8" w:rsidP="00854CE8">
      <w:pPr>
        <w:jc w:val="both"/>
        <w:rPr>
          <w:lang w:val="es-ES"/>
        </w:rPr>
      </w:pPr>
    </w:p>
    <w:p w:rsidR="00854CE8" w:rsidRDefault="00854CE8" w:rsidP="00854CE8">
      <w:pPr>
        <w:jc w:val="center"/>
        <w:rPr>
          <w:lang w:val="es-ES"/>
        </w:rPr>
      </w:pPr>
      <w:r>
        <w:rPr>
          <w:lang w:val="es-ES"/>
        </w:rPr>
        <w:t>Pablo Saavedra Alesandri</w:t>
      </w:r>
    </w:p>
    <w:p w:rsidR="00854CE8" w:rsidRDefault="00854CE8" w:rsidP="00854CE8">
      <w:pPr>
        <w:jc w:val="center"/>
        <w:rPr>
          <w:lang w:val="es-ES"/>
        </w:rPr>
      </w:pPr>
      <w:r>
        <w:rPr>
          <w:lang w:val="es-ES"/>
        </w:rPr>
        <w:t>Secretario</w:t>
      </w:r>
    </w:p>
    <w:p w:rsidR="00854CE8" w:rsidRDefault="00854CE8" w:rsidP="00854CE8">
      <w:pPr>
        <w:jc w:val="center"/>
        <w:rPr>
          <w:lang w:val="es-ES"/>
        </w:rPr>
      </w:pPr>
    </w:p>
    <w:p w:rsidR="00854CE8" w:rsidRDefault="00854CE8" w:rsidP="00854CE8">
      <w:pPr>
        <w:pStyle w:val="Textonotapie"/>
        <w:rPr>
          <w:lang w:val="es-ES"/>
        </w:rPr>
      </w:pPr>
    </w:p>
    <w:p w:rsidR="00854CE8" w:rsidRDefault="00854CE8" w:rsidP="00854CE8">
      <w:pPr>
        <w:jc w:val="both"/>
        <w:rPr>
          <w:lang w:val="es-ES"/>
        </w:rPr>
      </w:pPr>
    </w:p>
    <w:p w:rsidR="00854CE8" w:rsidRDefault="00854CE8" w:rsidP="00854CE8">
      <w:pPr>
        <w:jc w:val="both"/>
        <w:rPr>
          <w:lang w:val="es-ES"/>
        </w:rPr>
      </w:pPr>
      <w:r>
        <w:rPr>
          <w:lang w:val="es-ES"/>
        </w:rPr>
        <w:t>Comuníquese y ejecútese,</w:t>
      </w:r>
    </w:p>
    <w:p w:rsidR="00854CE8" w:rsidRDefault="00854CE8" w:rsidP="00854CE8">
      <w:pPr>
        <w:jc w:val="both"/>
        <w:rPr>
          <w:lang w:val="es-ES"/>
        </w:rPr>
      </w:pPr>
    </w:p>
    <w:p w:rsidR="00854CE8" w:rsidRDefault="00854CE8" w:rsidP="00854CE8">
      <w:pPr>
        <w:jc w:val="both"/>
        <w:rPr>
          <w:lang w:val="es-ES"/>
        </w:rPr>
      </w:pPr>
    </w:p>
    <w:p w:rsidR="00854CE8" w:rsidRPr="00854CE8" w:rsidRDefault="00854CE8" w:rsidP="00854CE8">
      <w:pPr>
        <w:jc w:val="both"/>
        <w:rPr>
          <w:lang w:val="es-ES"/>
        </w:rPr>
      </w:pPr>
    </w:p>
    <w:p w:rsidR="00854CE8" w:rsidRDefault="00854CE8" w:rsidP="00854CE8">
      <w:pPr>
        <w:ind w:left="5760"/>
        <w:jc w:val="center"/>
        <w:rPr>
          <w:lang w:val="es-ES"/>
        </w:rPr>
      </w:pPr>
      <w:r>
        <w:rPr>
          <w:lang w:val="es-ES"/>
        </w:rPr>
        <w:t>Diego García-Sayán</w:t>
      </w:r>
      <w:r>
        <w:rPr>
          <w:lang w:val="es-ES"/>
        </w:rPr>
        <w:tab/>
      </w:r>
    </w:p>
    <w:p w:rsidR="00854CE8" w:rsidRDefault="00854CE8" w:rsidP="00854CE8">
      <w:pPr>
        <w:ind w:left="5760"/>
        <w:jc w:val="center"/>
        <w:rPr>
          <w:lang w:val="es-ES"/>
        </w:rPr>
      </w:pPr>
      <w:r>
        <w:rPr>
          <w:lang w:val="es-ES"/>
        </w:rPr>
        <w:t>Presidente</w:t>
      </w:r>
    </w:p>
    <w:p w:rsidR="00854CE8" w:rsidRDefault="00854CE8" w:rsidP="00854CE8">
      <w:pPr>
        <w:jc w:val="both"/>
        <w:rPr>
          <w:lang w:val="es-ES"/>
        </w:rPr>
      </w:pPr>
    </w:p>
    <w:p w:rsidR="00854CE8" w:rsidRDefault="00854CE8" w:rsidP="00854CE8">
      <w:pPr>
        <w:jc w:val="both"/>
        <w:rPr>
          <w:lang w:val="es-ES"/>
        </w:rPr>
      </w:pPr>
    </w:p>
    <w:p w:rsidR="00854CE8" w:rsidRDefault="00854CE8" w:rsidP="00854CE8">
      <w:pPr>
        <w:jc w:val="both"/>
        <w:rPr>
          <w:lang w:val="es-ES"/>
        </w:rPr>
      </w:pPr>
    </w:p>
    <w:p w:rsidR="00854CE8" w:rsidRDefault="00854CE8" w:rsidP="00854CE8">
      <w:pPr>
        <w:jc w:val="both"/>
        <w:rPr>
          <w:lang w:val="es-ES"/>
        </w:rPr>
      </w:pPr>
      <w:r>
        <w:rPr>
          <w:lang w:val="es-ES"/>
        </w:rPr>
        <w:t>Pablo Saavedra Alessandri</w:t>
      </w:r>
    </w:p>
    <w:p w:rsidR="00854CE8" w:rsidRDefault="00854CE8" w:rsidP="00854CE8">
      <w:r>
        <w:rPr>
          <w:lang w:val="es-ES"/>
        </w:rPr>
        <w:tab/>
      </w:r>
      <w:r>
        <w:t>Secretario</w:t>
      </w:r>
    </w:p>
    <w:p w:rsidR="00854CE8" w:rsidRDefault="00854CE8" w:rsidP="00854CE8"/>
    <w:p w:rsidR="00854CE8" w:rsidRPr="00854CE8" w:rsidRDefault="00854CE8" w:rsidP="00854CE8">
      <w:pPr>
        <w:jc w:val="both"/>
        <w:rPr>
          <w:rFonts w:ascii="Verdana" w:hAnsi="Verdana"/>
          <w:sz w:val="20"/>
          <w:szCs w:val="20"/>
          <w:lang w:val="es-CR"/>
        </w:rPr>
      </w:pPr>
    </w:p>
    <w:sectPr w:rsidR="00854CE8" w:rsidRPr="00854CE8" w:rsidSect="007F3AFA">
      <w:headerReference w:type="default" r:id="rId9"/>
      <w:footerReference w:type="even" r:id="rId10"/>
      <w:pgSz w:w="12240" w:h="15840"/>
      <w:pgMar w:top="1440" w:right="1152" w:bottom="1440"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0A1D" w:rsidRDefault="00BF0A1D">
      <w:r>
        <w:separator/>
      </w:r>
    </w:p>
  </w:endnote>
  <w:endnote w:type="continuationSeparator" w:id="0">
    <w:p w:rsidR="00BF0A1D" w:rsidRDefault="00BF0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Verdana-Italic">
    <w:altName w:val="Verdana"/>
    <w:panose1 w:val="00000000000000000000"/>
    <w:charset w:val="4D"/>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NewRomanPS-ItalicMT">
    <w:altName w:val="Times New Roman"/>
    <w:panose1 w:val="00000000000000000000"/>
    <w:charset w:val="4D"/>
    <w:family w:val="roman"/>
    <w:notTrueType/>
    <w:pitch w:val="default"/>
    <w:sig w:usb0="00000003" w:usb1="00000000" w:usb2="00000000" w:usb3="00000000" w:csb0="00000001" w:csb1="00000000"/>
  </w:font>
  <w:font w:name="BookAntiqua">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4D"/>
    <w:family w:val="swiss"/>
    <w:notTrueType/>
    <w:pitch w:val="default"/>
    <w:sig w:usb0="00000003" w:usb1="00000000" w:usb2="00000000" w:usb3="00000000" w:csb0="00000001" w:csb1="00000000"/>
  </w:font>
  <w:font w:name="Verdana-Bold">
    <w:altName w:val="Verdana"/>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A8F" w:rsidRDefault="00D93A8F" w:rsidP="00CA12B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D93A8F" w:rsidRDefault="00D93A8F" w:rsidP="00CA12BE">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0A1D" w:rsidRDefault="00BF0A1D">
      <w:r>
        <w:separator/>
      </w:r>
    </w:p>
  </w:footnote>
  <w:footnote w:type="continuationSeparator" w:id="0">
    <w:p w:rsidR="00BF0A1D" w:rsidRDefault="00BF0A1D">
      <w:r>
        <w:continuationSeparator/>
      </w:r>
    </w:p>
  </w:footnote>
  <w:footnote w:id="1">
    <w:p w:rsidR="00D93A8F" w:rsidRPr="002513AB" w:rsidRDefault="00D93A8F" w:rsidP="00E54456">
      <w:pPr>
        <w:pStyle w:val="Textonotapie"/>
        <w:jc w:val="both"/>
        <w:rPr>
          <w:lang w:val="es-ES"/>
        </w:rPr>
      </w:pPr>
      <w:r w:rsidRPr="00CD1462">
        <w:rPr>
          <w:rStyle w:val="Refdenotaalpie"/>
        </w:rPr>
        <w:sym w:font="Symbol" w:char="F02A"/>
      </w:r>
      <w:r w:rsidRPr="00CD1462">
        <w:rPr>
          <w:lang w:val="es-CR"/>
        </w:rPr>
        <w:t xml:space="preserve"> </w:t>
      </w:r>
      <w:r w:rsidRPr="00CD1462">
        <w:rPr>
          <w:lang w:val="es-CR"/>
        </w:rPr>
        <w:tab/>
      </w:r>
      <w:r w:rsidRPr="0074711B">
        <w:rPr>
          <w:rFonts w:ascii="Verdana" w:hAnsi="Verdana"/>
          <w:sz w:val="16"/>
          <w:szCs w:val="16"/>
          <w:lang w:val="es-CR"/>
        </w:rPr>
        <w:t xml:space="preserve">El Juez </w:t>
      </w:r>
      <w:r w:rsidRPr="0074711B">
        <w:rPr>
          <w:rFonts w:ascii="Verdana" w:hAnsi="Verdana" w:cs="Verdana"/>
          <w:sz w:val="16"/>
          <w:szCs w:val="16"/>
          <w:lang w:val="es-ES"/>
        </w:rPr>
        <w:t xml:space="preserve">Alberto Pérez Pérez, </w:t>
      </w:r>
      <w:r w:rsidRPr="0074711B">
        <w:rPr>
          <w:rFonts w:ascii="Verdana" w:hAnsi="Verdana" w:cs="Verdana"/>
          <w:sz w:val="16"/>
          <w:szCs w:val="16"/>
          <w:lang w:val="es-MX" w:eastAsia="es-MX"/>
        </w:rPr>
        <w:t>informó al Tribunal que por motivos de fuerza mayor no podía estar presente en la deliberación de la presente Sentencia.</w:t>
      </w:r>
    </w:p>
  </w:footnote>
  <w:footnote w:id="2">
    <w:p w:rsidR="00D93A8F" w:rsidRPr="002513AB" w:rsidRDefault="00D93A8F">
      <w:pPr>
        <w:pStyle w:val="Textonotapie"/>
        <w:jc w:val="both"/>
        <w:rPr>
          <w:lang w:val="es-ES"/>
        </w:rPr>
      </w:pPr>
      <w:r w:rsidRPr="00E306F1">
        <w:rPr>
          <w:rStyle w:val="Refdenotaalpie"/>
        </w:rPr>
        <w:sym w:font="Symbol" w:char="F02A"/>
      </w:r>
      <w:r w:rsidRPr="00E306F1">
        <w:rPr>
          <w:rStyle w:val="Refdenotaalpie"/>
        </w:rPr>
        <w:sym w:font="Symbol" w:char="F02A"/>
      </w:r>
      <w:r w:rsidRPr="00FC3247">
        <w:rPr>
          <w:lang w:val="es-CR"/>
        </w:rPr>
        <w:t xml:space="preserve"> </w:t>
      </w:r>
      <w:r w:rsidRPr="005E46B6">
        <w:rPr>
          <w:lang w:val="es-CR"/>
        </w:rPr>
        <w:tab/>
      </w:r>
      <w:r w:rsidRPr="0074711B">
        <w:rPr>
          <w:rFonts w:ascii="Verdana" w:hAnsi="Verdana" w:cs="Verdana"/>
          <w:sz w:val="16"/>
          <w:szCs w:val="16"/>
          <w:lang w:val="es-MX" w:eastAsia="es-MX"/>
        </w:rPr>
        <w:t xml:space="preserve">La Secretaria Adjunta, </w:t>
      </w:r>
      <w:smartTag w:uri="urn:schemas-microsoft-com:office:smarttags" w:element="PersonName">
        <w:r w:rsidRPr="0074711B">
          <w:rPr>
            <w:rFonts w:ascii="Verdana" w:hAnsi="Verdana" w:cs="Verdana"/>
            <w:sz w:val="16"/>
            <w:szCs w:val="16"/>
            <w:lang w:val="es-MX" w:eastAsia="es-MX"/>
          </w:rPr>
          <w:t>Emilia Segares</w:t>
        </w:r>
      </w:smartTag>
      <w:r w:rsidRPr="0074711B">
        <w:rPr>
          <w:rFonts w:ascii="Verdana" w:hAnsi="Verdana" w:cs="Verdana"/>
          <w:sz w:val="16"/>
          <w:szCs w:val="16"/>
          <w:lang w:val="es-MX" w:eastAsia="es-MX"/>
        </w:rPr>
        <w:t xml:space="preserve"> Rodríguez, informó al Tribunal que por motivos de fuerza mayor no podía estar presente en la deliberación de la presente Sentencia.</w:t>
      </w:r>
    </w:p>
  </w:footnote>
  <w:footnote w:id="3">
    <w:p w:rsidR="00D93A8F" w:rsidRPr="002513AB" w:rsidRDefault="00D93A8F">
      <w:pPr>
        <w:pStyle w:val="Textonotapie"/>
        <w:jc w:val="both"/>
        <w:rPr>
          <w:lang w:val="es-ES"/>
        </w:rPr>
      </w:pPr>
      <w:r w:rsidRPr="00E306F1">
        <w:rPr>
          <w:rStyle w:val="Refdenotaalpie"/>
        </w:rPr>
        <w:sym w:font="Symbol" w:char="F02A"/>
      </w:r>
      <w:r w:rsidRPr="00E306F1">
        <w:rPr>
          <w:rStyle w:val="Refdenotaalpie"/>
        </w:rPr>
        <w:sym w:font="Symbol" w:char="F02A"/>
      </w:r>
      <w:r w:rsidRPr="00E306F1">
        <w:rPr>
          <w:rStyle w:val="Refdenotaalpie"/>
        </w:rPr>
        <w:sym w:font="Symbol" w:char="F02A"/>
      </w:r>
      <w:r w:rsidRPr="00FC3247">
        <w:rPr>
          <w:lang w:val="es-CR"/>
        </w:rPr>
        <w:t xml:space="preserve"> </w:t>
      </w:r>
      <w:r>
        <w:rPr>
          <w:lang w:val="es-CR"/>
        </w:rPr>
        <w:tab/>
      </w:r>
      <w:r w:rsidRPr="0074711B">
        <w:rPr>
          <w:rFonts w:ascii="Verdana" w:hAnsi="Verdana"/>
          <w:sz w:val="16"/>
          <w:szCs w:val="16"/>
          <w:lang w:val="es-ES"/>
        </w:rPr>
        <w:t xml:space="preserve">Conforme a lo dispuesto en el artículo 79.1 del Reglamento de la Corte Interamericana que entró en vigor el 1 de enero de 2010, “[l]os casos contenciosos que ya se hubiesen sometido a la consideración de la Corte antes del 1 de enero de 2010 se continuarán tramitando, hasta que se emita sentencia, conforme al Reglamento anterior”. De ese modo, el Reglamento de la Corte aplicado en el presente caso corresponde al instrumento aprobado por el Tribunal en su XLIX Período Ordinario de Sesiones celebrado del 16 a 25 de noviembre de 2000, reformado parcialmente por la Corte en su LXXXII Período Ordinario de Sesiones, celebrado del 19 al 31 de enero </w:t>
      </w:r>
      <w:r w:rsidRPr="0074711B">
        <w:rPr>
          <w:rFonts w:ascii="Verdana" w:hAnsi="Verdana"/>
          <w:iCs/>
          <w:sz w:val="16"/>
          <w:szCs w:val="16"/>
          <w:lang w:val="es-ES"/>
        </w:rPr>
        <w:t>de 2009, y que estuvo en vigor desde el 24 de marzo de 2009 hasta el 1 de enero de 2010.</w:t>
      </w:r>
    </w:p>
  </w:footnote>
  <w:footnote w:id="4">
    <w:p w:rsidR="00D93A8F" w:rsidRPr="0074711B" w:rsidRDefault="00D93A8F" w:rsidP="00CD04D8">
      <w:pPr>
        <w:pStyle w:val="Textonotapie"/>
        <w:ind w:right="9"/>
        <w:jc w:val="both"/>
        <w:rPr>
          <w:rFonts w:ascii="Verdana" w:hAnsi="Verdana"/>
          <w:sz w:val="16"/>
          <w:szCs w:val="16"/>
          <w:lang w:val="es-CR"/>
        </w:rPr>
      </w:pPr>
      <w:r w:rsidRPr="0074711B">
        <w:rPr>
          <w:rStyle w:val="Refdenotaalpie"/>
          <w:rFonts w:ascii="Verdana" w:hAnsi="Verdana"/>
          <w:sz w:val="16"/>
          <w:szCs w:val="16"/>
        </w:rPr>
        <w:footnoteRef/>
      </w:r>
      <w:r w:rsidRPr="0074711B">
        <w:rPr>
          <w:rFonts w:ascii="Verdana" w:hAnsi="Verdana"/>
          <w:sz w:val="16"/>
          <w:szCs w:val="16"/>
          <w:lang w:val="es-CR"/>
        </w:rPr>
        <w:t xml:space="preserve"> </w:t>
      </w:r>
      <w:r w:rsidRPr="0074711B">
        <w:rPr>
          <w:rFonts w:ascii="Verdana" w:hAnsi="Verdana"/>
          <w:sz w:val="16"/>
          <w:szCs w:val="16"/>
          <w:lang w:val="es-CR"/>
        </w:rPr>
        <w:tab/>
        <w:t>La Comisión concluyó que es competente para examinar el reclamo presentado por los peticionarios sobre las presuntas violaciones de los artículos 8.1 y 25.2.c) de la Convención Americana, en relación con las obligaciones genéricas del artículo 1.1 de dicho tratado, conforme a los requisitos establecidos en los artículos 46 y 47 de la Convención. Asimismo, la Comisión declaró inadmisible los extremos referidos a los artículos 2, 17 y 24 de la Convención Americana y declaró que el Estado violó los artículos 8.1 y 25 de la Convención Americana, en conexión con el artículo 1.1 de dicho instrumento, e</w:t>
      </w:r>
      <w:r>
        <w:rPr>
          <w:rFonts w:ascii="Verdana" w:hAnsi="Verdana"/>
          <w:sz w:val="16"/>
          <w:szCs w:val="16"/>
          <w:lang w:val="es-CR"/>
        </w:rPr>
        <w:t xml:space="preserve">n </w:t>
      </w:r>
      <w:r w:rsidRPr="0074711B">
        <w:rPr>
          <w:rFonts w:ascii="Verdana" w:hAnsi="Verdana"/>
          <w:sz w:val="16"/>
          <w:szCs w:val="16"/>
          <w:lang w:val="es-CR"/>
        </w:rPr>
        <w:t>perjuicio del señor Mejía Idrovo.</w:t>
      </w:r>
    </w:p>
    <w:p w:rsidR="00D93A8F" w:rsidRPr="002513AB" w:rsidRDefault="00D93A8F" w:rsidP="00CD04D8">
      <w:pPr>
        <w:pStyle w:val="Textonotapie"/>
        <w:ind w:right="9"/>
        <w:jc w:val="both"/>
        <w:rPr>
          <w:lang w:val="es-ES"/>
        </w:rPr>
      </w:pPr>
    </w:p>
  </w:footnote>
  <w:footnote w:id="5">
    <w:p w:rsidR="00D93A8F" w:rsidRPr="002513AB" w:rsidRDefault="00D93A8F" w:rsidP="00CD04D8">
      <w:pPr>
        <w:pStyle w:val="Textonotapie"/>
        <w:ind w:right="9"/>
        <w:jc w:val="both"/>
        <w:rPr>
          <w:lang w:val="es-ES"/>
        </w:rPr>
      </w:pPr>
      <w:r w:rsidRPr="0074711B">
        <w:rPr>
          <w:rStyle w:val="Refdenotaalpie"/>
          <w:rFonts w:ascii="Verdana" w:hAnsi="Verdana"/>
          <w:sz w:val="16"/>
          <w:szCs w:val="16"/>
        </w:rPr>
        <w:footnoteRef/>
      </w:r>
      <w:r w:rsidRPr="0074711B">
        <w:rPr>
          <w:rFonts w:ascii="Verdana" w:hAnsi="Verdana"/>
          <w:sz w:val="16"/>
          <w:szCs w:val="16"/>
          <w:lang w:val="es-CR"/>
        </w:rPr>
        <w:t xml:space="preserve"> </w:t>
      </w:r>
      <w:r w:rsidRPr="0074711B">
        <w:rPr>
          <w:rFonts w:ascii="Verdana" w:hAnsi="Verdana"/>
          <w:sz w:val="16"/>
          <w:szCs w:val="16"/>
          <w:lang w:val="es-CR"/>
        </w:rPr>
        <w:tab/>
        <w:t>Nota aclaratoria: En octubre de 2008, mediante referéndum, entró en vigencia u</w:t>
      </w:r>
      <w:r>
        <w:rPr>
          <w:rFonts w:ascii="Verdana" w:hAnsi="Verdana"/>
          <w:sz w:val="16"/>
          <w:szCs w:val="16"/>
          <w:lang w:val="es-CR"/>
        </w:rPr>
        <w:t xml:space="preserve">na nueva Constitución Política en </w:t>
      </w:r>
      <w:r w:rsidRPr="0074711B">
        <w:rPr>
          <w:rFonts w:ascii="Verdana" w:hAnsi="Verdana"/>
          <w:sz w:val="16"/>
          <w:szCs w:val="16"/>
          <w:lang w:val="es-CR"/>
        </w:rPr>
        <w:t>el Ecuador.  A partir de este momento, el Tribunal Constitucio</w:t>
      </w:r>
      <w:r>
        <w:rPr>
          <w:rFonts w:ascii="Verdana" w:hAnsi="Verdana"/>
          <w:sz w:val="16"/>
          <w:szCs w:val="16"/>
          <w:lang w:val="es-CR"/>
        </w:rPr>
        <w:t>nal del Ecuador se denomina “</w:t>
      </w:r>
      <w:r w:rsidRPr="0074711B">
        <w:rPr>
          <w:rFonts w:ascii="Verdana" w:hAnsi="Verdana"/>
          <w:sz w:val="16"/>
          <w:szCs w:val="16"/>
          <w:lang w:val="es-CR"/>
        </w:rPr>
        <w:t>Corte Constitucional del Ecuador”.  Teniendo</w:t>
      </w:r>
      <w:r>
        <w:rPr>
          <w:rFonts w:ascii="Verdana" w:hAnsi="Verdana"/>
          <w:sz w:val="16"/>
          <w:szCs w:val="16"/>
          <w:lang w:val="es-CR"/>
        </w:rPr>
        <w:t xml:space="preserve"> </w:t>
      </w:r>
      <w:r w:rsidRPr="0074711B">
        <w:rPr>
          <w:rFonts w:ascii="Verdana" w:hAnsi="Verdana"/>
          <w:sz w:val="16"/>
          <w:szCs w:val="16"/>
          <w:lang w:val="es-CR"/>
        </w:rPr>
        <w:t>en cuenta</w:t>
      </w:r>
      <w:r>
        <w:rPr>
          <w:rFonts w:ascii="Verdana" w:hAnsi="Verdana"/>
          <w:sz w:val="16"/>
          <w:szCs w:val="16"/>
          <w:lang w:val="es-CR"/>
        </w:rPr>
        <w:t xml:space="preserve"> lo anterior,</w:t>
      </w:r>
      <w:r w:rsidRPr="0074711B">
        <w:rPr>
          <w:rFonts w:ascii="Verdana" w:hAnsi="Verdana"/>
          <w:sz w:val="16"/>
          <w:szCs w:val="16"/>
          <w:lang w:val="es-CR"/>
        </w:rPr>
        <w:t xml:space="preserve"> esta Corte se referirá a este organismo como “Tribunal Constitucional” para toda resolución emitida antes de octubre del 2008 y se utilizará el término “Corte Constitucional” para toda resolución emitida después de </w:t>
      </w:r>
      <w:r>
        <w:rPr>
          <w:rFonts w:ascii="Verdana" w:hAnsi="Verdana"/>
          <w:sz w:val="16"/>
          <w:szCs w:val="16"/>
          <w:lang w:val="es-CR"/>
        </w:rPr>
        <w:t>dicha</w:t>
      </w:r>
      <w:r w:rsidRPr="0074711B">
        <w:rPr>
          <w:rFonts w:ascii="Verdana" w:hAnsi="Verdana"/>
          <w:sz w:val="16"/>
          <w:szCs w:val="16"/>
          <w:lang w:val="es-CR"/>
        </w:rPr>
        <w:t xml:space="preserve"> fecha.</w:t>
      </w:r>
    </w:p>
  </w:footnote>
  <w:footnote w:id="6">
    <w:p w:rsidR="00D93A8F" w:rsidRDefault="00D93A8F" w:rsidP="00CD04D8">
      <w:pPr>
        <w:pStyle w:val="Textonotapie"/>
        <w:ind w:right="9"/>
        <w:jc w:val="both"/>
        <w:rPr>
          <w:rFonts w:ascii="Verdana" w:hAnsi="Verdana"/>
          <w:sz w:val="16"/>
          <w:szCs w:val="16"/>
          <w:lang w:val="es-CR"/>
        </w:rPr>
      </w:pPr>
      <w:r w:rsidRPr="0074711B">
        <w:rPr>
          <w:rStyle w:val="Refdenotaalpie"/>
          <w:rFonts w:ascii="Verdana" w:hAnsi="Verdana"/>
          <w:sz w:val="16"/>
          <w:szCs w:val="16"/>
        </w:rPr>
        <w:footnoteRef/>
      </w:r>
      <w:r w:rsidRPr="0074711B">
        <w:rPr>
          <w:rFonts w:ascii="Verdana" w:hAnsi="Verdana"/>
          <w:sz w:val="16"/>
          <w:szCs w:val="16"/>
          <w:lang w:val="es-CR"/>
        </w:rPr>
        <w:t xml:space="preserve"> </w:t>
      </w:r>
      <w:r w:rsidRPr="0074711B">
        <w:rPr>
          <w:rFonts w:ascii="Verdana" w:hAnsi="Verdana"/>
          <w:sz w:val="16"/>
          <w:szCs w:val="16"/>
          <w:lang w:val="es-CR"/>
        </w:rPr>
        <w:tab/>
        <w:t xml:space="preserve">Cuando se notificó la demanda al Estado se le informó </w:t>
      </w:r>
      <w:r>
        <w:rPr>
          <w:rFonts w:ascii="Verdana" w:hAnsi="Verdana"/>
          <w:sz w:val="16"/>
          <w:szCs w:val="16"/>
          <w:lang w:val="es-CR"/>
        </w:rPr>
        <w:t xml:space="preserve">sobre </w:t>
      </w:r>
      <w:r w:rsidRPr="0074711B">
        <w:rPr>
          <w:rFonts w:ascii="Verdana" w:hAnsi="Verdana"/>
          <w:sz w:val="16"/>
          <w:szCs w:val="16"/>
          <w:lang w:val="es-CR"/>
        </w:rPr>
        <w:t xml:space="preserve">su derecho a designar un Juez </w:t>
      </w:r>
      <w:r w:rsidRPr="0074711B">
        <w:rPr>
          <w:rFonts w:ascii="Verdana" w:hAnsi="Verdana"/>
          <w:i/>
          <w:sz w:val="16"/>
          <w:szCs w:val="16"/>
          <w:lang w:val="es-CR"/>
        </w:rPr>
        <w:t>ad hoc</w:t>
      </w:r>
      <w:r w:rsidRPr="0074711B">
        <w:rPr>
          <w:rFonts w:ascii="Verdana" w:hAnsi="Verdana"/>
          <w:sz w:val="16"/>
          <w:szCs w:val="16"/>
          <w:lang w:val="es-CR"/>
        </w:rPr>
        <w:t xml:space="preserve"> para que participara en la consideración del caso. El 11 de febrero de 2010 el Estado designó al señor Hernán Salgado Pesantes como Juez </w:t>
      </w:r>
      <w:r w:rsidRPr="0074711B">
        <w:rPr>
          <w:rFonts w:ascii="Verdana" w:hAnsi="Verdana"/>
          <w:i/>
          <w:sz w:val="16"/>
          <w:szCs w:val="16"/>
          <w:lang w:val="es-CR"/>
        </w:rPr>
        <w:t>ad hoc</w:t>
      </w:r>
      <w:r w:rsidRPr="0074711B">
        <w:rPr>
          <w:rFonts w:ascii="Verdana" w:hAnsi="Verdana"/>
          <w:sz w:val="16"/>
          <w:szCs w:val="16"/>
          <w:lang w:val="es-CR"/>
        </w:rPr>
        <w:t>. Sin embargo, el 2 de marzo de 2010 el señor Salgado Pesantes informó al Tribunal que al ser consultado por la Procuraduría General del Estado aceptó el cargo, pero posteriormente “luego de verificar alguna información concerniente a este caso, [pudo] establecer que el ciudadano demandante reclamó ante el Tribunal Constitucional de Ecuador por la presunta violación de sus derechos y lo hizo en una época en que [él] formaba parte de ese organismo. [Tiene] la seguridad de haber actuado en este caso –como miembro del Tribunal-</w:t>
      </w:r>
      <w:r>
        <w:rPr>
          <w:rFonts w:ascii="Verdana" w:hAnsi="Verdana"/>
          <w:sz w:val="16"/>
          <w:szCs w:val="16"/>
          <w:lang w:val="es-CR"/>
        </w:rPr>
        <w:t xml:space="preserve"> l</w:t>
      </w:r>
      <w:r w:rsidRPr="0074711B">
        <w:rPr>
          <w:rFonts w:ascii="Verdana" w:hAnsi="Verdana"/>
          <w:sz w:val="16"/>
          <w:szCs w:val="16"/>
          <w:lang w:val="es-CR"/>
        </w:rPr>
        <w:t>o que constituye un impedimento para que pueda participar en este asunto, de conformidad con el artículo 19.1 del Estatuto de la Corte Interamericana”, en consecuencia presentó su excusa para conocer el caso. El 4 de marzo de 2010 la Secretaría, siguiendo instrucciones del Presidente, admitió la referida excusa.</w:t>
      </w:r>
    </w:p>
    <w:p w:rsidR="00D93A8F" w:rsidRPr="002513AB" w:rsidRDefault="00D93A8F" w:rsidP="00CD04D8">
      <w:pPr>
        <w:pStyle w:val="Textonotapie"/>
        <w:ind w:right="9"/>
        <w:jc w:val="both"/>
        <w:rPr>
          <w:lang w:val="es-ES"/>
        </w:rPr>
      </w:pPr>
    </w:p>
  </w:footnote>
  <w:footnote w:id="7">
    <w:p w:rsidR="00D93A8F" w:rsidRPr="002513AB" w:rsidRDefault="00D93A8F" w:rsidP="00CD04D8">
      <w:pPr>
        <w:jc w:val="both"/>
        <w:rPr>
          <w:lang w:val="es-ES"/>
        </w:rPr>
      </w:pPr>
      <w:r w:rsidRPr="0074711B">
        <w:rPr>
          <w:rFonts w:ascii="Verdana" w:hAnsi="Verdana"/>
          <w:sz w:val="16"/>
          <w:szCs w:val="16"/>
          <w:vertAlign w:val="superscript"/>
        </w:rPr>
        <w:footnoteRef/>
      </w:r>
      <w:r w:rsidRPr="0074711B">
        <w:rPr>
          <w:rFonts w:ascii="Verdana" w:hAnsi="Verdana"/>
          <w:sz w:val="16"/>
          <w:szCs w:val="16"/>
          <w:vertAlign w:val="superscript"/>
          <w:lang w:val="es-CR"/>
        </w:rPr>
        <w:t xml:space="preserve"> </w:t>
      </w:r>
      <w:r w:rsidRPr="0074711B">
        <w:rPr>
          <w:rFonts w:ascii="Verdana" w:hAnsi="Verdana"/>
          <w:sz w:val="16"/>
          <w:szCs w:val="16"/>
          <w:lang w:val="es-CR"/>
        </w:rPr>
        <w:t xml:space="preserve"> </w:t>
      </w:r>
      <w:r w:rsidRPr="0074711B">
        <w:rPr>
          <w:rFonts w:ascii="Verdana" w:hAnsi="Verdana"/>
          <w:sz w:val="16"/>
          <w:szCs w:val="16"/>
          <w:lang w:val="es-CR"/>
        </w:rPr>
        <w:tab/>
        <w:t>A esta audiencia comparecieron: a) por la Comisión Interamericana, Paulo Sérgio Pinhei</w:t>
      </w:r>
      <w:r>
        <w:rPr>
          <w:rFonts w:ascii="Verdana" w:hAnsi="Verdana"/>
          <w:sz w:val="16"/>
          <w:szCs w:val="16"/>
          <w:lang w:val="es-CR"/>
        </w:rPr>
        <w:t xml:space="preserve">ro, Comisionado, y Lilly Ching, </w:t>
      </w:r>
      <w:r w:rsidRPr="0074711B">
        <w:rPr>
          <w:rFonts w:ascii="Verdana" w:hAnsi="Verdana"/>
          <w:sz w:val="16"/>
          <w:szCs w:val="16"/>
          <w:lang w:val="es-CR"/>
        </w:rPr>
        <w:t>Asesora; b) por los representantes de las presuntas víctimas, César Duque, de la CEDHU y Xavier Mauricio Mejía Herrera, y c) por el Estado, Erick Roberts Garcés, Director Nacional de Derechos Humanos</w:t>
      </w:r>
      <w:r>
        <w:rPr>
          <w:rFonts w:ascii="Verdana" w:hAnsi="Verdana"/>
          <w:sz w:val="16"/>
          <w:szCs w:val="16"/>
          <w:lang w:val="es-CR"/>
        </w:rPr>
        <w:t>, Agente</w:t>
      </w:r>
      <w:r w:rsidRPr="0074711B">
        <w:rPr>
          <w:rFonts w:ascii="Verdana" w:hAnsi="Verdana"/>
          <w:sz w:val="16"/>
          <w:szCs w:val="16"/>
          <w:lang w:val="es-CR"/>
        </w:rPr>
        <w:t>; Alonso Fonseca Garcés, Abogado Supervisor de Litigios 2</w:t>
      </w:r>
      <w:r>
        <w:rPr>
          <w:rFonts w:ascii="Verdana" w:hAnsi="Verdana"/>
          <w:sz w:val="16"/>
          <w:szCs w:val="16"/>
          <w:lang w:val="es-CR"/>
        </w:rPr>
        <w:t>, Agente Alterno</w:t>
      </w:r>
      <w:r w:rsidRPr="0074711B">
        <w:rPr>
          <w:rFonts w:ascii="Verdana" w:hAnsi="Verdana"/>
          <w:sz w:val="16"/>
          <w:szCs w:val="16"/>
          <w:lang w:val="es-CR"/>
        </w:rPr>
        <w:t>, Carlos Espinoza, Asesor Jurídico del Ministerio de Defensa, y Anabell Rubio, Jefa de Afiliaciones del Instituto de Seguridad Social de las Fuerzas Armadas.</w:t>
      </w:r>
    </w:p>
  </w:footnote>
  <w:footnote w:id="8">
    <w:p w:rsidR="00D93A8F" w:rsidRPr="0074711B" w:rsidRDefault="00D93A8F" w:rsidP="0075567D">
      <w:pPr>
        <w:jc w:val="both"/>
        <w:rPr>
          <w:rFonts w:ascii="Verdana" w:hAnsi="Verdana"/>
          <w:sz w:val="16"/>
          <w:szCs w:val="16"/>
          <w:lang w:val="es-CR"/>
        </w:rPr>
      </w:pPr>
      <w:r w:rsidRPr="0074711B">
        <w:rPr>
          <w:rStyle w:val="Refdenotaalpie"/>
          <w:rFonts w:ascii="Verdana" w:hAnsi="Verdana" w:cs="Times"/>
          <w:sz w:val="16"/>
          <w:szCs w:val="16"/>
        </w:rPr>
        <w:footnoteRef/>
      </w:r>
      <w:r w:rsidRPr="0074711B">
        <w:rPr>
          <w:rFonts w:ascii="Verdana" w:hAnsi="Verdana"/>
          <w:sz w:val="16"/>
          <w:szCs w:val="16"/>
          <w:lang w:val="es-CR"/>
        </w:rPr>
        <w:tab/>
      </w:r>
      <w:r w:rsidRPr="0074711B">
        <w:rPr>
          <w:rFonts w:ascii="Verdana" w:hAnsi="Verdana"/>
          <w:i/>
          <w:sz w:val="16"/>
          <w:szCs w:val="16"/>
          <w:lang w:val="es-CR"/>
        </w:rPr>
        <w:t>Cfr. Caso Acevedo Jaramillo y otros Vs. Perú. Interpretación de la Sentencia de Excepciones Preliminares, Fondo, Reparaciones y Costas.</w:t>
      </w:r>
      <w:r w:rsidRPr="0074711B">
        <w:rPr>
          <w:rFonts w:ascii="Verdana" w:hAnsi="Verdana"/>
          <w:sz w:val="16"/>
          <w:szCs w:val="16"/>
          <w:lang w:val="es-CR"/>
        </w:rPr>
        <w:t xml:space="preserve"> Sentencia de 24 de noviembre de 2006. Serie C No. 157, párr. 66</w:t>
      </w:r>
      <w:r w:rsidRPr="00C60ED0">
        <w:rPr>
          <w:rFonts w:ascii="Verdana" w:hAnsi="Verdana"/>
          <w:sz w:val="16"/>
          <w:szCs w:val="16"/>
          <w:lang w:val="es-CR"/>
        </w:rPr>
        <w:t>;</w:t>
      </w:r>
      <w:r w:rsidRPr="00C60ED0">
        <w:rPr>
          <w:rFonts w:ascii="Verdana" w:hAnsi="Verdana"/>
          <w:i/>
          <w:sz w:val="16"/>
          <w:szCs w:val="16"/>
          <w:lang w:val="es-ES"/>
        </w:rPr>
        <w:t xml:space="preserve"> </w:t>
      </w:r>
      <w:r w:rsidRPr="00C60ED0">
        <w:rPr>
          <w:rFonts w:ascii="Verdana" w:hAnsi="Verdana"/>
          <w:i/>
          <w:sz w:val="16"/>
          <w:szCs w:val="16"/>
          <w:lang w:val="es-CR"/>
        </w:rPr>
        <w:t>Caso</w:t>
      </w:r>
      <w:r w:rsidRPr="00FC3247">
        <w:rPr>
          <w:rFonts w:ascii="Verdana" w:hAnsi="Verdana"/>
          <w:i/>
          <w:sz w:val="16"/>
          <w:szCs w:val="16"/>
          <w:lang w:val="es-CR"/>
        </w:rPr>
        <w:t xml:space="preserve"> Perozo y otros</w:t>
      </w:r>
      <w:r>
        <w:rPr>
          <w:rFonts w:ascii="Verdana" w:hAnsi="Verdana"/>
          <w:i/>
          <w:sz w:val="16"/>
          <w:szCs w:val="16"/>
          <w:lang w:val="es-CR"/>
        </w:rPr>
        <w:t xml:space="preserve"> Vs. Venez</w:t>
      </w:r>
      <w:r w:rsidRPr="00FC3247">
        <w:rPr>
          <w:rFonts w:ascii="Verdana" w:hAnsi="Verdana"/>
          <w:i/>
          <w:sz w:val="16"/>
          <w:szCs w:val="16"/>
          <w:lang w:val="es-CR"/>
        </w:rPr>
        <w:t>uela</w:t>
      </w:r>
      <w:r w:rsidRPr="00C60ED0">
        <w:rPr>
          <w:rFonts w:ascii="Verdana" w:hAnsi="Verdana"/>
          <w:i/>
          <w:sz w:val="16"/>
          <w:szCs w:val="16"/>
          <w:lang w:val="es-CR"/>
        </w:rPr>
        <w:t>. Excepciones Preliminares, Fondo, Reparaciones y Costas.</w:t>
      </w:r>
      <w:r w:rsidRPr="00C60ED0">
        <w:rPr>
          <w:rFonts w:ascii="Verdana" w:hAnsi="Verdana"/>
          <w:sz w:val="16"/>
          <w:szCs w:val="16"/>
          <w:lang w:val="es-CR"/>
        </w:rPr>
        <w:t xml:space="preserve"> Sentencia de 2</w:t>
      </w:r>
      <w:r w:rsidRPr="00FC3247">
        <w:rPr>
          <w:rFonts w:ascii="Verdana" w:hAnsi="Verdana"/>
          <w:sz w:val="16"/>
          <w:szCs w:val="16"/>
          <w:lang w:val="es-CR"/>
        </w:rPr>
        <w:t>8</w:t>
      </w:r>
      <w:r w:rsidRPr="00C60ED0">
        <w:rPr>
          <w:rFonts w:ascii="Verdana" w:hAnsi="Verdana"/>
          <w:sz w:val="16"/>
          <w:szCs w:val="16"/>
          <w:lang w:val="es-CR"/>
        </w:rPr>
        <w:t xml:space="preserve"> de</w:t>
      </w:r>
      <w:r w:rsidRPr="00FC3247">
        <w:rPr>
          <w:rFonts w:ascii="Verdana" w:hAnsi="Verdana"/>
          <w:sz w:val="16"/>
          <w:szCs w:val="16"/>
          <w:lang w:val="es-CR"/>
        </w:rPr>
        <w:t xml:space="preserve"> enero</w:t>
      </w:r>
      <w:r w:rsidRPr="00C60ED0">
        <w:rPr>
          <w:rFonts w:ascii="Verdana" w:hAnsi="Verdana"/>
          <w:sz w:val="16"/>
          <w:szCs w:val="16"/>
          <w:lang w:val="es-CR"/>
        </w:rPr>
        <w:t xml:space="preserve"> de 20</w:t>
      </w:r>
      <w:r w:rsidRPr="00FC3247">
        <w:rPr>
          <w:rFonts w:ascii="Verdana" w:hAnsi="Verdana"/>
          <w:sz w:val="16"/>
          <w:szCs w:val="16"/>
          <w:lang w:val="es-CR"/>
        </w:rPr>
        <w:t>09</w:t>
      </w:r>
      <w:r w:rsidRPr="00C60ED0">
        <w:rPr>
          <w:rFonts w:ascii="Verdana" w:hAnsi="Verdana"/>
          <w:sz w:val="16"/>
          <w:szCs w:val="16"/>
          <w:lang w:val="es-CR"/>
        </w:rPr>
        <w:t>. Serie C No.</w:t>
      </w:r>
      <w:r>
        <w:rPr>
          <w:rFonts w:ascii="Verdana" w:hAnsi="Verdana"/>
          <w:sz w:val="16"/>
          <w:szCs w:val="16"/>
          <w:lang w:val="es-CR"/>
        </w:rPr>
        <w:t xml:space="preserve"> 195</w:t>
      </w:r>
      <w:r w:rsidRPr="00C60ED0">
        <w:rPr>
          <w:rFonts w:ascii="Verdana" w:hAnsi="Verdana"/>
          <w:sz w:val="16"/>
          <w:szCs w:val="16"/>
          <w:lang w:val="es-CR"/>
        </w:rPr>
        <w:t xml:space="preserve">, párr. </w:t>
      </w:r>
      <w:r w:rsidRPr="00FC3247">
        <w:rPr>
          <w:rFonts w:ascii="Verdana" w:hAnsi="Verdana"/>
          <w:sz w:val="16"/>
          <w:szCs w:val="16"/>
          <w:lang w:val="es-CR"/>
        </w:rPr>
        <w:t>64</w:t>
      </w:r>
      <w:r w:rsidRPr="00C60ED0">
        <w:rPr>
          <w:rFonts w:ascii="Verdana" w:hAnsi="Verdana"/>
          <w:sz w:val="16"/>
          <w:szCs w:val="16"/>
          <w:lang w:val="es-CR"/>
        </w:rPr>
        <w:t>,</w:t>
      </w:r>
      <w:r w:rsidRPr="0074711B">
        <w:rPr>
          <w:rFonts w:ascii="Verdana" w:hAnsi="Verdana"/>
          <w:sz w:val="16"/>
          <w:szCs w:val="16"/>
          <w:lang w:val="es-CR"/>
        </w:rPr>
        <w:t xml:space="preserve"> y </w:t>
      </w:r>
      <w:r w:rsidRPr="0074711B">
        <w:rPr>
          <w:rFonts w:ascii="Verdana" w:hAnsi="Verdana"/>
          <w:i/>
          <w:sz w:val="16"/>
          <w:szCs w:val="16"/>
          <w:lang w:val="es-CR"/>
        </w:rPr>
        <w:t>Caso Cabrera García y Montiel Flores Vs. México. Excepción Preliminar, Fondo, Reparaciones y Costas.</w:t>
      </w:r>
      <w:r w:rsidRPr="0074711B">
        <w:rPr>
          <w:rFonts w:ascii="Verdana" w:hAnsi="Verdana"/>
          <w:sz w:val="16"/>
          <w:szCs w:val="16"/>
          <w:lang w:val="es-CR"/>
        </w:rPr>
        <w:t xml:space="preserve"> Sentencia de 26 de noviembre de 2010. Serie C No. 220, párr. 16.</w:t>
      </w:r>
    </w:p>
    <w:p w:rsidR="00D93A8F" w:rsidRPr="002513AB" w:rsidRDefault="00D93A8F" w:rsidP="0075567D">
      <w:pPr>
        <w:jc w:val="both"/>
        <w:rPr>
          <w:lang w:val="es-ES"/>
        </w:rPr>
      </w:pPr>
    </w:p>
  </w:footnote>
  <w:footnote w:id="9">
    <w:p w:rsidR="00D93A8F" w:rsidRPr="00315E44" w:rsidRDefault="00D93A8F" w:rsidP="00E505BE">
      <w:pPr>
        <w:jc w:val="both"/>
        <w:rPr>
          <w:rFonts w:ascii="Verdana" w:hAnsi="Verdana"/>
          <w:color w:val="FF0000"/>
          <w:sz w:val="16"/>
          <w:szCs w:val="16"/>
          <w:lang w:val="es-CR"/>
        </w:rPr>
      </w:pPr>
      <w:r w:rsidRPr="0074711B">
        <w:rPr>
          <w:rStyle w:val="Refdenotaalpie"/>
          <w:rFonts w:ascii="Verdana" w:hAnsi="Verdana" w:cs="Times"/>
          <w:sz w:val="16"/>
          <w:szCs w:val="16"/>
        </w:rPr>
        <w:footnoteRef/>
      </w:r>
      <w:r w:rsidRPr="0074711B">
        <w:rPr>
          <w:rFonts w:ascii="Verdana" w:hAnsi="Verdana"/>
          <w:sz w:val="16"/>
          <w:szCs w:val="16"/>
          <w:lang w:val="es-CR"/>
        </w:rPr>
        <w:tab/>
        <w:t xml:space="preserve">En el Preámbulo de la Convención Americana se sostiene que la protección internacional es “de naturaleza convencional coadyuvante o complementaria de la que ofrece el derecho interno de los Estados americanos”. Ver también, </w:t>
      </w:r>
      <w:r w:rsidRPr="0074711B">
        <w:rPr>
          <w:rFonts w:ascii="Verdana" w:hAnsi="Verdana"/>
          <w:i/>
          <w:sz w:val="16"/>
          <w:szCs w:val="16"/>
          <w:lang w:val="es-CR"/>
        </w:rPr>
        <w:t xml:space="preserve">El Efecto de las Reservas sobre la Entrada en Vigencia de la Convención Americana sobre Derechos Humanos </w:t>
      </w:r>
      <w:r w:rsidRPr="0074711B">
        <w:rPr>
          <w:rFonts w:ascii="Verdana" w:hAnsi="Verdana"/>
          <w:sz w:val="16"/>
          <w:szCs w:val="16"/>
          <w:lang w:val="es-CR"/>
        </w:rPr>
        <w:t xml:space="preserve">(arts. 74 y 75). Opinión Consultiva OC-2/82 del 24 de septiembre de 1982. Serie A No. 2, párr. 31; </w:t>
      </w:r>
      <w:r w:rsidRPr="0074711B">
        <w:rPr>
          <w:rFonts w:ascii="Verdana" w:hAnsi="Verdana"/>
          <w:i/>
          <w:sz w:val="16"/>
          <w:szCs w:val="16"/>
          <w:lang w:val="es-CR"/>
        </w:rPr>
        <w:t>La Expresión "Leyes" en el Artículo 30 de la Convención Americana sobre Derechos Humanos</w:t>
      </w:r>
      <w:r w:rsidRPr="0074711B">
        <w:rPr>
          <w:rFonts w:ascii="Verdana" w:hAnsi="Verdana"/>
          <w:sz w:val="16"/>
          <w:szCs w:val="16"/>
          <w:lang w:val="es-CR"/>
        </w:rPr>
        <w:t>. Opinión Consulti</w:t>
      </w:r>
      <w:r>
        <w:rPr>
          <w:rFonts w:ascii="Verdana" w:hAnsi="Verdana"/>
          <w:sz w:val="16"/>
          <w:szCs w:val="16"/>
          <w:lang w:val="es-CR"/>
        </w:rPr>
        <w:t>va OC-6/86 del 9 de mayo de 1986. Serie A No. 6</w:t>
      </w:r>
      <w:r w:rsidRPr="002A2D37">
        <w:rPr>
          <w:rFonts w:ascii="Verdana" w:hAnsi="Verdana"/>
          <w:sz w:val="16"/>
          <w:szCs w:val="16"/>
          <w:lang w:val="es-CR"/>
        </w:rPr>
        <w:t>.</w:t>
      </w:r>
      <w:r>
        <w:rPr>
          <w:rFonts w:ascii="Verdana" w:hAnsi="Verdana"/>
          <w:i/>
          <w:sz w:val="16"/>
          <w:szCs w:val="16"/>
          <w:lang w:val="es-CR"/>
        </w:rPr>
        <w:t xml:space="preserve"> Ver también</w:t>
      </w:r>
      <w:r w:rsidRPr="002A2D37">
        <w:rPr>
          <w:rFonts w:ascii="Verdana" w:hAnsi="Verdana"/>
          <w:i/>
          <w:sz w:val="16"/>
          <w:szCs w:val="16"/>
          <w:lang w:val="es-CR"/>
        </w:rPr>
        <w:t xml:space="preserve"> Caso Velásquez Rodríguez Vs. Honduras. Fondo.</w:t>
      </w:r>
      <w:r w:rsidRPr="002A2D37">
        <w:rPr>
          <w:rFonts w:ascii="Verdana" w:hAnsi="Verdana"/>
          <w:sz w:val="16"/>
          <w:szCs w:val="16"/>
          <w:lang w:val="es-CR"/>
        </w:rPr>
        <w:t xml:space="preserve"> Sentencia de 29 de julio de 1988. Serie C No. 4, párr 61; y Caso </w:t>
      </w:r>
      <w:r w:rsidRPr="002A2D37">
        <w:rPr>
          <w:rFonts w:ascii="Verdana" w:hAnsi="Verdana"/>
          <w:i/>
          <w:sz w:val="16"/>
          <w:szCs w:val="16"/>
          <w:lang w:val="es-CR"/>
        </w:rPr>
        <w:t xml:space="preserve">Cabrera García y Montiel Flores Vs. México, supra </w:t>
      </w:r>
      <w:r w:rsidRPr="002A2D37">
        <w:rPr>
          <w:rFonts w:ascii="Verdana" w:hAnsi="Verdana"/>
          <w:sz w:val="16"/>
          <w:szCs w:val="16"/>
          <w:lang w:val="es-CR"/>
        </w:rPr>
        <w:t>nota 5, párr. 16.</w:t>
      </w:r>
    </w:p>
    <w:p w:rsidR="00D93A8F" w:rsidRPr="002513AB" w:rsidRDefault="00D93A8F" w:rsidP="00E505BE">
      <w:pPr>
        <w:jc w:val="both"/>
        <w:rPr>
          <w:lang w:val="es-ES"/>
        </w:rPr>
      </w:pPr>
    </w:p>
  </w:footnote>
  <w:footnote w:id="10">
    <w:p w:rsidR="00D93A8F" w:rsidRPr="0074711B" w:rsidRDefault="00D93A8F" w:rsidP="00CD04D8">
      <w:pPr>
        <w:pStyle w:val="Textonotapie"/>
        <w:ind w:right="9"/>
        <w:jc w:val="both"/>
        <w:rPr>
          <w:rFonts w:ascii="Verdana" w:hAnsi="Verdana"/>
          <w:sz w:val="16"/>
          <w:szCs w:val="16"/>
          <w:lang w:val="es-CR"/>
        </w:rPr>
      </w:pPr>
      <w:r w:rsidRPr="0074711B">
        <w:rPr>
          <w:rStyle w:val="Refdenotaalpie"/>
          <w:rFonts w:ascii="Verdana" w:hAnsi="Verdana" w:cs="Times"/>
          <w:sz w:val="16"/>
          <w:szCs w:val="16"/>
        </w:rPr>
        <w:footnoteRef/>
      </w:r>
      <w:r w:rsidRPr="0074711B">
        <w:rPr>
          <w:rFonts w:ascii="Verdana" w:hAnsi="Verdana"/>
          <w:sz w:val="16"/>
          <w:szCs w:val="16"/>
          <w:lang w:val="pt-BR"/>
        </w:rPr>
        <w:tab/>
      </w:r>
      <w:r w:rsidRPr="0074711B">
        <w:rPr>
          <w:rFonts w:ascii="Verdana" w:hAnsi="Verdana"/>
          <w:i/>
          <w:sz w:val="16"/>
          <w:szCs w:val="16"/>
          <w:lang w:val="es-CR"/>
        </w:rPr>
        <w:t xml:space="preserve">Cfr. </w:t>
      </w:r>
      <w:r w:rsidRPr="0074711B">
        <w:rPr>
          <w:rFonts w:ascii="Verdana" w:hAnsi="Verdana"/>
          <w:i/>
          <w:sz w:val="16"/>
          <w:szCs w:val="16"/>
          <w:lang w:val="pt-BR"/>
        </w:rPr>
        <w:t xml:space="preserve">Caso Nogueira de Carvalho y otro vs. Brasil. </w:t>
      </w:r>
      <w:r w:rsidRPr="0074711B">
        <w:rPr>
          <w:rFonts w:ascii="Verdana" w:hAnsi="Verdana"/>
          <w:i/>
          <w:sz w:val="16"/>
          <w:szCs w:val="16"/>
          <w:lang w:val="es-CR"/>
        </w:rPr>
        <w:t>Excepciones Preliminares y Fondo</w:t>
      </w:r>
      <w:r w:rsidRPr="0074711B">
        <w:rPr>
          <w:rFonts w:ascii="Verdana" w:hAnsi="Verdana"/>
          <w:sz w:val="16"/>
          <w:szCs w:val="16"/>
          <w:lang w:val="es-CR"/>
        </w:rPr>
        <w:t>. Sentencia de 28 de noviembre de 2006. Serie C No. 161, párr</w:t>
      </w:r>
      <w:r>
        <w:rPr>
          <w:rFonts w:ascii="Verdana" w:hAnsi="Verdana"/>
          <w:sz w:val="16"/>
          <w:szCs w:val="16"/>
          <w:lang w:val="es-CR"/>
        </w:rPr>
        <w:t>. 80,</w:t>
      </w:r>
      <w:r w:rsidRPr="0074711B">
        <w:rPr>
          <w:rFonts w:ascii="Verdana" w:hAnsi="Verdana"/>
          <w:sz w:val="16"/>
          <w:szCs w:val="16"/>
          <w:lang w:val="es-CR"/>
        </w:rPr>
        <w:t xml:space="preserve"> y </w:t>
      </w:r>
      <w:r w:rsidRPr="0074711B">
        <w:rPr>
          <w:rFonts w:ascii="Verdana" w:hAnsi="Verdana"/>
          <w:i/>
          <w:sz w:val="16"/>
          <w:szCs w:val="16"/>
          <w:lang w:val="es-CR"/>
        </w:rPr>
        <w:t xml:space="preserve">Caso Cabrera García y Montiel Flores Vs. México, supra </w:t>
      </w:r>
      <w:r w:rsidRPr="0074711B">
        <w:rPr>
          <w:rFonts w:ascii="Verdana" w:hAnsi="Verdana"/>
          <w:sz w:val="16"/>
          <w:szCs w:val="16"/>
          <w:lang w:val="es-CR"/>
        </w:rPr>
        <w:t>nota 5,</w:t>
      </w:r>
      <w:r w:rsidRPr="0074711B">
        <w:rPr>
          <w:rFonts w:ascii="Verdana" w:hAnsi="Verdana"/>
          <w:i/>
          <w:sz w:val="16"/>
          <w:szCs w:val="16"/>
          <w:lang w:val="es-CR"/>
        </w:rPr>
        <w:t xml:space="preserve"> </w:t>
      </w:r>
      <w:r w:rsidRPr="0074711B">
        <w:rPr>
          <w:rFonts w:ascii="Verdana" w:hAnsi="Verdana"/>
          <w:sz w:val="16"/>
          <w:szCs w:val="16"/>
          <w:lang w:val="es-CR"/>
        </w:rPr>
        <w:t>párr. 16.</w:t>
      </w:r>
    </w:p>
    <w:p w:rsidR="00D93A8F" w:rsidRPr="00854CE8" w:rsidRDefault="00D93A8F" w:rsidP="00CD04D8">
      <w:pPr>
        <w:pStyle w:val="Textonotapie"/>
        <w:ind w:right="9"/>
        <w:jc w:val="both"/>
        <w:rPr>
          <w:lang w:val="es-ES"/>
        </w:rPr>
      </w:pPr>
    </w:p>
  </w:footnote>
  <w:footnote w:id="11">
    <w:p w:rsidR="00D93A8F" w:rsidRPr="0074711B" w:rsidRDefault="00D93A8F" w:rsidP="00CD04D8">
      <w:pPr>
        <w:pStyle w:val="Textonotapie"/>
        <w:ind w:right="9"/>
        <w:jc w:val="both"/>
        <w:rPr>
          <w:rFonts w:ascii="Verdana" w:hAnsi="Verdana"/>
          <w:sz w:val="16"/>
          <w:szCs w:val="16"/>
          <w:lang w:val="pt-BR"/>
        </w:rPr>
      </w:pPr>
      <w:r w:rsidRPr="0074711B">
        <w:rPr>
          <w:rStyle w:val="Refdenotaalpie"/>
          <w:rFonts w:ascii="Verdana" w:hAnsi="Verdana"/>
          <w:sz w:val="16"/>
          <w:szCs w:val="16"/>
        </w:rPr>
        <w:footnoteRef/>
      </w:r>
      <w:r w:rsidRPr="0074711B">
        <w:rPr>
          <w:rFonts w:ascii="Verdana" w:hAnsi="Verdana"/>
          <w:sz w:val="16"/>
          <w:szCs w:val="16"/>
          <w:lang w:val="es-ES"/>
        </w:rPr>
        <w:t xml:space="preserve"> </w:t>
      </w:r>
      <w:r w:rsidRPr="0074711B">
        <w:rPr>
          <w:rFonts w:ascii="Verdana" w:hAnsi="Verdana"/>
          <w:sz w:val="16"/>
          <w:szCs w:val="16"/>
          <w:lang w:val="es-ES"/>
        </w:rPr>
        <w:tab/>
      </w:r>
      <w:r w:rsidRPr="0074711B">
        <w:rPr>
          <w:rFonts w:ascii="Verdana" w:hAnsi="Verdana"/>
          <w:i/>
          <w:sz w:val="16"/>
          <w:szCs w:val="16"/>
          <w:lang w:val="es-CR"/>
        </w:rPr>
        <w:t xml:space="preserve">Cfr. </w:t>
      </w:r>
      <w:r w:rsidRPr="0074711B">
        <w:rPr>
          <w:rFonts w:ascii="Verdana" w:hAnsi="Verdana"/>
          <w:i/>
          <w:sz w:val="16"/>
          <w:szCs w:val="16"/>
          <w:lang w:val="pt-BR"/>
        </w:rPr>
        <w:t xml:space="preserve">Caso Cabrera García y Montiel Flores Vs. México, supra </w:t>
      </w:r>
      <w:r w:rsidRPr="0074711B">
        <w:rPr>
          <w:rFonts w:ascii="Verdana" w:hAnsi="Verdana"/>
          <w:sz w:val="16"/>
          <w:szCs w:val="16"/>
          <w:lang w:val="pt-BR"/>
        </w:rPr>
        <w:t>nota 5, párr. 16.</w:t>
      </w:r>
    </w:p>
    <w:p w:rsidR="00D93A8F" w:rsidRPr="00854CE8" w:rsidRDefault="00D93A8F" w:rsidP="00CD04D8">
      <w:pPr>
        <w:pStyle w:val="Textonotapie"/>
        <w:ind w:right="9"/>
        <w:jc w:val="both"/>
        <w:rPr>
          <w:lang w:val="es-ES"/>
        </w:rPr>
      </w:pPr>
    </w:p>
  </w:footnote>
  <w:footnote w:id="12">
    <w:p w:rsidR="00D93A8F" w:rsidRPr="0074711B" w:rsidRDefault="00D93A8F" w:rsidP="00CD04D8">
      <w:pPr>
        <w:pStyle w:val="Textonotapie"/>
        <w:ind w:right="9"/>
        <w:jc w:val="both"/>
        <w:rPr>
          <w:rFonts w:ascii="Verdana" w:hAnsi="Verdana" w:cs="Verdana"/>
          <w:color w:val="000000"/>
          <w:sz w:val="16"/>
          <w:szCs w:val="16"/>
          <w:lang w:val="es-CR" w:eastAsia="es-ES_tradnl"/>
        </w:rPr>
      </w:pPr>
      <w:r w:rsidRPr="00C60ED0">
        <w:rPr>
          <w:rStyle w:val="Refdenotaalpie"/>
          <w:rFonts w:ascii="Verdana" w:hAnsi="Verdana" w:cs="Times"/>
          <w:sz w:val="16"/>
          <w:szCs w:val="16"/>
        </w:rPr>
        <w:footnoteRef/>
      </w:r>
      <w:r w:rsidRPr="00C60ED0">
        <w:rPr>
          <w:rFonts w:ascii="Verdana" w:hAnsi="Verdana"/>
          <w:sz w:val="16"/>
          <w:szCs w:val="16"/>
          <w:lang w:val="es-CR"/>
        </w:rPr>
        <w:tab/>
      </w:r>
      <w:r w:rsidRPr="00C60ED0">
        <w:rPr>
          <w:rFonts w:ascii="Verdana" w:hAnsi="Verdana"/>
          <w:i/>
          <w:sz w:val="16"/>
          <w:szCs w:val="16"/>
          <w:lang w:val="es-CR"/>
        </w:rPr>
        <w:t>Cfr</w:t>
      </w:r>
      <w:r w:rsidRPr="00C60ED0">
        <w:rPr>
          <w:rFonts w:ascii="Verdana" w:hAnsi="Verdana"/>
          <w:sz w:val="16"/>
          <w:szCs w:val="16"/>
          <w:lang w:val="es-CR"/>
        </w:rPr>
        <w:t xml:space="preserve">. </w:t>
      </w:r>
      <w:r w:rsidRPr="00C60ED0">
        <w:rPr>
          <w:rFonts w:ascii="Verdana" w:hAnsi="Verdana" w:cs="Verdana"/>
          <w:i/>
          <w:iCs/>
          <w:color w:val="000000"/>
          <w:sz w:val="16"/>
          <w:szCs w:val="16"/>
          <w:lang w:val="es-CR" w:eastAsia="es-ES_tradnl"/>
        </w:rPr>
        <w:t xml:space="preserve">Caso Las Palmeras Vs. Colombia. Excepciones Preliminares. </w:t>
      </w:r>
      <w:r w:rsidRPr="00C60ED0">
        <w:rPr>
          <w:rFonts w:ascii="Verdana" w:hAnsi="Verdana" w:cs="Verdana"/>
          <w:color w:val="000000"/>
          <w:sz w:val="16"/>
          <w:szCs w:val="16"/>
          <w:lang w:val="es-CR" w:eastAsia="es-ES_tradnl"/>
        </w:rPr>
        <w:t xml:space="preserve">Sentencia de 4 de febrero de 2000. Serie C No. 67, párr. 34; </w:t>
      </w:r>
      <w:r w:rsidRPr="00C60ED0">
        <w:rPr>
          <w:rFonts w:ascii="Verdana" w:hAnsi="Verdana" w:cs="Verdana"/>
          <w:i/>
          <w:color w:val="000000"/>
          <w:sz w:val="16"/>
          <w:szCs w:val="16"/>
          <w:lang w:val="es-CR" w:eastAsia="es-ES_tradnl"/>
        </w:rPr>
        <w:t>Caso Manuel Cepeda Vargas Vs. Colombia</w:t>
      </w:r>
      <w:r w:rsidRPr="00FC3247">
        <w:rPr>
          <w:rFonts w:ascii="Verdana" w:hAnsi="Verdana" w:cs="Verdana"/>
          <w:color w:val="000000"/>
          <w:sz w:val="16"/>
          <w:szCs w:val="16"/>
          <w:lang w:val="es-CR" w:eastAsia="es-ES_tradnl"/>
        </w:rPr>
        <w:t xml:space="preserve">. </w:t>
      </w:r>
      <w:r w:rsidRPr="00FC3247">
        <w:rPr>
          <w:rFonts w:ascii="Verdana" w:hAnsi="Verdana" w:cs="Verdana"/>
          <w:i/>
          <w:color w:val="000000"/>
          <w:sz w:val="16"/>
          <w:szCs w:val="16"/>
          <w:lang w:val="es-CR" w:eastAsia="es-ES_tradnl"/>
        </w:rPr>
        <w:t>Excepciones Preliminares</w:t>
      </w:r>
      <w:r w:rsidRPr="00C60ED0">
        <w:rPr>
          <w:rFonts w:ascii="Verdana" w:hAnsi="Verdana" w:cs="Verdana"/>
          <w:color w:val="000000"/>
          <w:sz w:val="16"/>
          <w:szCs w:val="16"/>
          <w:lang w:val="es-CR" w:eastAsia="es-ES_tradnl"/>
        </w:rPr>
        <w:t>,</w:t>
      </w:r>
      <w:r w:rsidRPr="00C60ED0">
        <w:rPr>
          <w:rFonts w:ascii="Verdana" w:hAnsi="Verdana" w:cs="Verdana"/>
          <w:i/>
          <w:color w:val="000000"/>
          <w:sz w:val="16"/>
          <w:szCs w:val="16"/>
          <w:lang w:val="es-CR" w:eastAsia="es-ES_tradnl"/>
        </w:rPr>
        <w:t xml:space="preserve"> </w:t>
      </w:r>
      <w:r w:rsidRPr="00FC3247">
        <w:rPr>
          <w:rFonts w:ascii="Verdana" w:hAnsi="Verdana" w:cs="Verdana"/>
          <w:i/>
          <w:color w:val="000000"/>
          <w:sz w:val="16"/>
          <w:szCs w:val="16"/>
          <w:lang w:val="es-CR" w:eastAsia="es-ES_tradnl"/>
        </w:rPr>
        <w:t xml:space="preserve">Fondo, Reparaciones y Costas. </w:t>
      </w:r>
      <w:r w:rsidRPr="00FC3247">
        <w:rPr>
          <w:rFonts w:ascii="Verdana" w:hAnsi="Verdana" w:cs="Verdana"/>
          <w:color w:val="000000"/>
          <w:sz w:val="16"/>
          <w:szCs w:val="16"/>
          <w:lang w:val="es-CR" w:eastAsia="es-ES_tradnl"/>
        </w:rPr>
        <w:t>Sentencia 26 de mayo de 2010. Serie C No. 213</w:t>
      </w:r>
      <w:r w:rsidRPr="00FC3247">
        <w:rPr>
          <w:rFonts w:ascii="Verdana" w:hAnsi="Verdana" w:cs="Verdana"/>
          <w:i/>
          <w:color w:val="000000"/>
          <w:sz w:val="16"/>
          <w:szCs w:val="16"/>
          <w:lang w:val="es-CR" w:eastAsia="es-ES_tradnl"/>
        </w:rPr>
        <w:t xml:space="preserve">, </w:t>
      </w:r>
      <w:r w:rsidRPr="00C60ED0">
        <w:rPr>
          <w:rFonts w:ascii="Verdana" w:hAnsi="Verdana" w:cs="Verdana"/>
          <w:color w:val="000000"/>
          <w:sz w:val="16"/>
          <w:szCs w:val="16"/>
          <w:lang w:val="es-CR" w:eastAsia="es-ES_tradnl"/>
        </w:rPr>
        <w:t xml:space="preserve">párr. 35, y </w:t>
      </w:r>
      <w:r w:rsidRPr="00C60ED0">
        <w:rPr>
          <w:rFonts w:ascii="Verdana" w:hAnsi="Verdana" w:cs="Verdana"/>
          <w:i/>
          <w:color w:val="000000"/>
          <w:sz w:val="16"/>
          <w:szCs w:val="16"/>
          <w:lang w:val="es-CR" w:eastAsia="es-ES_tradnl"/>
        </w:rPr>
        <w:t>Caso Gomes Lund y otros (Guerrilha do Araguaia) Vs. Brasil. Excepciones Preliminares, Fondo, Reparaciones y Costas.</w:t>
      </w:r>
      <w:r w:rsidRPr="00C60ED0">
        <w:rPr>
          <w:rFonts w:ascii="Verdana" w:hAnsi="Verdana" w:cs="Verdana"/>
          <w:color w:val="000000"/>
          <w:sz w:val="16"/>
          <w:szCs w:val="16"/>
          <w:lang w:val="es-CR" w:eastAsia="es-ES_tradnl"/>
        </w:rPr>
        <w:t xml:space="preserve"> Sentencia de 24 de noviembre de 2010. Serie C No. 219, párr. 11.</w:t>
      </w:r>
    </w:p>
    <w:p w:rsidR="00D93A8F" w:rsidRPr="00854CE8" w:rsidRDefault="00D93A8F" w:rsidP="00CD04D8">
      <w:pPr>
        <w:pStyle w:val="Textonotapie"/>
        <w:ind w:right="9"/>
        <w:jc w:val="both"/>
        <w:rPr>
          <w:lang w:val="es-ES"/>
        </w:rPr>
      </w:pPr>
    </w:p>
  </w:footnote>
  <w:footnote w:id="13">
    <w:p w:rsidR="00D93A8F" w:rsidRPr="0074711B" w:rsidRDefault="00D93A8F" w:rsidP="004C3F59">
      <w:pPr>
        <w:jc w:val="both"/>
        <w:rPr>
          <w:rFonts w:ascii="Verdana" w:hAnsi="Verdana"/>
          <w:sz w:val="16"/>
          <w:szCs w:val="16"/>
          <w:lang w:val="es-CR"/>
        </w:rPr>
      </w:pPr>
      <w:r w:rsidRPr="0074711B">
        <w:rPr>
          <w:rStyle w:val="Refdenotaalpie"/>
          <w:rFonts w:ascii="Verdana" w:hAnsi="Verdana" w:cs="Times"/>
          <w:sz w:val="16"/>
          <w:szCs w:val="16"/>
        </w:rPr>
        <w:footnoteRef/>
      </w:r>
      <w:r w:rsidRPr="0074711B">
        <w:rPr>
          <w:rFonts w:ascii="Verdana" w:hAnsi="Verdana"/>
          <w:sz w:val="16"/>
          <w:szCs w:val="16"/>
          <w:lang w:val="es-CR"/>
        </w:rPr>
        <w:tab/>
      </w:r>
      <w:r>
        <w:rPr>
          <w:rFonts w:ascii="Verdana" w:hAnsi="Verdana"/>
          <w:i/>
          <w:sz w:val="16"/>
          <w:szCs w:val="16"/>
          <w:lang w:val="es-CR"/>
        </w:rPr>
        <w:t>Cfr. Caso Castañeda Gutman V</w:t>
      </w:r>
      <w:r w:rsidRPr="0074711B">
        <w:rPr>
          <w:rFonts w:ascii="Verdana" w:hAnsi="Verdana"/>
          <w:i/>
          <w:sz w:val="16"/>
          <w:szCs w:val="16"/>
          <w:lang w:val="es-CR"/>
        </w:rPr>
        <w:t xml:space="preserve">s. México. Excepciones Preliminares, Fondo, Reparaciones y Costas. </w:t>
      </w:r>
      <w:r w:rsidRPr="0074711B">
        <w:rPr>
          <w:rFonts w:ascii="Verdana" w:hAnsi="Verdana"/>
          <w:sz w:val="16"/>
          <w:szCs w:val="16"/>
          <w:lang w:val="es-CR"/>
        </w:rPr>
        <w:t xml:space="preserve">Sentencia de 6 de agosto de 2008. Serie C No. 184, párr. 39; </w:t>
      </w:r>
      <w:r w:rsidRPr="0074711B">
        <w:rPr>
          <w:rFonts w:ascii="Verdana" w:hAnsi="Verdana" w:cs="Verdana"/>
          <w:i/>
          <w:color w:val="000000"/>
          <w:sz w:val="16"/>
          <w:szCs w:val="16"/>
          <w:lang w:val="es-CR" w:eastAsia="es-ES_tradnl"/>
        </w:rPr>
        <w:t xml:space="preserve">Caso Gomes Lund y otros (Guerrilha do Araguaia) Vs. Brasil, supra </w:t>
      </w:r>
      <w:r w:rsidRPr="0074711B">
        <w:rPr>
          <w:rFonts w:ascii="Verdana" w:hAnsi="Verdana" w:cs="Verdana"/>
          <w:color w:val="000000"/>
          <w:sz w:val="16"/>
          <w:szCs w:val="16"/>
          <w:lang w:val="es-CR" w:eastAsia="es-ES_tradnl"/>
        </w:rPr>
        <w:t>nota 9, párr. 17, y</w:t>
      </w:r>
      <w:r w:rsidRPr="0074711B">
        <w:rPr>
          <w:rFonts w:ascii="Verdana" w:hAnsi="Verdana"/>
          <w:sz w:val="16"/>
          <w:szCs w:val="16"/>
          <w:lang w:val="es-CR"/>
        </w:rPr>
        <w:t xml:space="preserve"> </w:t>
      </w:r>
      <w:r w:rsidRPr="0074711B">
        <w:rPr>
          <w:rFonts w:ascii="Verdana" w:hAnsi="Verdana"/>
          <w:i/>
          <w:sz w:val="16"/>
          <w:szCs w:val="16"/>
          <w:lang w:val="es-CR"/>
        </w:rPr>
        <w:t xml:space="preserve">Cabrera García y Montiel Flores Vs. México, supra </w:t>
      </w:r>
      <w:r w:rsidRPr="0074711B">
        <w:rPr>
          <w:rFonts w:ascii="Verdana" w:hAnsi="Verdana"/>
          <w:sz w:val="16"/>
          <w:szCs w:val="16"/>
          <w:lang w:val="es-CR"/>
        </w:rPr>
        <w:t>nota 5</w:t>
      </w:r>
      <w:r w:rsidRPr="0074711B">
        <w:rPr>
          <w:rFonts w:ascii="Verdana" w:hAnsi="Verdana"/>
          <w:i/>
          <w:sz w:val="16"/>
          <w:szCs w:val="16"/>
          <w:lang w:val="es-CR"/>
        </w:rPr>
        <w:t xml:space="preserve">, </w:t>
      </w:r>
      <w:r w:rsidRPr="0074711B">
        <w:rPr>
          <w:rFonts w:ascii="Verdana" w:hAnsi="Verdana"/>
          <w:sz w:val="16"/>
          <w:szCs w:val="16"/>
          <w:lang w:val="es-CR"/>
        </w:rPr>
        <w:t>párr. 17.</w:t>
      </w:r>
    </w:p>
    <w:p w:rsidR="00D93A8F" w:rsidRPr="002513AB" w:rsidRDefault="00D93A8F" w:rsidP="004C3F59">
      <w:pPr>
        <w:jc w:val="both"/>
        <w:rPr>
          <w:lang w:val="es-ES"/>
        </w:rPr>
      </w:pPr>
    </w:p>
  </w:footnote>
  <w:footnote w:id="14">
    <w:p w:rsidR="00D93A8F" w:rsidRPr="00854CE8" w:rsidRDefault="00D93A8F" w:rsidP="00CD04D8">
      <w:pPr>
        <w:pStyle w:val="Textonotapie"/>
        <w:spacing w:after="120"/>
        <w:ind w:right="9"/>
        <w:jc w:val="both"/>
        <w:rPr>
          <w:lang w:val="es-ES"/>
        </w:rPr>
      </w:pPr>
      <w:r w:rsidRPr="0074711B">
        <w:rPr>
          <w:rStyle w:val="Refdenotaalpie"/>
          <w:rFonts w:ascii="Verdana" w:hAnsi="Verdana"/>
          <w:sz w:val="16"/>
          <w:szCs w:val="16"/>
        </w:rPr>
        <w:footnoteRef/>
      </w:r>
      <w:r w:rsidRPr="0074711B">
        <w:rPr>
          <w:rFonts w:ascii="Verdana" w:hAnsi="Verdana"/>
          <w:sz w:val="16"/>
          <w:szCs w:val="16"/>
          <w:lang w:val="es-CR"/>
        </w:rPr>
        <w:t xml:space="preserve"> </w:t>
      </w:r>
      <w:r w:rsidRPr="0074711B">
        <w:rPr>
          <w:rFonts w:ascii="Verdana" w:hAnsi="Verdana"/>
          <w:sz w:val="16"/>
          <w:szCs w:val="16"/>
          <w:lang w:val="es-CR"/>
        </w:rPr>
        <w:tab/>
      </w:r>
      <w:r w:rsidRPr="0074711B">
        <w:rPr>
          <w:rFonts w:ascii="Verdana" w:hAnsi="Verdana"/>
          <w:i/>
          <w:sz w:val="16"/>
          <w:szCs w:val="16"/>
          <w:lang w:val="es-CR"/>
        </w:rPr>
        <w:t>Cfr.</w:t>
      </w:r>
      <w:r w:rsidRPr="0074711B">
        <w:rPr>
          <w:rFonts w:ascii="Verdana" w:hAnsi="Verdana"/>
          <w:sz w:val="16"/>
          <w:szCs w:val="16"/>
          <w:lang w:val="es-CR"/>
        </w:rPr>
        <w:t xml:space="preserve"> </w:t>
      </w:r>
      <w:r w:rsidRPr="0074711B">
        <w:rPr>
          <w:rFonts w:ascii="Verdana" w:hAnsi="Verdana"/>
          <w:i/>
          <w:sz w:val="16"/>
          <w:szCs w:val="16"/>
          <w:lang w:val="es-CR"/>
        </w:rPr>
        <w:t>Caso de los “Niños de la Call</w:t>
      </w:r>
      <w:r>
        <w:rPr>
          <w:rFonts w:ascii="Verdana" w:hAnsi="Verdana"/>
          <w:i/>
          <w:sz w:val="16"/>
          <w:szCs w:val="16"/>
          <w:lang w:val="es-CR"/>
        </w:rPr>
        <w:t>e” (Villagrán Morales y otros) Vs. Guatemala.</w:t>
      </w:r>
      <w:r w:rsidRPr="0074711B">
        <w:rPr>
          <w:rFonts w:ascii="Verdana" w:hAnsi="Verdana"/>
          <w:i/>
          <w:sz w:val="16"/>
          <w:szCs w:val="16"/>
          <w:lang w:val="es-CR"/>
        </w:rPr>
        <w:t xml:space="preserve"> </w:t>
      </w:r>
      <w:r>
        <w:rPr>
          <w:rFonts w:ascii="Verdana" w:hAnsi="Verdana"/>
          <w:i/>
          <w:sz w:val="16"/>
          <w:szCs w:val="16"/>
          <w:lang w:val="es-CR"/>
        </w:rPr>
        <w:t xml:space="preserve">Fondo. </w:t>
      </w:r>
      <w:r w:rsidRPr="000E08CA">
        <w:rPr>
          <w:rFonts w:ascii="Verdana" w:hAnsi="Verdana"/>
          <w:sz w:val="16"/>
          <w:szCs w:val="16"/>
          <w:lang w:val="es-CR"/>
        </w:rPr>
        <w:t>Sentencia de 19 de noviembre de 1999. Serie C No. 63</w:t>
      </w:r>
      <w:r w:rsidRPr="0074711B">
        <w:rPr>
          <w:rFonts w:ascii="Verdana" w:hAnsi="Verdana"/>
          <w:sz w:val="16"/>
          <w:szCs w:val="16"/>
          <w:lang w:val="es-CR"/>
        </w:rPr>
        <w:t xml:space="preserve">, párr. 222; </w:t>
      </w:r>
      <w:r w:rsidRPr="0074711B">
        <w:rPr>
          <w:rFonts w:ascii="Verdana" w:hAnsi="Verdana"/>
          <w:i/>
          <w:sz w:val="16"/>
          <w:szCs w:val="16"/>
          <w:lang w:val="es-CR"/>
        </w:rPr>
        <w:t xml:space="preserve">Caso Gomes Lund y </w:t>
      </w:r>
      <w:r>
        <w:rPr>
          <w:rFonts w:ascii="Verdana" w:hAnsi="Verdana"/>
          <w:i/>
          <w:sz w:val="16"/>
          <w:szCs w:val="16"/>
          <w:lang w:val="es-CR"/>
        </w:rPr>
        <w:t>otros (“Guerrilha Do Araguaia) V</w:t>
      </w:r>
      <w:r w:rsidRPr="0074711B">
        <w:rPr>
          <w:rFonts w:ascii="Verdana" w:hAnsi="Verdana"/>
          <w:i/>
          <w:sz w:val="16"/>
          <w:szCs w:val="16"/>
          <w:lang w:val="es-CR"/>
        </w:rPr>
        <w:t xml:space="preserve">s. Brasil, supra </w:t>
      </w:r>
      <w:r w:rsidRPr="0074711B">
        <w:rPr>
          <w:rFonts w:ascii="Verdana" w:hAnsi="Verdana"/>
          <w:sz w:val="16"/>
          <w:szCs w:val="16"/>
          <w:lang w:val="es-CR"/>
        </w:rPr>
        <w:t>nota 9</w:t>
      </w:r>
      <w:r w:rsidRPr="0074711B">
        <w:rPr>
          <w:rFonts w:ascii="Verdana" w:hAnsi="Verdana"/>
          <w:i/>
          <w:sz w:val="16"/>
          <w:szCs w:val="16"/>
          <w:lang w:val="es-CR"/>
        </w:rPr>
        <w:t xml:space="preserve">, </w:t>
      </w:r>
      <w:r w:rsidRPr="0074711B">
        <w:rPr>
          <w:rFonts w:ascii="Verdana" w:hAnsi="Verdana"/>
          <w:sz w:val="16"/>
          <w:szCs w:val="16"/>
          <w:lang w:val="es-CR"/>
        </w:rPr>
        <w:t xml:space="preserve">párr. 49, y </w:t>
      </w:r>
      <w:r w:rsidRPr="0074711B">
        <w:rPr>
          <w:rFonts w:ascii="Verdana" w:hAnsi="Verdana"/>
          <w:i/>
          <w:sz w:val="16"/>
          <w:szCs w:val="16"/>
          <w:lang w:val="es-EC"/>
        </w:rPr>
        <w:t xml:space="preserve">Caso Cabrera García y Montiel Flores Vs. México, </w:t>
      </w:r>
      <w:r w:rsidRPr="0074711B">
        <w:rPr>
          <w:rFonts w:ascii="Verdana" w:hAnsi="Verdana"/>
          <w:i/>
          <w:sz w:val="16"/>
          <w:szCs w:val="16"/>
          <w:lang w:val="es-CR"/>
        </w:rPr>
        <w:t xml:space="preserve">supra </w:t>
      </w:r>
      <w:r w:rsidRPr="0074711B">
        <w:rPr>
          <w:rFonts w:ascii="Verdana" w:hAnsi="Verdana"/>
          <w:sz w:val="16"/>
          <w:szCs w:val="16"/>
          <w:lang w:val="es-CR"/>
        </w:rPr>
        <w:t>nota 5</w:t>
      </w:r>
      <w:r w:rsidRPr="0074711B">
        <w:rPr>
          <w:rFonts w:ascii="Verdana" w:hAnsi="Verdana"/>
          <w:i/>
          <w:sz w:val="16"/>
          <w:szCs w:val="16"/>
          <w:lang w:val="es-CR"/>
        </w:rPr>
        <w:t>,</w:t>
      </w:r>
      <w:r w:rsidRPr="0074711B">
        <w:rPr>
          <w:rFonts w:ascii="Verdana" w:hAnsi="Verdana"/>
          <w:sz w:val="16"/>
          <w:szCs w:val="16"/>
          <w:lang w:val="es-CR"/>
        </w:rPr>
        <w:t xml:space="preserve"> párr. 19. </w:t>
      </w:r>
    </w:p>
  </w:footnote>
  <w:footnote w:id="15">
    <w:p w:rsidR="00D93A8F" w:rsidRPr="00854CE8" w:rsidRDefault="00D93A8F" w:rsidP="00C34F8F">
      <w:pPr>
        <w:spacing w:before="120" w:after="120"/>
        <w:jc w:val="both"/>
        <w:rPr>
          <w:lang w:val="es-ES"/>
        </w:rPr>
      </w:pPr>
      <w:r w:rsidRPr="0074711B">
        <w:rPr>
          <w:rStyle w:val="Refdenotaalpie"/>
          <w:rFonts w:ascii="Verdana" w:hAnsi="Verdana" w:cs="Times"/>
          <w:sz w:val="16"/>
          <w:szCs w:val="16"/>
        </w:rPr>
        <w:footnoteRef/>
      </w:r>
      <w:r w:rsidRPr="0074711B">
        <w:rPr>
          <w:rFonts w:ascii="Verdana" w:hAnsi="Verdana"/>
          <w:sz w:val="16"/>
          <w:szCs w:val="16"/>
          <w:lang w:val="es-CR"/>
        </w:rPr>
        <w:tab/>
      </w:r>
      <w:r w:rsidRPr="0074711B">
        <w:rPr>
          <w:rFonts w:ascii="Verdana" w:hAnsi="Verdana"/>
          <w:i/>
          <w:sz w:val="16"/>
          <w:szCs w:val="16"/>
          <w:lang w:val="es-ES"/>
        </w:rPr>
        <w:t xml:space="preserve">Cfr. Caso Velásquez Rodríguez Vs. Honduras. Excepciones Preliminares. </w:t>
      </w:r>
      <w:r w:rsidRPr="0074711B">
        <w:rPr>
          <w:rFonts w:ascii="Verdana" w:hAnsi="Verdana"/>
          <w:sz w:val="16"/>
          <w:szCs w:val="16"/>
          <w:lang w:val="es-ES"/>
        </w:rPr>
        <w:t xml:space="preserve">Sentencia de 26 de junio de 1987. Serie C No. 1, párr. 85; </w:t>
      </w:r>
      <w:r w:rsidRPr="0074711B">
        <w:rPr>
          <w:rFonts w:ascii="Verdana" w:hAnsi="Verdana"/>
          <w:i/>
          <w:sz w:val="16"/>
          <w:szCs w:val="16"/>
          <w:lang w:val="es-ES"/>
        </w:rPr>
        <w:t xml:space="preserve">Caso Cabrera García y Montiel Flores Vs. México, supra </w:t>
      </w:r>
      <w:r w:rsidRPr="0074711B">
        <w:rPr>
          <w:rFonts w:ascii="Verdana" w:hAnsi="Verdana"/>
          <w:sz w:val="16"/>
          <w:szCs w:val="16"/>
          <w:lang w:val="es-ES"/>
        </w:rPr>
        <w:t xml:space="preserve">nota 5, párr. 19; y </w:t>
      </w:r>
      <w:r w:rsidRPr="0074711B">
        <w:rPr>
          <w:rFonts w:ascii="Verdana" w:hAnsi="Verdana"/>
          <w:i/>
          <w:sz w:val="16"/>
          <w:szCs w:val="16"/>
          <w:lang w:val="es-ES"/>
        </w:rPr>
        <w:t>Caso Vera Vera y otra Vs. Ecuador. Excepción Preliminar, Fondo, Reparaciones y Costas.</w:t>
      </w:r>
      <w:r w:rsidRPr="0074711B">
        <w:rPr>
          <w:rFonts w:ascii="Verdana" w:hAnsi="Verdana"/>
          <w:sz w:val="16"/>
          <w:szCs w:val="16"/>
          <w:lang w:val="es-ES"/>
        </w:rPr>
        <w:t xml:space="preserve"> Sentencia de 19 de mayo de 2011 Serie C No. 224, párr. 13.</w:t>
      </w:r>
    </w:p>
  </w:footnote>
  <w:footnote w:id="16">
    <w:p w:rsidR="00D93A8F" w:rsidRDefault="00D93A8F" w:rsidP="001703C6">
      <w:pPr>
        <w:jc w:val="both"/>
        <w:rPr>
          <w:rFonts w:ascii="Verdana" w:hAnsi="Verdana"/>
          <w:sz w:val="16"/>
          <w:szCs w:val="16"/>
          <w:lang w:val="es-ES"/>
        </w:rPr>
      </w:pPr>
      <w:r w:rsidRPr="0074711B">
        <w:rPr>
          <w:rStyle w:val="Refdenotaalpie"/>
          <w:rFonts w:ascii="Verdana" w:hAnsi="Verdana" w:cs="Times"/>
          <w:sz w:val="16"/>
          <w:szCs w:val="16"/>
        </w:rPr>
        <w:footnoteRef/>
      </w:r>
      <w:r w:rsidRPr="00674A51">
        <w:rPr>
          <w:rStyle w:val="Refdenotaalpie"/>
          <w:rFonts w:ascii="Verdana" w:hAnsi="Verdana" w:cs="Times"/>
          <w:sz w:val="16"/>
          <w:szCs w:val="16"/>
          <w:lang w:val="es-CR"/>
        </w:rPr>
        <w:t xml:space="preserve"> </w:t>
      </w:r>
      <w:r w:rsidRPr="0074711B">
        <w:rPr>
          <w:rFonts w:ascii="Verdana" w:hAnsi="Verdana" w:cs="Verdana"/>
          <w:bCs/>
          <w:sz w:val="16"/>
          <w:szCs w:val="16"/>
          <w:lang w:val="es-ES"/>
        </w:rPr>
        <w:tab/>
      </w:r>
      <w:r w:rsidRPr="0074711B">
        <w:rPr>
          <w:rFonts w:ascii="Verdana" w:hAnsi="Verdana" w:cs="Verdana"/>
          <w:bCs/>
          <w:i/>
          <w:sz w:val="16"/>
          <w:szCs w:val="16"/>
          <w:lang w:val="es-ES"/>
        </w:rPr>
        <w:t>Cfr. Caso Velásque</w:t>
      </w:r>
      <w:r>
        <w:rPr>
          <w:rFonts w:ascii="Verdana" w:hAnsi="Verdana" w:cs="Verdana"/>
          <w:bCs/>
          <w:i/>
          <w:sz w:val="16"/>
          <w:szCs w:val="16"/>
          <w:lang w:val="es-ES"/>
        </w:rPr>
        <w:t xml:space="preserve">z Rodríguez Vs. Honduras. Fondo, </w:t>
      </w:r>
      <w:r w:rsidRPr="00E306F1">
        <w:rPr>
          <w:rFonts w:ascii="Verdana" w:hAnsi="Verdana" w:cs="Verdana"/>
          <w:bCs/>
          <w:i/>
          <w:sz w:val="16"/>
          <w:szCs w:val="16"/>
          <w:lang w:val="es-ES"/>
        </w:rPr>
        <w:t xml:space="preserve"> </w:t>
      </w:r>
      <w:r w:rsidRPr="00FC3247">
        <w:rPr>
          <w:rFonts w:ascii="Verdana" w:hAnsi="Verdana" w:cs="Verdana"/>
          <w:bCs/>
          <w:i/>
          <w:sz w:val="16"/>
          <w:szCs w:val="16"/>
          <w:lang w:val="es-ES"/>
        </w:rPr>
        <w:t>supra</w:t>
      </w:r>
      <w:r>
        <w:rPr>
          <w:rFonts w:ascii="Verdana" w:hAnsi="Verdana" w:cs="Verdana"/>
          <w:bCs/>
          <w:sz w:val="16"/>
          <w:szCs w:val="16"/>
          <w:lang w:val="es-ES"/>
        </w:rPr>
        <w:t xml:space="preserve"> nota 6</w:t>
      </w:r>
      <w:r w:rsidRPr="0074711B">
        <w:rPr>
          <w:rFonts w:ascii="Verdana" w:hAnsi="Verdana" w:cs="Verdana"/>
          <w:bCs/>
          <w:sz w:val="16"/>
          <w:szCs w:val="16"/>
          <w:lang w:val="es-ES"/>
        </w:rPr>
        <w:t xml:space="preserve">, párr. 61, y </w:t>
      </w:r>
      <w:r w:rsidRPr="0074711B">
        <w:rPr>
          <w:rFonts w:ascii="Verdana" w:hAnsi="Verdana"/>
          <w:i/>
          <w:sz w:val="16"/>
          <w:szCs w:val="16"/>
          <w:lang w:val="es-ES"/>
        </w:rPr>
        <w:t>Caso Fairén Garbi y Solís Corrales</w:t>
      </w:r>
      <w:r>
        <w:rPr>
          <w:rFonts w:ascii="Verdana" w:hAnsi="Verdana"/>
          <w:sz w:val="16"/>
          <w:szCs w:val="16"/>
          <w:lang w:val="es-ES"/>
        </w:rPr>
        <w:t xml:space="preserve"> </w:t>
      </w:r>
      <w:r>
        <w:rPr>
          <w:rFonts w:ascii="Verdana" w:hAnsi="Verdana"/>
          <w:i/>
          <w:sz w:val="16"/>
          <w:szCs w:val="16"/>
          <w:lang w:val="es-ES"/>
        </w:rPr>
        <w:t>Vs</w:t>
      </w:r>
      <w:r w:rsidRPr="00FC3247">
        <w:rPr>
          <w:rFonts w:ascii="Verdana" w:hAnsi="Verdana"/>
          <w:i/>
          <w:sz w:val="16"/>
          <w:szCs w:val="16"/>
          <w:lang w:val="es-ES"/>
        </w:rPr>
        <w:t>. Honduras.</w:t>
      </w:r>
      <w:r>
        <w:rPr>
          <w:rFonts w:ascii="Verdana" w:hAnsi="Verdana"/>
          <w:sz w:val="16"/>
          <w:szCs w:val="16"/>
          <w:lang w:val="es-ES"/>
        </w:rPr>
        <w:t xml:space="preserve"> </w:t>
      </w:r>
      <w:r w:rsidRPr="0074711B">
        <w:rPr>
          <w:rFonts w:ascii="Verdana" w:hAnsi="Verdana"/>
          <w:i/>
          <w:sz w:val="16"/>
          <w:szCs w:val="16"/>
          <w:lang w:val="es-ES"/>
        </w:rPr>
        <w:t>Fondo.</w:t>
      </w:r>
      <w:r w:rsidRPr="0074711B">
        <w:rPr>
          <w:rFonts w:ascii="Verdana" w:hAnsi="Verdana"/>
          <w:sz w:val="16"/>
          <w:szCs w:val="16"/>
          <w:lang w:val="es-ES"/>
        </w:rPr>
        <w:t xml:space="preserve"> Sentencia del 15 de marzo de 1989, Serie C No. 6, párr. 85.</w:t>
      </w:r>
    </w:p>
    <w:p w:rsidR="00D93A8F" w:rsidRPr="00854CE8" w:rsidRDefault="00D93A8F" w:rsidP="001703C6">
      <w:pPr>
        <w:jc w:val="both"/>
        <w:rPr>
          <w:lang w:val="es-ES"/>
        </w:rPr>
      </w:pPr>
      <w:r w:rsidRPr="0074711B">
        <w:rPr>
          <w:rFonts w:ascii="Verdana" w:hAnsi="Verdana"/>
          <w:sz w:val="16"/>
          <w:szCs w:val="16"/>
          <w:lang w:val="es-ES"/>
        </w:rPr>
        <w:t xml:space="preserve">  </w:t>
      </w:r>
    </w:p>
  </w:footnote>
  <w:footnote w:id="17">
    <w:p w:rsidR="00D93A8F" w:rsidRPr="0074711B" w:rsidRDefault="00D93A8F" w:rsidP="00CD04D8">
      <w:pPr>
        <w:jc w:val="both"/>
        <w:rPr>
          <w:rFonts w:ascii="Verdana" w:hAnsi="Verdana" w:cs="Verdana"/>
          <w:bCs/>
          <w:sz w:val="16"/>
          <w:szCs w:val="16"/>
          <w:lang w:val="es-ES"/>
        </w:rPr>
      </w:pPr>
      <w:r w:rsidRPr="0074711B">
        <w:rPr>
          <w:rStyle w:val="Refdenotaalpie"/>
          <w:rFonts w:ascii="Verdana" w:hAnsi="Verdana" w:cs="Times"/>
          <w:sz w:val="16"/>
          <w:szCs w:val="16"/>
        </w:rPr>
        <w:footnoteRef/>
      </w:r>
      <w:r w:rsidRPr="0074711B">
        <w:rPr>
          <w:rFonts w:ascii="Verdana" w:hAnsi="Verdana"/>
          <w:sz w:val="16"/>
          <w:szCs w:val="16"/>
          <w:lang w:val="es-CR"/>
        </w:rPr>
        <w:tab/>
      </w:r>
      <w:r w:rsidRPr="0074711B">
        <w:rPr>
          <w:rFonts w:ascii="Verdana" w:hAnsi="Verdana" w:cs="Verdana"/>
          <w:bCs/>
          <w:i/>
          <w:sz w:val="16"/>
          <w:szCs w:val="16"/>
          <w:lang w:val="es-ES"/>
        </w:rPr>
        <w:t>Cfr. Caso Velásquez Rodríguez Vs. Honduras. Excepciones Preliminares</w:t>
      </w:r>
      <w:r>
        <w:rPr>
          <w:rFonts w:ascii="Verdana" w:hAnsi="Verdana" w:cs="Verdana"/>
          <w:bCs/>
          <w:i/>
          <w:sz w:val="16"/>
          <w:szCs w:val="16"/>
          <w:lang w:val="es-ES"/>
        </w:rPr>
        <w:t>,</w:t>
      </w:r>
      <w:r w:rsidRPr="0074711B">
        <w:rPr>
          <w:rFonts w:ascii="Verdana" w:hAnsi="Verdana" w:cs="Verdana"/>
          <w:bCs/>
          <w:sz w:val="16"/>
          <w:szCs w:val="16"/>
          <w:lang w:val="es-ES"/>
        </w:rPr>
        <w:t xml:space="preserve"> </w:t>
      </w:r>
      <w:r w:rsidRPr="008B3A3D">
        <w:rPr>
          <w:rFonts w:ascii="Verdana" w:hAnsi="Verdana" w:cs="Verdana"/>
          <w:bCs/>
          <w:i/>
          <w:sz w:val="16"/>
          <w:szCs w:val="16"/>
          <w:lang w:val="es-ES"/>
        </w:rPr>
        <w:t>supra</w:t>
      </w:r>
      <w:r>
        <w:rPr>
          <w:rFonts w:ascii="Verdana" w:hAnsi="Verdana" w:cs="Verdana"/>
          <w:bCs/>
          <w:sz w:val="16"/>
          <w:szCs w:val="16"/>
          <w:lang w:val="es-ES"/>
        </w:rPr>
        <w:t xml:space="preserve"> nota 12</w:t>
      </w:r>
      <w:r w:rsidRPr="0074711B">
        <w:rPr>
          <w:rFonts w:ascii="Verdana" w:hAnsi="Verdana" w:cs="Verdana"/>
          <w:bCs/>
          <w:sz w:val="16"/>
          <w:szCs w:val="16"/>
          <w:lang w:val="es-ES"/>
        </w:rPr>
        <w:t xml:space="preserve">, párr. 63; </w:t>
      </w:r>
      <w:r w:rsidRPr="0074711B">
        <w:rPr>
          <w:rFonts w:ascii="Verdana" w:hAnsi="Verdana" w:cs="Verdana"/>
          <w:bCs/>
          <w:i/>
          <w:sz w:val="16"/>
          <w:szCs w:val="16"/>
          <w:lang w:val="es-ES"/>
        </w:rPr>
        <w:t>Caso Vélez Loor Vs. Panamá. Excepciones Preliminares, Fondo, Reparaciones y Costas.</w:t>
      </w:r>
      <w:r w:rsidRPr="0074711B">
        <w:rPr>
          <w:rFonts w:ascii="Verdana" w:hAnsi="Verdana" w:cs="Verdana"/>
          <w:bCs/>
          <w:sz w:val="16"/>
          <w:szCs w:val="16"/>
          <w:lang w:val="es-ES"/>
        </w:rPr>
        <w:t xml:space="preserve"> Sentencia de 23 de noviembre de 2010. Serie C No. 218, párr. 19, y </w:t>
      </w:r>
      <w:r w:rsidRPr="0074711B">
        <w:rPr>
          <w:rFonts w:ascii="Verdana" w:hAnsi="Verdana" w:cs="Verdana"/>
          <w:bCs/>
          <w:i/>
          <w:sz w:val="16"/>
          <w:szCs w:val="16"/>
          <w:lang w:val="es-ES"/>
        </w:rPr>
        <w:t xml:space="preserve">Caso Vera Vera y otra Vs. Ecuador, supra </w:t>
      </w:r>
      <w:r w:rsidRPr="0074711B">
        <w:rPr>
          <w:rFonts w:ascii="Verdana" w:hAnsi="Verdana" w:cs="Verdana"/>
          <w:bCs/>
          <w:sz w:val="16"/>
          <w:szCs w:val="16"/>
          <w:lang w:val="es-ES"/>
        </w:rPr>
        <w:t>nota 1</w:t>
      </w:r>
      <w:r>
        <w:rPr>
          <w:rFonts w:ascii="Verdana" w:hAnsi="Verdana" w:cs="Verdana"/>
          <w:bCs/>
          <w:sz w:val="16"/>
          <w:szCs w:val="16"/>
          <w:lang w:val="es-ES"/>
        </w:rPr>
        <w:t>2</w:t>
      </w:r>
      <w:r w:rsidRPr="0074711B">
        <w:rPr>
          <w:rFonts w:ascii="Verdana" w:hAnsi="Verdana" w:cs="Verdana"/>
          <w:bCs/>
          <w:sz w:val="16"/>
          <w:szCs w:val="16"/>
          <w:lang w:val="es-ES"/>
        </w:rPr>
        <w:t>, párr. 13.</w:t>
      </w:r>
    </w:p>
    <w:p w:rsidR="00D93A8F" w:rsidRPr="00854CE8" w:rsidRDefault="00D93A8F" w:rsidP="00CD04D8">
      <w:pPr>
        <w:jc w:val="both"/>
        <w:rPr>
          <w:lang w:val="es-ES"/>
        </w:rPr>
      </w:pPr>
      <w:r w:rsidRPr="0074711B">
        <w:rPr>
          <w:rFonts w:ascii="Verdana" w:hAnsi="Verdana"/>
          <w:sz w:val="16"/>
          <w:szCs w:val="16"/>
          <w:lang w:val="es-CR"/>
        </w:rPr>
        <w:t xml:space="preserve"> </w:t>
      </w:r>
    </w:p>
  </w:footnote>
  <w:footnote w:id="18">
    <w:p w:rsidR="00D93A8F" w:rsidRPr="00854CE8" w:rsidRDefault="00D93A8F" w:rsidP="00DD3E32">
      <w:pPr>
        <w:jc w:val="both"/>
        <w:rPr>
          <w:lang w:val="es-ES"/>
        </w:rPr>
      </w:pPr>
      <w:r w:rsidRPr="000E08CA">
        <w:rPr>
          <w:rStyle w:val="Refdenotaalpie"/>
          <w:rFonts w:ascii="Verdana" w:hAnsi="Verdana"/>
          <w:sz w:val="16"/>
          <w:szCs w:val="16"/>
        </w:rPr>
        <w:footnoteRef/>
      </w:r>
      <w:r w:rsidRPr="000E08CA">
        <w:rPr>
          <w:rFonts w:ascii="Verdana" w:hAnsi="Verdana" w:cs="Verdana"/>
          <w:i/>
          <w:iCs/>
          <w:sz w:val="16"/>
          <w:szCs w:val="16"/>
          <w:lang w:val="es-ES"/>
        </w:rPr>
        <w:t xml:space="preserve"> </w:t>
      </w:r>
      <w:r w:rsidRPr="000E08CA">
        <w:rPr>
          <w:rFonts w:ascii="Verdana" w:hAnsi="Verdana" w:cs="Verdana"/>
          <w:i/>
          <w:iCs/>
          <w:sz w:val="16"/>
          <w:szCs w:val="16"/>
          <w:lang w:val="es-ES"/>
        </w:rPr>
        <w:tab/>
        <w:t>Cfr. Caso Velásquez Rodríguez Vs. Honduras</w:t>
      </w:r>
      <w:r>
        <w:rPr>
          <w:rFonts w:ascii="Verdana" w:hAnsi="Verdana" w:cs="Verdana"/>
          <w:sz w:val="16"/>
          <w:szCs w:val="16"/>
          <w:lang w:val="es-ES"/>
        </w:rPr>
        <w:t xml:space="preserve">. </w:t>
      </w:r>
      <w:r w:rsidRPr="000E08CA">
        <w:rPr>
          <w:rFonts w:ascii="Verdana" w:hAnsi="Verdana" w:cs="Verdana"/>
          <w:bCs/>
          <w:i/>
          <w:sz w:val="16"/>
          <w:szCs w:val="16"/>
          <w:lang w:val="es-ES"/>
        </w:rPr>
        <w:t>Excepciones Preliminares</w:t>
      </w:r>
      <w:r w:rsidRPr="000E08CA">
        <w:rPr>
          <w:rFonts w:ascii="Verdana" w:hAnsi="Verdana" w:cs="Verdana"/>
          <w:sz w:val="16"/>
          <w:szCs w:val="16"/>
          <w:lang w:val="es-ES"/>
        </w:rPr>
        <w:t xml:space="preserve">, </w:t>
      </w:r>
      <w:r w:rsidRPr="000E08CA">
        <w:rPr>
          <w:rFonts w:ascii="Verdana" w:hAnsi="Verdana" w:cs="Verdana"/>
          <w:i/>
          <w:sz w:val="16"/>
          <w:szCs w:val="16"/>
          <w:lang w:val="es-ES"/>
        </w:rPr>
        <w:t xml:space="preserve">supra </w:t>
      </w:r>
      <w:r w:rsidRPr="000E08CA">
        <w:rPr>
          <w:rFonts w:ascii="Verdana" w:hAnsi="Verdana" w:cs="Verdana"/>
          <w:sz w:val="16"/>
          <w:szCs w:val="16"/>
          <w:lang w:val="es-ES"/>
        </w:rPr>
        <w:t>nota 12,</w:t>
      </w:r>
      <w:r w:rsidRPr="0074711B">
        <w:rPr>
          <w:rFonts w:ascii="Verdana" w:hAnsi="Verdana" w:cs="Verdana"/>
          <w:sz w:val="16"/>
          <w:szCs w:val="16"/>
          <w:lang w:val="es-ES"/>
        </w:rPr>
        <w:t xml:space="preserve"> párr. 88; </w:t>
      </w:r>
      <w:r w:rsidRPr="0074711B">
        <w:rPr>
          <w:rFonts w:ascii="Verdana" w:hAnsi="Verdana"/>
          <w:i/>
          <w:sz w:val="16"/>
          <w:szCs w:val="16"/>
          <w:lang w:val="es-CR"/>
        </w:rPr>
        <w:t xml:space="preserve">Caso Gomes Lund y otros (“Guerrilha Do Araguaia) Vs. Brasil, supra </w:t>
      </w:r>
      <w:r w:rsidRPr="0074711B">
        <w:rPr>
          <w:rFonts w:ascii="Verdana" w:hAnsi="Verdana"/>
          <w:sz w:val="16"/>
          <w:szCs w:val="16"/>
          <w:lang w:val="es-CR"/>
        </w:rPr>
        <w:t>nota 9, párr. 38</w:t>
      </w:r>
      <w:r w:rsidRPr="0074711B">
        <w:rPr>
          <w:rFonts w:ascii="Verdana" w:hAnsi="Verdana"/>
          <w:sz w:val="16"/>
          <w:szCs w:val="16"/>
          <w:lang w:val="es-ES"/>
        </w:rPr>
        <w:t xml:space="preserve">, </w:t>
      </w:r>
      <w:r w:rsidRPr="00ED577E">
        <w:rPr>
          <w:rFonts w:ascii="Verdana" w:hAnsi="Verdana"/>
          <w:sz w:val="16"/>
          <w:szCs w:val="16"/>
          <w:lang w:val="es-CR"/>
        </w:rPr>
        <w:t>y</w:t>
      </w:r>
      <w:r w:rsidRPr="0074711B">
        <w:rPr>
          <w:rFonts w:ascii="Verdana" w:hAnsi="Verdana"/>
          <w:i/>
          <w:sz w:val="16"/>
          <w:szCs w:val="16"/>
          <w:lang w:val="es-CR"/>
        </w:rPr>
        <w:t xml:space="preserve"> Caso Vera Vera y otra Vs. Ecuador, supra </w:t>
      </w:r>
      <w:r w:rsidRPr="0074711B">
        <w:rPr>
          <w:rFonts w:ascii="Verdana" w:hAnsi="Verdana"/>
          <w:sz w:val="16"/>
          <w:szCs w:val="16"/>
          <w:lang w:val="es-CR"/>
        </w:rPr>
        <w:t>nota 1</w:t>
      </w:r>
      <w:r>
        <w:rPr>
          <w:rFonts w:ascii="Verdana" w:hAnsi="Verdana"/>
          <w:sz w:val="16"/>
          <w:szCs w:val="16"/>
          <w:lang w:val="es-CR"/>
        </w:rPr>
        <w:t>2</w:t>
      </w:r>
      <w:r w:rsidRPr="0074711B">
        <w:rPr>
          <w:rFonts w:ascii="Verdana" w:hAnsi="Verdana"/>
          <w:sz w:val="16"/>
          <w:szCs w:val="16"/>
          <w:lang w:val="es-CR"/>
        </w:rPr>
        <w:t>, párr. 14.</w:t>
      </w:r>
    </w:p>
  </w:footnote>
  <w:footnote w:id="19">
    <w:p w:rsidR="00D93A8F" w:rsidRPr="0074711B" w:rsidRDefault="00D93A8F" w:rsidP="00CD04D8">
      <w:pPr>
        <w:pStyle w:val="Textonotapie"/>
        <w:ind w:right="9"/>
        <w:jc w:val="both"/>
        <w:rPr>
          <w:rFonts w:ascii="Verdana" w:eastAsia="Batang" w:hAnsi="Verdana"/>
          <w:sz w:val="16"/>
          <w:szCs w:val="16"/>
          <w:highlight w:val="yellow"/>
          <w:lang w:val="es-CR"/>
        </w:rPr>
      </w:pPr>
    </w:p>
    <w:p w:rsidR="00D93A8F" w:rsidRPr="000E08CA" w:rsidRDefault="00D93A8F" w:rsidP="003A7709">
      <w:pPr>
        <w:jc w:val="both"/>
        <w:rPr>
          <w:rFonts w:ascii="Verdana" w:hAnsi="Verdana" w:cs="Verdana"/>
          <w:sz w:val="16"/>
          <w:szCs w:val="16"/>
          <w:lang w:val="es-ES"/>
        </w:rPr>
      </w:pPr>
      <w:r w:rsidRPr="0074711B">
        <w:rPr>
          <w:rStyle w:val="Refdenotaalpie"/>
          <w:rFonts w:ascii="Verdana" w:hAnsi="Verdana"/>
          <w:sz w:val="16"/>
          <w:szCs w:val="16"/>
        </w:rPr>
        <w:footnoteRef/>
      </w:r>
      <w:r w:rsidRPr="0074711B">
        <w:rPr>
          <w:rFonts w:ascii="Verdana" w:hAnsi="Verdana" w:cs="Verdana"/>
          <w:sz w:val="16"/>
          <w:szCs w:val="16"/>
          <w:lang w:val="es-ES"/>
        </w:rPr>
        <w:tab/>
      </w:r>
      <w:r w:rsidRPr="0074711B">
        <w:rPr>
          <w:rFonts w:ascii="Verdana" w:hAnsi="Verdana" w:cs="Verdana"/>
          <w:i/>
          <w:sz w:val="16"/>
          <w:szCs w:val="16"/>
          <w:lang w:val="es-ES"/>
        </w:rPr>
        <w:t xml:space="preserve">Cfr. </w:t>
      </w:r>
      <w:r w:rsidRPr="000E08CA">
        <w:rPr>
          <w:rFonts w:ascii="Verdana" w:hAnsi="Verdana" w:cs="Verdana"/>
          <w:i/>
          <w:sz w:val="16"/>
          <w:szCs w:val="16"/>
          <w:lang w:val="es-ES"/>
        </w:rPr>
        <w:t xml:space="preserve">Caso Velásquez Rodríguez Vs. Honduras, </w:t>
      </w:r>
      <w:r w:rsidRPr="000E08CA">
        <w:rPr>
          <w:rFonts w:ascii="Verdana" w:hAnsi="Verdana" w:cs="Verdana"/>
          <w:bCs/>
          <w:i/>
          <w:sz w:val="16"/>
          <w:szCs w:val="16"/>
          <w:lang w:val="es-ES"/>
        </w:rPr>
        <w:t>Excepciones Preliminares,</w:t>
      </w:r>
      <w:r w:rsidRPr="000E08CA">
        <w:rPr>
          <w:rFonts w:ascii="Verdana" w:hAnsi="Verdana" w:cs="Verdana"/>
          <w:i/>
          <w:sz w:val="16"/>
          <w:szCs w:val="16"/>
          <w:lang w:val="es-ES"/>
        </w:rPr>
        <w:t xml:space="preserve"> supra </w:t>
      </w:r>
      <w:r w:rsidRPr="000E08CA">
        <w:rPr>
          <w:rFonts w:ascii="Verdana" w:hAnsi="Verdana" w:cs="Verdana"/>
          <w:sz w:val="16"/>
          <w:szCs w:val="16"/>
          <w:lang w:val="es-ES"/>
        </w:rPr>
        <w:t xml:space="preserve">nota 12, párr. 88; </w:t>
      </w:r>
      <w:r w:rsidRPr="000E08CA">
        <w:rPr>
          <w:rFonts w:ascii="Verdana" w:hAnsi="Verdana" w:cs="Verdana"/>
          <w:i/>
          <w:sz w:val="16"/>
          <w:szCs w:val="16"/>
          <w:lang w:val="es-ES"/>
        </w:rPr>
        <w:t xml:space="preserve">Caso Gomes Lund y otros (Guerrilha do Araguaia) Vs. Brasil, supra </w:t>
      </w:r>
      <w:r w:rsidRPr="000E08CA">
        <w:rPr>
          <w:rFonts w:ascii="Verdana" w:hAnsi="Verdana" w:cs="Verdana"/>
          <w:sz w:val="16"/>
          <w:szCs w:val="16"/>
          <w:lang w:val="es-ES"/>
        </w:rPr>
        <w:t xml:space="preserve">nota 9, párr. 38, y </w:t>
      </w:r>
      <w:r w:rsidRPr="000E08CA">
        <w:rPr>
          <w:rFonts w:ascii="Verdana" w:hAnsi="Verdana" w:cs="Verdana"/>
          <w:i/>
          <w:sz w:val="16"/>
          <w:szCs w:val="16"/>
          <w:lang w:val="es-ES"/>
        </w:rPr>
        <w:t xml:space="preserve">Caso Vera Vera y otra Vs. Ecuador, supra </w:t>
      </w:r>
      <w:r w:rsidRPr="000E08CA">
        <w:rPr>
          <w:rFonts w:ascii="Verdana" w:hAnsi="Verdana" w:cs="Verdana"/>
          <w:sz w:val="16"/>
          <w:szCs w:val="16"/>
          <w:lang w:val="es-ES"/>
        </w:rPr>
        <w:t>nota 12, párr. 14.</w:t>
      </w:r>
    </w:p>
    <w:p w:rsidR="00D93A8F" w:rsidRPr="00854CE8" w:rsidRDefault="00D93A8F" w:rsidP="003A7709">
      <w:pPr>
        <w:jc w:val="both"/>
        <w:rPr>
          <w:lang w:val="es-ES"/>
        </w:rPr>
      </w:pPr>
    </w:p>
  </w:footnote>
  <w:footnote w:id="20">
    <w:p w:rsidR="00D93A8F" w:rsidRPr="00D84976" w:rsidRDefault="00D93A8F" w:rsidP="007A6128">
      <w:pPr>
        <w:jc w:val="both"/>
        <w:rPr>
          <w:rFonts w:ascii="Verdana" w:hAnsi="Verdana" w:cs="Verdana"/>
          <w:sz w:val="16"/>
          <w:szCs w:val="16"/>
          <w:lang w:val="es-CR"/>
        </w:rPr>
      </w:pPr>
      <w:r w:rsidRPr="000E08CA">
        <w:rPr>
          <w:rStyle w:val="Refdenotaalpie"/>
          <w:rFonts w:ascii="Verdana" w:hAnsi="Verdana"/>
          <w:sz w:val="16"/>
          <w:szCs w:val="16"/>
        </w:rPr>
        <w:footnoteRef/>
      </w:r>
      <w:r w:rsidRPr="000E08CA">
        <w:rPr>
          <w:rFonts w:ascii="Verdana" w:hAnsi="Verdana"/>
          <w:sz w:val="16"/>
          <w:szCs w:val="16"/>
          <w:lang w:val="es-CR"/>
        </w:rPr>
        <w:t xml:space="preserve"> </w:t>
      </w:r>
      <w:r w:rsidRPr="000E08CA">
        <w:rPr>
          <w:rFonts w:ascii="Verdana" w:hAnsi="Verdana"/>
          <w:sz w:val="16"/>
          <w:szCs w:val="16"/>
          <w:lang w:val="es-CR"/>
        </w:rPr>
        <w:tab/>
      </w:r>
      <w:r w:rsidRPr="000E08CA">
        <w:rPr>
          <w:rFonts w:ascii="Verdana" w:hAnsi="Verdana" w:cs="Verdana"/>
          <w:i/>
          <w:sz w:val="16"/>
          <w:szCs w:val="16"/>
          <w:lang w:val="es-ES"/>
        </w:rPr>
        <w:t>Cfr. Caso Velásquez Rodríguez Vs. Honduras,</w:t>
      </w:r>
      <w:r w:rsidRPr="000E08CA">
        <w:rPr>
          <w:rFonts w:ascii="Verdana" w:hAnsi="Verdana" w:cs="Verdana"/>
          <w:sz w:val="16"/>
          <w:szCs w:val="16"/>
          <w:lang w:val="es-ES"/>
        </w:rPr>
        <w:t xml:space="preserve"> </w:t>
      </w:r>
      <w:r w:rsidRPr="000E08CA">
        <w:rPr>
          <w:rFonts w:ascii="Verdana" w:hAnsi="Verdana" w:cs="Verdana"/>
          <w:bCs/>
          <w:i/>
          <w:sz w:val="16"/>
          <w:szCs w:val="16"/>
          <w:lang w:val="es-ES"/>
        </w:rPr>
        <w:t>Excepciones Preliminares</w:t>
      </w:r>
      <w:r w:rsidRPr="000E08CA">
        <w:rPr>
          <w:rFonts w:ascii="Verdana" w:hAnsi="Verdana" w:cs="Verdana"/>
          <w:sz w:val="16"/>
          <w:szCs w:val="16"/>
          <w:lang w:val="es-ES"/>
        </w:rPr>
        <w:t xml:space="preserve">, </w:t>
      </w:r>
      <w:r w:rsidRPr="000E08CA">
        <w:rPr>
          <w:rFonts w:ascii="Verdana" w:hAnsi="Verdana" w:cs="Verdana"/>
          <w:i/>
          <w:sz w:val="16"/>
          <w:szCs w:val="16"/>
          <w:lang w:val="es-ES"/>
        </w:rPr>
        <w:t xml:space="preserve"> supra </w:t>
      </w:r>
      <w:r w:rsidRPr="000E08CA">
        <w:rPr>
          <w:rFonts w:ascii="Verdana" w:hAnsi="Verdana" w:cs="Verdana"/>
          <w:sz w:val="16"/>
          <w:szCs w:val="16"/>
          <w:lang w:val="es-ES"/>
        </w:rPr>
        <w:t xml:space="preserve">nota 12, párr. 88; </w:t>
      </w:r>
      <w:r w:rsidRPr="000E08CA">
        <w:rPr>
          <w:rFonts w:ascii="Verdana" w:hAnsi="Verdana" w:cs="Verdana"/>
          <w:i/>
          <w:sz w:val="16"/>
          <w:szCs w:val="16"/>
          <w:lang w:val="es-ES"/>
        </w:rPr>
        <w:t xml:space="preserve">Caso Gomes Lund y otros (Guerrilha do Araguaia) Vs. Brasil, supra </w:t>
      </w:r>
      <w:r w:rsidRPr="000E08CA">
        <w:rPr>
          <w:rFonts w:ascii="Verdana" w:hAnsi="Verdana" w:cs="Verdana"/>
          <w:sz w:val="16"/>
          <w:szCs w:val="16"/>
          <w:lang w:val="es-ES"/>
        </w:rPr>
        <w:t xml:space="preserve">nota 9, párr. 38, y </w:t>
      </w:r>
      <w:r w:rsidRPr="000E08CA">
        <w:rPr>
          <w:rFonts w:ascii="Verdana" w:hAnsi="Verdana" w:cs="Verdana"/>
          <w:i/>
          <w:sz w:val="16"/>
          <w:szCs w:val="16"/>
          <w:lang w:val="es-ES"/>
        </w:rPr>
        <w:t>Caso Vera Vera y otra Vs. Ecuador</w:t>
      </w:r>
      <w:r w:rsidRPr="000E08CA">
        <w:rPr>
          <w:rFonts w:ascii="Verdana" w:hAnsi="Verdana" w:cs="Verdana"/>
          <w:sz w:val="16"/>
          <w:szCs w:val="16"/>
          <w:lang w:val="es-ES"/>
        </w:rPr>
        <w:t xml:space="preserve">, </w:t>
      </w:r>
      <w:r w:rsidRPr="00FC3247">
        <w:rPr>
          <w:rFonts w:ascii="Verdana" w:hAnsi="Verdana" w:cs="Verdana"/>
          <w:i/>
          <w:sz w:val="16"/>
          <w:szCs w:val="16"/>
          <w:lang w:val="es-ES"/>
        </w:rPr>
        <w:t>supra</w:t>
      </w:r>
      <w:r w:rsidRPr="000E08CA">
        <w:rPr>
          <w:rFonts w:ascii="Verdana" w:hAnsi="Verdana" w:cs="Verdana"/>
          <w:sz w:val="16"/>
          <w:szCs w:val="16"/>
          <w:lang w:val="es-ES"/>
        </w:rPr>
        <w:t xml:space="preserve"> nota 12, párr. </w:t>
      </w:r>
      <w:r w:rsidRPr="00D84976">
        <w:rPr>
          <w:rFonts w:ascii="Verdana" w:hAnsi="Verdana" w:cs="Verdana"/>
          <w:sz w:val="16"/>
          <w:szCs w:val="16"/>
          <w:lang w:val="es-CR"/>
        </w:rPr>
        <w:t>14.</w:t>
      </w:r>
    </w:p>
    <w:p w:rsidR="00D93A8F" w:rsidRPr="002513AB" w:rsidRDefault="00D93A8F" w:rsidP="007A6128">
      <w:pPr>
        <w:jc w:val="both"/>
        <w:rPr>
          <w:lang w:val="es-ES"/>
        </w:rPr>
      </w:pPr>
    </w:p>
  </w:footnote>
  <w:footnote w:id="21">
    <w:p w:rsidR="00D93A8F" w:rsidRPr="002513AB" w:rsidRDefault="00D93A8F" w:rsidP="0017783C">
      <w:pPr>
        <w:jc w:val="both"/>
        <w:rPr>
          <w:lang w:val="es-ES"/>
        </w:rPr>
      </w:pPr>
      <w:r w:rsidRPr="00773198">
        <w:rPr>
          <w:rStyle w:val="Refdenotaalpie"/>
          <w:rFonts w:ascii="Verdana" w:hAnsi="Verdana"/>
          <w:sz w:val="16"/>
          <w:szCs w:val="16"/>
        </w:rPr>
        <w:footnoteRef/>
      </w:r>
      <w:r w:rsidRPr="00531284">
        <w:rPr>
          <w:rFonts w:ascii="Verdana" w:hAnsi="Verdana"/>
          <w:sz w:val="16"/>
          <w:szCs w:val="16"/>
          <w:lang w:val="es-CR"/>
        </w:rPr>
        <w:t xml:space="preserve"> </w:t>
      </w:r>
      <w:r w:rsidRPr="00531284">
        <w:rPr>
          <w:rFonts w:ascii="Verdana" w:hAnsi="Verdana"/>
          <w:sz w:val="16"/>
          <w:szCs w:val="16"/>
          <w:lang w:val="es-CR"/>
        </w:rPr>
        <w:tab/>
      </w:r>
      <w:r w:rsidRPr="00531284">
        <w:rPr>
          <w:rFonts w:ascii="Verdana" w:hAnsi="Verdana" w:cs="TimesNewRomanPS-ItalicMT"/>
          <w:i/>
          <w:iCs/>
          <w:sz w:val="16"/>
          <w:szCs w:val="16"/>
          <w:lang w:val="es-CR"/>
        </w:rPr>
        <w:t xml:space="preserve">Cfr. </w:t>
      </w:r>
      <w:r w:rsidRPr="00531284">
        <w:rPr>
          <w:rFonts w:ascii="Verdana" w:hAnsi="Verdana" w:cs="TimesNewRomanPS-ItalicMT"/>
          <w:iCs/>
          <w:sz w:val="16"/>
          <w:szCs w:val="16"/>
          <w:lang w:val="es-CR"/>
        </w:rPr>
        <w:t xml:space="preserve">T.E.D.H., </w:t>
      </w:r>
      <w:r w:rsidRPr="00531284">
        <w:rPr>
          <w:rFonts w:ascii="Verdana" w:hAnsi="Verdana" w:cs="TimesNewRomanPS-ItalicMT"/>
          <w:i/>
          <w:iCs/>
          <w:sz w:val="16"/>
          <w:szCs w:val="16"/>
          <w:lang w:val="es-CR"/>
        </w:rPr>
        <w:t>Caso Deweer versus Belgium</w:t>
      </w:r>
      <w:r w:rsidRPr="00531284">
        <w:rPr>
          <w:rFonts w:ascii="Verdana" w:hAnsi="Verdana" w:cs="TimesNewRomanPS-ItalicMT"/>
          <w:iCs/>
          <w:sz w:val="16"/>
          <w:szCs w:val="16"/>
          <w:lang w:val="es-CR"/>
        </w:rPr>
        <w:t xml:space="preserve">, Sentencia del 27.02.1980, </w:t>
      </w:r>
      <w:r w:rsidRPr="00531284">
        <w:rPr>
          <w:rFonts w:ascii="Verdana" w:hAnsi="Verdana"/>
          <w:sz w:val="16"/>
          <w:szCs w:val="16"/>
          <w:lang w:val="es-CR"/>
        </w:rPr>
        <w:t xml:space="preserve">párr. 26; </w:t>
      </w:r>
      <w:r w:rsidRPr="00531284">
        <w:rPr>
          <w:rFonts w:ascii="Verdana" w:hAnsi="Verdana" w:cs="TimesNewRomanPS-ItalicMT"/>
          <w:iCs/>
          <w:sz w:val="16"/>
          <w:szCs w:val="16"/>
          <w:lang w:val="es-CR"/>
        </w:rPr>
        <w:t xml:space="preserve">T.E.D.H., </w:t>
      </w:r>
      <w:r w:rsidRPr="00531284">
        <w:rPr>
          <w:rStyle w:val="Textoennegrita"/>
          <w:rFonts w:ascii="Verdana" w:hAnsi="Verdana" w:cs="Arial"/>
          <w:b w:val="0"/>
          <w:i/>
          <w:color w:val="000000"/>
          <w:sz w:val="16"/>
          <w:szCs w:val="16"/>
          <w:lang w:val="es-CR"/>
        </w:rPr>
        <w:t>Caso De</w:t>
      </w:r>
      <w:r w:rsidRPr="00531284">
        <w:rPr>
          <w:rFonts w:ascii="Verdana" w:hAnsi="Verdana" w:cs="Arial"/>
          <w:b/>
          <w:i/>
          <w:color w:val="000000"/>
          <w:sz w:val="16"/>
          <w:szCs w:val="16"/>
          <w:lang w:val="es-CR"/>
        </w:rPr>
        <w:t xml:space="preserve"> </w:t>
      </w:r>
      <w:r w:rsidRPr="00531284">
        <w:rPr>
          <w:rStyle w:val="Textoennegrita"/>
          <w:rFonts w:ascii="Verdana" w:hAnsi="Verdana" w:cs="Arial"/>
          <w:b w:val="0"/>
          <w:i/>
          <w:color w:val="000000"/>
          <w:sz w:val="16"/>
          <w:szCs w:val="16"/>
          <w:lang w:val="es-CR"/>
        </w:rPr>
        <w:t>Jong</w:t>
      </w:r>
      <w:r w:rsidRPr="00531284">
        <w:rPr>
          <w:rFonts w:ascii="Verdana" w:hAnsi="Verdana" w:cs="Arial"/>
          <w:i/>
          <w:color w:val="000000"/>
          <w:sz w:val="16"/>
          <w:szCs w:val="16"/>
          <w:lang w:val="es-CR"/>
        </w:rPr>
        <w:t>,</w:t>
      </w:r>
      <w:r w:rsidRPr="00531284">
        <w:rPr>
          <w:rFonts w:ascii="Verdana" w:hAnsi="Verdana" w:cs="Arial"/>
          <w:b/>
          <w:i/>
          <w:color w:val="000000"/>
          <w:sz w:val="16"/>
          <w:szCs w:val="16"/>
          <w:lang w:val="es-CR"/>
        </w:rPr>
        <w:t xml:space="preserve"> </w:t>
      </w:r>
      <w:r w:rsidRPr="00531284">
        <w:rPr>
          <w:rStyle w:val="Textoennegrita"/>
          <w:rFonts w:ascii="Verdana" w:hAnsi="Verdana" w:cs="Arial"/>
          <w:b w:val="0"/>
          <w:i/>
          <w:color w:val="000000"/>
          <w:sz w:val="16"/>
          <w:szCs w:val="16"/>
          <w:lang w:val="es-CR"/>
        </w:rPr>
        <w:t>Baljet</w:t>
      </w:r>
      <w:r w:rsidRPr="00531284">
        <w:rPr>
          <w:rFonts w:ascii="Verdana" w:hAnsi="Verdana" w:cs="Arial"/>
          <w:b/>
          <w:i/>
          <w:color w:val="000000"/>
          <w:sz w:val="16"/>
          <w:szCs w:val="16"/>
          <w:lang w:val="es-CR"/>
        </w:rPr>
        <w:t xml:space="preserve"> </w:t>
      </w:r>
      <w:r w:rsidRPr="00531284">
        <w:rPr>
          <w:rStyle w:val="Textoennegrita"/>
          <w:rFonts w:ascii="Verdana" w:hAnsi="Verdana" w:cs="Arial"/>
          <w:b w:val="0"/>
          <w:i/>
          <w:color w:val="000000"/>
          <w:sz w:val="16"/>
          <w:szCs w:val="16"/>
          <w:lang w:val="es-CR"/>
        </w:rPr>
        <w:t>and</w:t>
      </w:r>
      <w:r w:rsidRPr="00531284">
        <w:rPr>
          <w:rFonts w:ascii="Verdana" w:hAnsi="Verdana" w:cs="Arial"/>
          <w:b/>
          <w:i/>
          <w:color w:val="000000"/>
          <w:sz w:val="16"/>
          <w:szCs w:val="16"/>
          <w:lang w:val="es-CR"/>
        </w:rPr>
        <w:t xml:space="preserve"> </w:t>
      </w:r>
      <w:r w:rsidRPr="00531284">
        <w:rPr>
          <w:rStyle w:val="Textoennegrita"/>
          <w:rFonts w:ascii="Verdana" w:hAnsi="Verdana" w:cs="Arial"/>
          <w:b w:val="0"/>
          <w:i/>
          <w:color w:val="000000"/>
          <w:sz w:val="16"/>
          <w:szCs w:val="16"/>
          <w:lang w:val="es-CR"/>
        </w:rPr>
        <w:t>van</w:t>
      </w:r>
      <w:r w:rsidRPr="00531284">
        <w:rPr>
          <w:rFonts w:ascii="Verdana" w:hAnsi="Verdana" w:cs="Arial"/>
          <w:b/>
          <w:i/>
          <w:color w:val="000000"/>
          <w:sz w:val="16"/>
          <w:szCs w:val="16"/>
          <w:lang w:val="es-CR"/>
        </w:rPr>
        <w:t xml:space="preserve"> </w:t>
      </w:r>
      <w:r w:rsidRPr="00531284">
        <w:rPr>
          <w:rStyle w:val="Textoennegrita"/>
          <w:rFonts w:ascii="Verdana" w:hAnsi="Verdana" w:cs="Arial"/>
          <w:b w:val="0"/>
          <w:i/>
          <w:color w:val="000000"/>
          <w:sz w:val="16"/>
          <w:szCs w:val="16"/>
          <w:lang w:val="es-CR"/>
        </w:rPr>
        <w:t>den</w:t>
      </w:r>
      <w:r w:rsidRPr="00531284">
        <w:rPr>
          <w:rFonts w:ascii="Verdana" w:hAnsi="Verdana" w:cs="Arial"/>
          <w:b/>
          <w:i/>
          <w:color w:val="000000"/>
          <w:sz w:val="16"/>
          <w:szCs w:val="16"/>
          <w:lang w:val="es-CR"/>
        </w:rPr>
        <w:t xml:space="preserve"> </w:t>
      </w:r>
      <w:r w:rsidRPr="00531284">
        <w:rPr>
          <w:rStyle w:val="Textoennegrita"/>
          <w:rFonts w:ascii="Verdana" w:hAnsi="Verdana" w:cs="Arial"/>
          <w:b w:val="0"/>
          <w:i/>
          <w:color w:val="000000"/>
          <w:sz w:val="16"/>
          <w:szCs w:val="16"/>
          <w:lang w:val="es-CR"/>
        </w:rPr>
        <w:t>Brink</w:t>
      </w:r>
      <w:r w:rsidRPr="00531284">
        <w:rPr>
          <w:rFonts w:ascii="Verdana" w:hAnsi="Verdana" w:cs="Arial"/>
          <w:b/>
          <w:i/>
          <w:color w:val="000000"/>
          <w:sz w:val="16"/>
          <w:szCs w:val="16"/>
          <w:lang w:val="es-CR"/>
        </w:rPr>
        <w:t xml:space="preserve"> </w:t>
      </w:r>
      <w:r w:rsidRPr="00531284">
        <w:rPr>
          <w:rStyle w:val="Textoennegrita"/>
          <w:rFonts w:ascii="Verdana" w:hAnsi="Verdana" w:cs="Arial"/>
          <w:b w:val="0"/>
          <w:i/>
          <w:color w:val="000000"/>
          <w:sz w:val="16"/>
          <w:szCs w:val="16"/>
          <w:lang w:val="es-CR"/>
        </w:rPr>
        <w:t>v</w:t>
      </w:r>
      <w:r w:rsidRPr="00531284">
        <w:rPr>
          <w:rFonts w:ascii="Verdana" w:hAnsi="Verdana" w:cs="Arial"/>
          <w:i/>
          <w:color w:val="000000"/>
          <w:sz w:val="16"/>
          <w:szCs w:val="16"/>
          <w:lang w:val="es-CR"/>
        </w:rPr>
        <w:t>ersus</w:t>
      </w:r>
      <w:r w:rsidRPr="00531284">
        <w:rPr>
          <w:rFonts w:ascii="Verdana" w:hAnsi="Verdana" w:cs="Arial"/>
          <w:b/>
          <w:i/>
          <w:color w:val="000000"/>
          <w:sz w:val="16"/>
          <w:szCs w:val="16"/>
          <w:lang w:val="es-CR"/>
        </w:rPr>
        <w:t xml:space="preserve"> </w:t>
      </w:r>
      <w:r w:rsidRPr="00531284">
        <w:rPr>
          <w:rStyle w:val="Textoennegrita"/>
          <w:rFonts w:ascii="Verdana" w:hAnsi="Verdana" w:cs="Arial"/>
          <w:b w:val="0"/>
          <w:i/>
          <w:color w:val="000000"/>
          <w:sz w:val="16"/>
          <w:szCs w:val="16"/>
          <w:lang w:val="es-CR"/>
        </w:rPr>
        <w:t>Holanda</w:t>
      </w:r>
      <w:r w:rsidRPr="00531284">
        <w:rPr>
          <w:rFonts w:ascii="Verdana" w:hAnsi="Verdana" w:cs="Arial"/>
          <w:color w:val="000000"/>
          <w:sz w:val="16"/>
          <w:szCs w:val="16"/>
          <w:lang w:val="es-CR"/>
        </w:rPr>
        <w:t>, Sentencia 22.05.1984, párr. 36, y</w:t>
      </w:r>
      <w:r>
        <w:rPr>
          <w:rFonts w:ascii="Verdana" w:hAnsi="Verdana" w:cs="TimesNewRomanPS-ItalicMT"/>
          <w:iCs/>
          <w:sz w:val="16"/>
          <w:szCs w:val="16"/>
          <w:lang w:val="es-CR"/>
        </w:rPr>
        <w:t xml:space="preserve"> T.E.D.H.,</w:t>
      </w:r>
      <w:r w:rsidRPr="00531284">
        <w:rPr>
          <w:rFonts w:ascii="Verdana" w:hAnsi="Verdana" w:cs="Arial"/>
          <w:color w:val="000000"/>
          <w:sz w:val="16"/>
          <w:szCs w:val="16"/>
          <w:lang w:val="es-CR"/>
        </w:rPr>
        <w:t xml:space="preserve"> </w:t>
      </w:r>
      <w:r w:rsidRPr="006C2BEC">
        <w:rPr>
          <w:rFonts w:ascii="Verdana" w:hAnsi="Verdana" w:cs="Arial"/>
          <w:i/>
          <w:color w:val="000000"/>
          <w:sz w:val="16"/>
          <w:szCs w:val="16"/>
          <w:lang w:val="es-CR"/>
        </w:rPr>
        <w:t>Caso Paksas versus Lituania,</w:t>
      </w:r>
      <w:r w:rsidRPr="00531284">
        <w:rPr>
          <w:rFonts w:ascii="Verdana" w:hAnsi="Verdana" w:cs="Arial"/>
          <w:color w:val="000000"/>
          <w:sz w:val="16"/>
          <w:szCs w:val="16"/>
          <w:lang w:val="es-CR"/>
        </w:rPr>
        <w:t xml:space="preserve"> Sentencia</w:t>
      </w:r>
      <w:r>
        <w:rPr>
          <w:rFonts w:ascii="Verdana" w:hAnsi="Verdana" w:cs="Arial"/>
          <w:color w:val="000000"/>
          <w:sz w:val="16"/>
          <w:szCs w:val="16"/>
          <w:lang w:val="es-CR"/>
        </w:rPr>
        <w:t xml:space="preserve"> </w:t>
      </w:r>
      <w:r w:rsidRPr="00531284">
        <w:rPr>
          <w:rFonts w:ascii="Verdana" w:hAnsi="Verdana" w:cs="Arial"/>
          <w:color w:val="000000"/>
          <w:sz w:val="16"/>
          <w:szCs w:val="16"/>
          <w:lang w:val="es-CR"/>
        </w:rPr>
        <w:t xml:space="preserve">06.01.2011, párr. </w:t>
      </w:r>
      <w:r w:rsidRPr="00773198">
        <w:rPr>
          <w:rFonts w:ascii="Verdana" w:hAnsi="Verdana" w:cs="Arial"/>
          <w:color w:val="000000"/>
          <w:sz w:val="16"/>
          <w:szCs w:val="16"/>
          <w:lang w:val="es-CR"/>
        </w:rPr>
        <w:t xml:space="preserve">75. </w:t>
      </w:r>
    </w:p>
  </w:footnote>
  <w:footnote w:id="22">
    <w:p w:rsidR="00D93A8F" w:rsidRPr="002513AB" w:rsidRDefault="00D93A8F" w:rsidP="00E45370">
      <w:pPr>
        <w:jc w:val="both"/>
        <w:rPr>
          <w:lang w:val="es-ES"/>
        </w:rPr>
      </w:pPr>
      <w:r w:rsidRPr="0074711B">
        <w:rPr>
          <w:rStyle w:val="Refdenotaalpie"/>
          <w:rFonts w:ascii="Verdana" w:hAnsi="Verdana"/>
          <w:sz w:val="16"/>
          <w:szCs w:val="16"/>
        </w:rPr>
        <w:footnoteRef/>
      </w:r>
      <w:r w:rsidRPr="0074711B">
        <w:rPr>
          <w:rFonts w:ascii="Verdana" w:hAnsi="Verdana"/>
          <w:sz w:val="16"/>
          <w:szCs w:val="16"/>
          <w:lang w:val="es-MX"/>
        </w:rPr>
        <w:t xml:space="preserve"> </w:t>
      </w:r>
      <w:r w:rsidRPr="0074711B">
        <w:rPr>
          <w:rFonts w:ascii="Verdana" w:hAnsi="Verdana"/>
          <w:sz w:val="16"/>
          <w:szCs w:val="16"/>
          <w:lang w:val="es-MX"/>
        </w:rPr>
        <w:tab/>
      </w:r>
      <w:r w:rsidRPr="0074711B">
        <w:rPr>
          <w:rFonts w:ascii="Verdana" w:hAnsi="Verdana"/>
          <w:i/>
          <w:sz w:val="16"/>
          <w:szCs w:val="16"/>
          <w:lang w:val="es-CR"/>
        </w:rPr>
        <w:t>Cfr.</w:t>
      </w:r>
      <w:r w:rsidRPr="0074711B">
        <w:rPr>
          <w:rFonts w:ascii="Verdana" w:hAnsi="Verdana"/>
          <w:sz w:val="16"/>
          <w:szCs w:val="16"/>
          <w:lang w:val="es-CR"/>
        </w:rPr>
        <w:t xml:space="preserve"> </w:t>
      </w:r>
      <w:r w:rsidRPr="0074711B">
        <w:rPr>
          <w:rFonts w:ascii="Verdana" w:hAnsi="Verdana"/>
          <w:i/>
          <w:sz w:val="16"/>
          <w:szCs w:val="16"/>
          <w:lang w:val="es-CR"/>
        </w:rPr>
        <w:t xml:space="preserve">Caso de la “Panel Blanca” (Paniagua Morales y otros) Vs. Guatemala. Fondo. </w:t>
      </w:r>
      <w:r w:rsidRPr="0074711B">
        <w:rPr>
          <w:rFonts w:ascii="Verdana" w:hAnsi="Verdana"/>
          <w:sz w:val="16"/>
          <w:szCs w:val="16"/>
          <w:lang w:val="es-CR"/>
        </w:rPr>
        <w:t>Sentencia de 8 de marzo de 1998. Serie C No. 37, párr. 76</w:t>
      </w:r>
      <w:r w:rsidRPr="0074711B">
        <w:rPr>
          <w:rFonts w:ascii="Verdana" w:hAnsi="Verdana"/>
          <w:sz w:val="16"/>
          <w:szCs w:val="16"/>
          <w:lang w:val="es-ES"/>
        </w:rPr>
        <w:t>;</w:t>
      </w:r>
      <w:r w:rsidRPr="0074711B">
        <w:rPr>
          <w:rFonts w:ascii="Verdana" w:hAnsi="Verdana"/>
          <w:sz w:val="16"/>
          <w:szCs w:val="16"/>
          <w:lang w:val="es-CR"/>
        </w:rPr>
        <w:t xml:space="preserve"> </w:t>
      </w:r>
      <w:r w:rsidRPr="0074711B">
        <w:rPr>
          <w:rFonts w:ascii="Verdana" w:hAnsi="Verdana"/>
          <w:i/>
          <w:sz w:val="16"/>
          <w:szCs w:val="16"/>
          <w:lang w:val="es-CR"/>
        </w:rPr>
        <w:t>Caso Abrill Alosilla y otros Vs. Perú. Fondo, Reparaciones y Costas</w:t>
      </w:r>
      <w:r>
        <w:rPr>
          <w:rFonts w:ascii="Verdana" w:hAnsi="Verdana"/>
          <w:i/>
          <w:sz w:val="16"/>
          <w:szCs w:val="16"/>
          <w:lang w:val="es-CR"/>
        </w:rPr>
        <w:t>.</w:t>
      </w:r>
      <w:r w:rsidRPr="0074711B">
        <w:rPr>
          <w:rFonts w:ascii="Verdana" w:hAnsi="Verdana"/>
          <w:i/>
          <w:sz w:val="16"/>
          <w:szCs w:val="16"/>
          <w:lang w:val="es-CR"/>
        </w:rPr>
        <w:t xml:space="preserve"> </w:t>
      </w:r>
      <w:r w:rsidRPr="0074711B">
        <w:rPr>
          <w:rFonts w:ascii="Verdana" w:hAnsi="Verdana"/>
          <w:sz w:val="16"/>
          <w:szCs w:val="16"/>
          <w:lang w:val="es-CR"/>
        </w:rPr>
        <w:t xml:space="preserve">Sentencia de 4 de marzo de 2011. Serie C No. 223, párr. 35; y </w:t>
      </w:r>
      <w:r w:rsidRPr="0074711B">
        <w:rPr>
          <w:rFonts w:ascii="Verdana" w:hAnsi="Verdana"/>
          <w:i/>
          <w:sz w:val="16"/>
          <w:szCs w:val="16"/>
          <w:lang w:val="es-CR"/>
        </w:rPr>
        <w:t xml:space="preserve">Caso Vera Vera y otra Vs. Ecuador, supra </w:t>
      </w:r>
      <w:r w:rsidRPr="0074711B">
        <w:rPr>
          <w:rFonts w:ascii="Verdana" w:hAnsi="Verdana"/>
          <w:sz w:val="16"/>
          <w:szCs w:val="16"/>
          <w:lang w:val="es-CR"/>
        </w:rPr>
        <w:t>nota 1</w:t>
      </w:r>
      <w:r>
        <w:rPr>
          <w:rFonts w:ascii="Verdana" w:hAnsi="Verdana"/>
          <w:sz w:val="16"/>
          <w:szCs w:val="16"/>
          <w:lang w:val="es-CR"/>
        </w:rPr>
        <w:t>2</w:t>
      </w:r>
      <w:r w:rsidRPr="0074711B">
        <w:rPr>
          <w:rFonts w:ascii="Verdana" w:hAnsi="Verdana"/>
          <w:sz w:val="16"/>
          <w:szCs w:val="16"/>
          <w:lang w:val="es-CR"/>
        </w:rPr>
        <w:t>, párr. 19.</w:t>
      </w:r>
    </w:p>
  </w:footnote>
  <w:footnote w:id="23">
    <w:p w:rsidR="00D93A8F" w:rsidRPr="0074711B" w:rsidRDefault="00D93A8F" w:rsidP="00621321">
      <w:pPr>
        <w:jc w:val="both"/>
        <w:rPr>
          <w:rFonts w:ascii="Verdana" w:hAnsi="Verdana"/>
          <w:sz w:val="16"/>
          <w:szCs w:val="16"/>
          <w:lang w:val="es-CR"/>
        </w:rPr>
      </w:pPr>
      <w:r w:rsidRPr="00FD7EBB">
        <w:rPr>
          <w:rStyle w:val="Refdenotaalpie"/>
          <w:rFonts w:ascii="Verdana" w:hAnsi="Verdana"/>
          <w:sz w:val="16"/>
          <w:szCs w:val="16"/>
        </w:rPr>
        <w:footnoteRef/>
      </w:r>
      <w:r w:rsidRPr="00FD7EBB">
        <w:rPr>
          <w:rFonts w:ascii="Verdana" w:hAnsi="Verdana"/>
          <w:sz w:val="16"/>
          <w:szCs w:val="16"/>
          <w:lang w:val="es-MX"/>
        </w:rPr>
        <w:t xml:space="preserve"> </w:t>
      </w:r>
      <w:r w:rsidRPr="00FD7EBB">
        <w:rPr>
          <w:rFonts w:ascii="Verdana" w:hAnsi="Verdana"/>
          <w:sz w:val="16"/>
          <w:szCs w:val="16"/>
          <w:lang w:val="es-MX"/>
        </w:rPr>
        <w:tab/>
      </w:r>
      <w:r w:rsidRPr="00FD7EBB">
        <w:rPr>
          <w:rFonts w:ascii="Verdana" w:hAnsi="Verdana"/>
          <w:i/>
          <w:sz w:val="16"/>
          <w:szCs w:val="16"/>
          <w:lang w:val="es-CR"/>
        </w:rPr>
        <w:t>Cfr.</w:t>
      </w:r>
      <w:r w:rsidRPr="00FD7EBB">
        <w:rPr>
          <w:rFonts w:ascii="Verdana" w:hAnsi="Verdana"/>
          <w:sz w:val="16"/>
          <w:szCs w:val="16"/>
          <w:lang w:val="es-CR"/>
        </w:rPr>
        <w:t xml:space="preserve"> </w:t>
      </w:r>
      <w:r w:rsidRPr="00FD7EBB">
        <w:rPr>
          <w:rFonts w:ascii="Verdana" w:hAnsi="Verdana"/>
          <w:i/>
          <w:sz w:val="16"/>
          <w:szCs w:val="16"/>
          <w:lang w:val="es-CR"/>
        </w:rPr>
        <w:t xml:space="preserve">Caso de la “Panel Blanca” (Paniagua Morales y otros) Vs. Guatemala. Fondo, supra </w:t>
      </w:r>
      <w:r w:rsidRPr="00FD7EBB">
        <w:rPr>
          <w:rFonts w:ascii="Verdana" w:hAnsi="Verdana"/>
          <w:sz w:val="16"/>
          <w:szCs w:val="16"/>
          <w:lang w:val="es-CR"/>
        </w:rPr>
        <w:t>nota 19,</w:t>
      </w:r>
      <w:r w:rsidRPr="00FD7EBB">
        <w:rPr>
          <w:rFonts w:ascii="Verdana" w:hAnsi="Verdana"/>
          <w:i/>
          <w:sz w:val="16"/>
          <w:szCs w:val="16"/>
          <w:lang w:val="es-CR"/>
        </w:rPr>
        <w:t xml:space="preserve"> </w:t>
      </w:r>
      <w:r w:rsidRPr="00FD7EBB">
        <w:rPr>
          <w:rFonts w:ascii="Verdana" w:hAnsi="Verdana"/>
          <w:sz w:val="16"/>
          <w:szCs w:val="16"/>
          <w:lang w:val="es-CR"/>
        </w:rPr>
        <w:t xml:space="preserve">párr. 76; </w:t>
      </w:r>
      <w:r w:rsidRPr="00FD7EBB">
        <w:rPr>
          <w:rFonts w:ascii="Verdana" w:hAnsi="Verdana"/>
          <w:i/>
          <w:sz w:val="16"/>
          <w:szCs w:val="16"/>
          <w:lang w:val="es-CR"/>
        </w:rPr>
        <w:t xml:space="preserve">Caso Abrill Alosilla y otros Vs. Perú, supra </w:t>
      </w:r>
      <w:r w:rsidRPr="00FD7EBB">
        <w:rPr>
          <w:rFonts w:ascii="Verdana" w:hAnsi="Verdana"/>
          <w:sz w:val="16"/>
          <w:szCs w:val="16"/>
          <w:lang w:val="es-CR"/>
        </w:rPr>
        <w:t xml:space="preserve">nota 19, párr. 39, y </w:t>
      </w:r>
      <w:r w:rsidRPr="00FD7EBB">
        <w:rPr>
          <w:rFonts w:ascii="Verdana" w:hAnsi="Verdana"/>
          <w:i/>
          <w:sz w:val="16"/>
          <w:szCs w:val="16"/>
          <w:lang w:val="es-CR"/>
        </w:rPr>
        <w:t xml:space="preserve">Caso Vera Vera y otra Vs. Ecuador, supra </w:t>
      </w:r>
      <w:r w:rsidRPr="00FD7EBB">
        <w:rPr>
          <w:rFonts w:ascii="Verdana" w:hAnsi="Verdana"/>
          <w:sz w:val="16"/>
          <w:szCs w:val="16"/>
          <w:lang w:val="es-CR"/>
        </w:rPr>
        <w:t>nota 12,  párr. 19.</w:t>
      </w:r>
    </w:p>
    <w:p w:rsidR="00D93A8F" w:rsidRPr="002513AB" w:rsidRDefault="00D93A8F" w:rsidP="00621321">
      <w:pPr>
        <w:jc w:val="both"/>
        <w:rPr>
          <w:lang w:val="es-ES"/>
        </w:rPr>
      </w:pPr>
    </w:p>
  </w:footnote>
  <w:footnote w:id="24">
    <w:p w:rsidR="00D93A8F" w:rsidRPr="0074711B" w:rsidRDefault="00D93A8F" w:rsidP="00CD04D8">
      <w:pPr>
        <w:ind w:right="9"/>
        <w:jc w:val="both"/>
        <w:rPr>
          <w:rFonts w:ascii="Verdana" w:hAnsi="Verdana"/>
          <w:sz w:val="16"/>
          <w:szCs w:val="16"/>
          <w:lang w:val="es-ES"/>
        </w:rPr>
      </w:pPr>
      <w:r w:rsidRPr="0074711B">
        <w:rPr>
          <w:rStyle w:val="Refdenotaalpie"/>
          <w:rFonts w:ascii="Verdana" w:hAnsi="Verdana"/>
          <w:sz w:val="16"/>
          <w:szCs w:val="16"/>
        </w:rPr>
        <w:footnoteRef/>
      </w:r>
      <w:r w:rsidRPr="0074711B">
        <w:rPr>
          <w:rFonts w:ascii="Verdana" w:hAnsi="Verdana"/>
          <w:sz w:val="16"/>
          <w:szCs w:val="16"/>
          <w:lang w:val="es-CR"/>
        </w:rPr>
        <w:t xml:space="preserve"> </w:t>
      </w:r>
      <w:r w:rsidRPr="0074711B">
        <w:rPr>
          <w:rFonts w:ascii="Verdana" w:hAnsi="Verdana"/>
          <w:sz w:val="16"/>
          <w:szCs w:val="16"/>
          <w:lang w:val="es-CR"/>
        </w:rPr>
        <w:tab/>
        <w:t>En dicha resolución también se ordenó recibir la declaración rendida ante fedatario público (</w:t>
      </w:r>
      <w:r w:rsidRPr="0074711B">
        <w:rPr>
          <w:rFonts w:ascii="Verdana" w:hAnsi="Verdana"/>
          <w:i/>
          <w:sz w:val="16"/>
          <w:szCs w:val="16"/>
          <w:lang w:val="es-CR"/>
        </w:rPr>
        <w:t>affidávit</w:t>
      </w:r>
      <w:r w:rsidRPr="0074711B">
        <w:rPr>
          <w:rFonts w:ascii="Verdana" w:hAnsi="Verdana"/>
          <w:sz w:val="16"/>
          <w:szCs w:val="16"/>
          <w:lang w:val="es-CR"/>
        </w:rPr>
        <w:t>) del perito Víctor Hugo López.</w:t>
      </w:r>
      <w:r w:rsidRPr="0074711B">
        <w:rPr>
          <w:rFonts w:ascii="Verdana" w:hAnsi="Verdana"/>
          <w:i/>
          <w:sz w:val="16"/>
          <w:szCs w:val="16"/>
          <w:lang w:val="es-CR"/>
        </w:rPr>
        <w:t xml:space="preserve"> </w:t>
      </w:r>
      <w:r w:rsidRPr="0074711B">
        <w:rPr>
          <w:rFonts w:ascii="Verdana" w:hAnsi="Verdana"/>
          <w:sz w:val="16"/>
          <w:szCs w:val="16"/>
          <w:lang w:val="es-CR"/>
        </w:rPr>
        <w:t xml:space="preserve">Sin embargo dado que dicho </w:t>
      </w:r>
      <w:r w:rsidRPr="0077680E">
        <w:rPr>
          <w:rFonts w:ascii="Verdana" w:hAnsi="Verdana"/>
          <w:i/>
          <w:sz w:val="16"/>
          <w:szCs w:val="16"/>
          <w:lang w:val="es-CR"/>
        </w:rPr>
        <w:t>affidávit</w:t>
      </w:r>
      <w:r w:rsidRPr="0074711B">
        <w:rPr>
          <w:rFonts w:ascii="Verdana" w:hAnsi="Verdana"/>
          <w:sz w:val="16"/>
          <w:szCs w:val="16"/>
          <w:lang w:val="es-CR"/>
        </w:rPr>
        <w:t xml:space="preserve"> fue presentado extemporáneamente no fue admitido</w:t>
      </w:r>
      <w:r w:rsidRPr="0074711B">
        <w:rPr>
          <w:rFonts w:ascii="Verdana" w:hAnsi="Verdana"/>
          <w:i/>
          <w:sz w:val="16"/>
          <w:szCs w:val="16"/>
          <w:lang w:val="es-CR"/>
        </w:rPr>
        <w:t xml:space="preserve"> (supra </w:t>
      </w:r>
      <w:r w:rsidRPr="0074711B">
        <w:rPr>
          <w:rFonts w:ascii="Verdana" w:hAnsi="Verdana"/>
          <w:sz w:val="16"/>
          <w:szCs w:val="16"/>
          <w:lang w:val="es-CR"/>
        </w:rPr>
        <w:t xml:space="preserve">párr.  </w:t>
      </w:r>
      <w:r>
        <w:rPr>
          <w:rFonts w:ascii="Verdana" w:hAnsi="Verdana"/>
          <w:sz w:val="16"/>
          <w:szCs w:val="16"/>
          <w:lang w:val="es-CR"/>
        </w:rPr>
        <w:t>9</w:t>
      </w:r>
      <w:r w:rsidRPr="0074711B">
        <w:rPr>
          <w:rFonts w:ascii="Verdana" w:hAnsi="Verdana"/>
          <w:sz w:val="16"/>
          <w:szCs w:val="16"/>
          <w:lang w:val="es-CR"/>
        </w:rPr>
        <w:t>).</w:t>
      </w:r>
    </w:p>
    <w:p w:rsidR="00D93A8F" w:rsidRPr="00854CE8" w:rsidRDefault="00D93A8F" w:rsidP="00CD04D8">
      <w:pPr>
        <w:ind w:right="9"/>
        <w:jc w:val="both"/>
        <w:rPr>
          <w:lang w:val="es-ES"/>
        </w:rPr>
      </w:pPr>
    </w:p>
  </w:footnote>
  <w:footnote w:id="25">
    <w:p w:rsidR="00D93A8F" w:rsidRDefault="00D93A8F" w:rsidP="00C820BB">
      <w:pPr>
        <w:pStyle w:val="Textonotapie"/>
        <w:ind w:right="9"/>
        <w:jc w:val="both"/>
        <w:rPr>
          <w:rFonts w:ascii="Verdana" w:hAnsi="Verdana" w:cs="Verdana"/>
          <w:bCs/>
          <w:sz w:val="16"/>
          <w:szCs w:val="16"/>
          <w:lang w:val="es-ES"/>
        </w:rPr>
      </w:pPr>
      <w:r w:rsidRPr="0074711B">
        <w:rPr>
          <w:rStyle w:val="Refdenotaalpie"/>
          <w:rFonts w:ascii="Verdana" w:hAnsi="Verdana"/>
          <w:sz w:val="16"/>
          <w:szCs w:val="16"/>
        </w:rPr>
        <w:footnoteRef/>
      </w:r>
      <w:r w:rsidRPr="0074711B">
        <w:rPr>
          <w:rFonts w:ascii="Verdana" w:hAnsi="Verdana"/>
          <w:i/>
          <w:sz w:val="16"/>
          <w:szCs w:val="16"/>
          <w:lang w:val="es-CR"/>
        </w:rPr>
        <w:tab/>
      </w:r>
      <w:r w:rsidRPr="0074711B">
        <w:rPr>
          <w:rFonts w:ascii="Verdana" w:hAnsi="Verdana" w:cs="Verdana"/>
          <w:bCs/>
          <w:i/>
          <w:sz w:val="16"/>
          <w:szCs w:val="16"/>
          <w:lang w:val="es-ES"/>
        </w:rPr>
        <w:t xml:space="preserve"> </w:t>
      </w:r>
      <w:r w:rsidRPr="000E08CA">
        <w:rPr>
          <w:rFonts w:ascii="Verdana" w:hAnsi="Verdana" w:cs="Verdana"/>
          <w:bCs/>
          <w:i/>
          <w:sz w:val="16"/>
          <w:szCs w:val="16"/>
          <w:lang w:val="es-ES"/>
        </w:rPr>
        <w:t>Cfr. Caso Velásquez Rodríguez Vs. Honduras</w:t>
      </w:r>
      <w:r>
        <w:rPr>
          <w:rFonts w:ascii="Verdana" w:hAnsi="Verdana" w:cs="Verdana"/>
          <w:sz w:val="16"/>
          <w:szCs w:val="16"/>
          <w:lang w:val="es-ES"/>
        </w:rPr>
        <w:t xml:space="preserve">. </w:t>
      </w:r>
      <w:r w:rsidRPr="000E08CA">
        <w:rPr>
          <w:rFonts w:ascii="Verdana" w:hAnsi="Verdana" w:cs="Verdana"/>
          <w:sz w:val="16"/>
          <w:szCs w:val="16"/>
          <w:lang w:val="es-ES"/>
        </w:rPr>
        <w:t>Fondo</w:t>
      </w:r>
      <w:r w:rsidRPr="000E08CA">
        <w:rPr>
          <w:rFonts w:ascii="Verdana" w:hAnsi="Verdana" w:cs="Verdana"/>
          <w:bCs/>
          <w:i/>
          <w:sz w:val="16"/>
          <w:szCs w:val="16"/>
          <w:lang w:val="es-ES"/>
        </w:rPr>
        <w:t xml:space="preserve">, supra </w:t>
      </w:r>
      <w:r w:rsidRPr="000E08CA">
        <w:rPr>
          <w:rFonts w:ascii="Verdana" w:hAnsi="Verdana" w:cs="Verdana"/>
          <w:bCs/>
          <w:sz w:val="16"/>
          <w:szCs w:val="16"/>
          <w:lang w:val="es-ES"/>
        </w:rPr>
        <w:t>nota 6,</w:t>
      </w:r>
      <w:r w:rsidRPr="000E08CA">
        <w:rPr>
          <w:rFonts w:ascii="Verdana" w:hAnsi="Verdana"/>
          <w:sz w:val="16"/>
          <w:szCs w:val="16"/>
          <w:lang w:val="es-CR"/>
        </w:rPr>
        <w:t xml:space="preserve"> párr. 140; </w:t>
      </w:r>
      <w:r w:rsidRPr="000E08CA">
        <w:rPr>
          <w:rFonts w:ascii="Verdana" w:hAnsi="Verdana" w:cs="Verdana"/>
          <w:bCs/>
          <w:i/>
          <w:sz w:val="16"/>
          <w:szCs w:val="16"/>
          <w:lang w:val="es-ES"/>
        </w:rPr>
        <w:t xml:space="preserve">Caso Abrill Alosilla y otros Vs. Perú, supra </w:t>
      </w:r>
      <w:r w:rsidRPr="000E08CA">
        <w:rPr>
          <w:rFonts w:ascii="Verdana" w:hAnsi="Verdana" w:cs="Verdana"/>
          <w:bCs/>
          <w:sz w:val="16"/>
          <w:szCs w:val="16"/>
          <w:lang w:val="es-ES"/>
        </w:rPr>
        <w:t xml:space="preserve">nota 19, párr. 38, y </w:t>
      </w:r>
      <w:r w:rsidRPr="000E08CA">
        <w:rPr>
          <w:rFonts w:ascii="Verdana" w:hAnsi="Verdana" w:cs="Verdana"/>
          <w:bCs/>
          <w:i/>
          <w:sz w:val="16"/>
          <w:szCs w:val="16"/>
          <w:lang w:val="es-ES"/>
        </w:rPr>
        <w:t xml:space="preserve">Caso Vera Vera y otra Vs. Ecuador, supra </w:t>
      </w:r>
      <w:r w:rsidRPr="000E08CA">
        <w:rPr>
          <w:rFonts w:ascii="Verdana" w:hAnsi="Verdana" w:cs="Verdana"/>
          <w:bCs/>
          <w:sz w:val="16"/>
          <w:szCs w:val="16"/>
          <w:lang w:val="es-ES"/>
        </w:rPr>
        <w:t>nota 12, párr. 22.</w:t>
      </w:r>
    </w:p>
    <w:p w:rsidR="00D93A8F" w:rsidRPr="002513AB" w:rsidRDefault="00D93A8F" w:rsidP="00C820BB">
      <w:pPr>
        <w:pStyle w:val="Textonotapie"/>
        <w:ind w:right="9"/>
        <w:jc w:val="both"/>
        <w:rPr>
          <w:lang w:val="es-ES"/>
        </w:rPr>
      </w:pPr>
    </w:p>
  </w:footnote>
  <w:footnote w:id="26">
    <w:p w:rsidR="00D93A8F" w:rsidRPr="0074711B" w:rsidRDefault="00D93A8F" w:rsidP="00CD04D8">
      <w:pPr>
        <w:pStyle w:val="Textonotapie"/>
        <w:ind w:right="9"/>
        <w:jc w:val="both"/>
        <w:rPr>
          <w:rFonts w:ascii="Verdana" w:hAnsi="Verdana"/>
          <w:sz w:val="16"/>
          <w:szCs w:val="16"/>
          <w:lang w:val="es-CR"/>
        </w:rPr>
      </w:pPr>
      <w:r w:rsidRPr="0074711B">
        <w:rPr>
          <w:rStyle w:val="Refdenotaalpie"/>
          <w:rFonts w:ascii="Verdana" w:hAnsi="Verdana"/>
          <w:sz w:val="16"/>
          <w:szCs w:val="16"/>
        </w:rPr>
        <w:footnoteRef/>
      </w:r>
      <w:r w:rsidRPr="0074711B">
        <w:rPr>
          <w:rFonts w:ascii="Verdana" w:hAnsi="Verdana"/>
          <w:sz w:val="16"/>
          <w:szCs w:val="16"/>
          <w:lang w:val="es-CR"/>
        </w:rPr>
        <w:t xml:space="preserve">   </w:t>
      </w:r>
      <w:r w:rsidRPr="0074711B">
        <w:rPr>
          <w:rFonts w:ascii="Verdana" w:hAnsi="Verdana"/>
          <w:sz w:val="16"/>
          <w:szCs w:val="16"/>
          <w:lang w:val="es-CR"/>
        </w:rPr>
        <w:tab/>
        <w:t>A saber: 1)  Decisión de incumplimiento emitida por la Corte Constitucional el 8 de octubre de 2009; 2) Hoja de evaluación del histórico personal realizado por el Consejo de Oficiales Generales en el 2000, como requisito para ascender al grado de General de Brigada; 3) Diploma al mérito otorgado el 18 de octubre de 1991 y calificación de excelente de la obra emitida por la jefatura de Estado Mayor del Ejército el 21 de diciembre de 1922</w:t>
      </w:r>
      <w:r>
        <w:rPr>
          <w:rFonts w:ascii="Verdana" w:hAnsi="Verdana"/>
          <w:sz w:val="16"/>
          <w:szCs w:val="16"/>
          <w:lang w:val="es-CR"/>
        </w:rPr>
        <w:t>;</w:t>
      </w:r>
      <w:r w:rsidRPr="0074711B">
        <w:rPr>
          <w:rFonts w:ascii="Verdana" w:hAnsi="Verdana"/>
          <w:sz w:val="16"/>
          <w:szCs w:val="16"/>
          <w:lang w:val="es-CR"/>
        </w:rPr>
        <w:t xml:space="preserve"> 4) Resoluciones Ex Tribunal Constitucional y Corte Constitucional del Ecuador</w:t>
      </w:r>
      <w:r>
        <w:rPr>
          <w:rFonts w:ascii="Verdana" w:hAnsi="Verdana"/>
          <w:sz w:val="16"/>
          <w:szCs w:val="16"/>
          <w:lang w:val="es-CR"/>
        </w:rPr>
        <w:t>, y</w:t>
      </w:r>
      <w:r w:rsidRPr="0074711B">
        <w:rPr>
          <w:rFonts w:ascii="Verdana" w:hAnsi="Verdana"/>
          <w:sz w:val="16"/>
          <w:szCs w:val="16"/>
          <w:lang w:val="es-CR"/>
        </w:rPr>
        <w:t xml:space="preserve"> 5) Ley Personal de Fuerzas Armadas.</w:t>
      </w:r>
    </w:p>
    <w:p w:rsidR="00D93A8F" w:rsidRPr="002513AB" w:rsidRDefault="00D93A8F" w:rsidP="00CD04D8">
      <w:pPr>
        <w:pStyle w:val="Textonotapie"/>
        <w:ind w:right="9"/>
        <w:jc w:val="both"/>
        <w:rPr>
          <w:lang w:val="es-ES"/>
        </w:rPr>
      </w:pPr>
    </w:p>
  </w:footnote>
  <w:footnote w:id="27">
    <w:p w:rsidR="00D93A8F" w:rsidRDefault="00D93A8F" w:rsidP="00CD04D8">
      <w:pPr>
        <w:pStyle w:val="Textonotapie"/>
        <w:ind w:right="9"/>
        <w:jc w:val="both"/>
        <w:rPr>
          <w:rFonts w:ascii="Verdana" w:hAnsi="Verdana"/>
          <w:sz w:val="16"/>
          <w:szCs w:val="16"/>
          <w:lang w:val="es-CR"/>
        </w:rPr>
      </w:pPr>
      <w:r w:rsidRPr="0074711B">
        <w:rPr>
          <w:rStyle w:val="Refdenotaalpie"/>
          <w:rFonts w:ascii="Verdana" w:hAnsi="Verdana"/>
          <w:sz w:val="16"/>
          <w:szCs w:val="16"/>
        </w:rPr>
        <w:footnoteRef/>
      </w:r>
      <w:r w:rsidRPr="0074711B">
        <w:rPr>
          <w:rFonts w:ascii="Verdana" w:hAnsi="Verdana"/>
          <w:sz w:val="16"/>
          <w:szCs w:val="16"/>
          <w:lang w:val="es-CR"/>
        </w:rPr>
        <w:t xml:space="preserve"> </w:t>
      </w:r>
      <w:r w:rsidRPr="0074711B">
        <w:rPr>
          <w:rFonts w:ascii="Verdana" w:hAnsi="Verdana"/>
          <w:sz w:val="16"/>
          <w:szCs w:val="16"/>
          <w:lang w:val="es-CR"/>
        </w:rPr>
        <w:tab/>
        <w:t xml:space="preserve">A saber: 1) Informe del Instituto de Seguridad Social de las Fuerzas Armadas; 2) Informe del Proceso de Calificación a Oficiales Generales de la Fuerza Terrestre; 3) Decreto de Re-Incorporación del Coronel José Mejía Idrovo; 4) Reglamento Interno de los Consejos de Oficiales Generales; 5) Resultado y Análisis de la Curva de Gauss y Gráficos; 6) Informe de la Comisión de Análisis de Documentos para la Calificación a General de Brigada del Coronel José Mejía Idrovo; 7) Hoja de Evaluación de Teniente Coronel a Coronel; 8) Resolución del Consejo de Oficiales Superiores Ascenso y Homologación; 10) Comprobantes del Libro de Vida; 9) Reglamento de Calificación y Requisitos de Ascensos del año 1992; 10) Cuadro de Vacantes; 11) Código Orgánico de la Función Judicial; 12) Ley de Garantías Jurisdiccionales y Control Constitucional; 13) Título de Oficio de Estado Mayor de Servicios, otorgado el 18 de septiembre de 1989 por la Academia de Guerra, además en 1993 obtuvo en el Brasil el título de Estado Mayor de Servicio de Intendencia, por la cual en su hoja de vida; 14) Decisión de aclaración emitida por la Corte Constitucional el 11 de marzo de 2010; 15) Hoja de vida de José Mejía emitida el 8 de febrero de 2011; 16) Nota </w:t>
      </w:r>
      <w:r>
        <w:rPr>
          <w:rFonts w:ascii="Verdana" w:hAnsi="Verdana"/>
          <w:sz w:val="16"/>
          <w:szCs w:val="16"/>
          <w:lang w:val="es-CR"/>
        </w:rPr>
        <w:t>de</w:t>
      </w:r>
      <w:r w:rsidRPr="0074711B">
        <w:rPr>
          <w:rFonts w:ascii="Verdana" w:hAnsi="Verdana"/>
          <w:sz w:val="16"/>
          <w:szCs w:val="16"/>
          <w:lang w:val="es-CR"/>
        </w:rPr>
        <w:t xml:space="preserve"> 8 de febrero de 1994 dirigid</w:t>
      </w:r>
      <w:r>
        <w:rPr>
          <w:rFonts w:ascii="Verdana" w:hAnsi="Verdana"/>
          <w:sz w:val="16"/>
          <w:szCs w:val="16"/>
          <w:lang w:val="es-CR"/>
        </w:rPr>
        <w:t>a</w:t>
      </w:r>
      <w:r w:rsidRPr="0074711B">
        <w:rPr>
          <w:rFonts w:ascii="Verdana" w:hAnsi="Verdana"/>
          <w:sz w:val="16"/>
          <w:szCs w:val="16"/>
          <w:lang w:val="es-CR"/>
        </w:rPr>
        <w:t xml:space="preserve"> al Comandante General del Ejército solicitando se considere su pase a un reparto en el que pueda realizar comando de unidad; 17) Diploma del 10 de agosto de 1995 conferido por el Jefe de Estado Mayor de la Fuerza </w:t>
      </w:r>
      <w:r>
        <w:rPr>
          <w:rFonts w:ascii="Verdana" w:hAnsi="Verdana"/>
          <w:sz w:val="16"/>
          <w:szCs w:val="16"/>
          <w:lang w:val="es-CR"/>
        </w:rPr>
        <w:t>T</w:t>
      </w:r>
      <w:r w:rsidRPr="0074711B">
        <w:rPr>
          <w:rFonts w:ascii="Verdana" w:hAnsi="Verdana"/>
          <w:sz w:val="16"/>
          <w:szCs w:val="16"/>
          <w:lang w:val="es-CR"/>
        </w:rPr>
        <w:t>errestre por el Comandante General de la Fuerza Terrestre; 18) Nota del 8 de diciembre de 2010 dirigid</w:t>
      </w:r>
      <w:r>
        <w:rPr>
          <w:rFonts w:ascii="Verdana" w:hAnsi="Verdana"/>
          <w:sz w:val="16"/>
          <w:szCs w:val="16"/>
          <w:lang w:val="es-CR"/>
        </w:rPr>
        <w:t>a</w:t>
      </w:r>
      <w:r w:rsidRPr="0074711B">
        <w:rPr>
          <w:rFonts w:ascii="Verdana" w:hAnsi="Verdana"/>
          <w:sz w:val="16"/>
          <w:szCs w:val="16"/>
          <w:lang w:val="es-CR"/>
        </w:rPr>
        <w:t xml:space="preserve"> al Comandante General del Ejército solicitando se de fiel cumplimento a las sentencias emit</w:t>
      </w:r>
      <w:r>
        <w:rPr>
          <w:rFonts w:ascii="Verdana" w:hAnsi="Verdana"/>
          <w:sz w:val="16"/>
          <w:szCs w:val="16"/>
          <w:lang w:val="es-CR"/>
        </w:rPr>
        <w:t>idas a nivel constitucional, y 19)</w:t>
      </w:r>
      <w:r w:rsidRPr="0074711B">
        <w:rPr>
          <w:rFonts w:ascii="Verdana" w:hAnsi="Verdana"/>
          <w:sz w:val="16"/>
          <w:szCs w:val="16"/>
          <w:lang w:val="es-CR"/>
        </w:rPr>
        <w:t xml:space="preserve"> </w:t>
      </w:r>
      <w:r w:rsidRPr="00674A51">
        <w:rPr>
          <w:rFonts w:ascii="Verdana" w:hAnsi="Verdana"/>
          <w:sz w:val="16"/>
          <w:szCs w:val="16"/>
          <w:lang w:val="es-CR"/>
        </w:rPr>
        <w:t>Recibos de gastos</w:t>
      </w:r>
      <w:r>
        <w:rPr>
          <w:rFonts w:ascii="Verdana" w:hAnsi="Verdana"/>
          <w:sz w:val="16"/>
          <w:szCs w:val="16"/>
          <w:lang w:val="es-CR"/>
        </w:rPr>
        <w:t xml:space="preserve"> incurridos por compra de tiquetes aéreos, hospedaje, visas e impuestos de salida, etc., </w:t>
      </w:r>
      <w:r w:rsidRPr="00F822BE">
        <w:rPr>
          <w:rFonts w:ascii="Verdana" w:hAnsi="Verdana"/>
          <w:sz w:val="16"/>
          <w:szCs w:val="16"/>
          <w:lang w:val="es-CR"/>
        </w:rPr>
        <w:t>para asistir a la a</w:t>
      </w:r>
      <w:r>
        <w:rPr>
          <w:rFonts w:ascii="Verdana" w:hAnsi="Verdana"/>
          <w:sz w:val="16"/>
          <w:szCs w:val="16"/>
          <w:lang w:val="es-CR"/>
        </w:rPr>
        <w:t>udiencia ante</w:t>
      </w:r>
      <w:r w:rsidRPr="00F822BE">
        <w:rPr>
          <w:rFonts w:ascii="Verdana" w:hAnsi="Verdana"/>
          <w:sz w:val="16"/>
          <w:szCs w:val="16"/>
          <w:lang w:val="es-CR"/>
        </w:rPr>
        <w:t xml:space="preserve"> la Corte</w:t>
      </w:r>
      <w:r>
        <w:rPr>
          <w:rFonts w:ascii="Verdana" w:hAnsi="Verdana"/>
          <w:sz w:val="16"/>
          <w:szCs w:val="16"/>
          <w:lang w:val="es-CR"/>
        </w:rPr>
        <w:t xml:space="preserve">, </w:t>
      </w:r>
      <w:r w:rsidRPr="0074711B">
        <w:rPr>
          <w:rFonts w:ascii="Verdana" w:hAnsi="Verdana"/>
          <w:sz w:val="16"/>
          <w:szCs w:val="16"/>
          <w:lang w:val="es-CR"/>
        </w:rPr>
        <w:t>en Costa Rica</w:t>
      </w:r>
      <w:r>
        <w:rPr>
          <w:rFonts w:ascii="Verdana" w:hAnsi="Verdana"/>
          <w:sz w:val="16"/>
          <w:szCs w:val="16"/>
          <w:lang w:val="es-CR"/>
        </w:rPr>
        <w:t>, del señor Mejía Idrovo</w:t>
      </w:r>
      <w:r w:rsidRPr="0074711B">
        <w:rPr>
          <w:rFonts w:ascii="Verdana" w:hAnsi="Verdana"/>
          <w:sz w:val="16"/>
          <w:szCs w:val="16"/>
          <w:lang w:val="es-CR"/>
        </w:rPr>
        <w:t xml:space="preserve"> y su abogado Xavier Mejía</w:t>
      </w:r>
      <w:r>
        <w:rPr>
          <w:rFonts w:ascii="Verdana" w:hAnsi="Verdana"/>
          <w:sz w:val="16"/>
          <w:szCs w:val="16"/>
          <w:lang w:val="es-CR"/>
        </w:rPr>
        <w:t>.</w:t>
      </w:r>
    </w:p>
    <w:p w:rsidR="00D93A8F" w:rsidRPr="002513AB" w:rsidRDefault="00D93A8F" w:rsidP="00CD04D8">
      <w:pPr>
        <w:pStyle w:val="Textonotapie"/>
        <w:ind w:right="9"/>
        <w:jc w:val="both"/>
        <w:rPr>
          <w:lang w:val="es-ES"/>
        </w:rPr>
      </w:pPr>
      <w:r w:rsidRPr="0074711B">
        <w:rPr>
          <w:rFonts w:ascii="Verdana" w:hAnsi="Verdana"/>
          <w:sz w:val="16"/>
          <w:szCs w:val="16"/>
          <w:lang w:val="es-CR"/>
        </w:rPr>
        <w:t xml:space="preserve"> </w:t>
      </w:r>
    </w:p>
  </w:footnote>
  <w:footnote w:id="28">
    <w:p w:rsidR="00D93A8F" w:rsidRPr="002513AB" w:rsidRDefault="00D93A8F" w:rsidP="00A402E2">
      <w:pPr>
        <w:pStyle w:val="Textonotapie"/>
        <w:jc w:val="both"/>
        <w:rPr>
          <w:lang w:val="es-ES"/>
        </w:rPr>
      </w:pPr>
      <w:r w:rsidRPr="0074711B">
        <w:rPr>
          <w:rStyle w:val="Refdenotaalpie"/>
          <w:rFonts w:ascii="Verdana" w:hAnsi="Verdana"/>
          <w:sz w:val="16"/>
          <w:szCs w:val="16"/>
        </w:rPr>
        <w:footnoteRef/>
      </w:r>
      <w:r w:rsidRPr="0074711B">
        <w:rPr>
          <w:rFonts w:ascii="Verdana" w:hAnsi="Verdana"/>
          <w:sz w:val="16"/>
          <w:szCs w:val="16"/>
          <w:lang w:val="es-CR"/>
        </w:rPr>
        <w:t xml:space="preserve"> 1) </w:t>
      </w:r>
      <w:r>
        <w:rPr>
          <w:rFonts w:ascii="Verdana" w:hAnsi="Verdana"/>
          <w:sz w:val="16"/>
          <w:szCs w:val="16"/>
          <w:lang w:val="es-CR"/>
        </w:rPr>
        <w:tab/>
        <w:t xml:space="preserve">A saber: 1) </w:t>
      </w:r>
      <w:r w:rsidRPr="0074711B">
        <w:rPr>
          <w:rFonts w:ascii="Verdana" w:hAnsi="Verdana"/>
          <w:sz w:val="16"/>
          <w:szCs w:val="16"/>
          <w:lang w:val="es-CR"/>
        </w:rPr>
        <w:t>Oficio No. 2011-0046-SCOGFT de 22 de marzo de 2011</w:t>
      </w:r>
      <w:r>
        <w:rPr>
          <w:rFonts w:ascii="Verdana" w:hAnsi="Verdana"/>
          <w:sz w:val="16"/>
          <w:szCs w:val="16"/>
          <w:lang w:val="es-CR"/>
        </w:rPr>
        <w:t xml:space="preserve"> de la</w:t>
      </w:r>
      <w:r w:rsidRPr="0074711B">
        <w:rPr>
          <w:rFonts w:ascii="Verdana" w:hAnsi="Verdana"/>
          <w:sz w:val="16"/>
          <w:szCs w:val="16"/>
          <w:lang w:val="es-CR"/>
        </w:rPr>
        <w:t xml:space="preserve"> Fuerza Terrestre que contiene Notificación de Resolución del Consejo de Oficiales Generales y Oficio </w:t>
      </w:r>
      <w:r w:rsidRPr="0074711B">
        <w:rPr>
          <w:rFonts w:ascii="Verdana" w:hAnsi="Verdana"/>
          <w:sz w:val="16"/>
          <w:szCs w:val="16"/>
          <w:lang w:val="es-ES"/>
        </w:rPr>
        <w:t>2011-0062-SCOGFT 6 de abril 2011</w:t>
      </w:r>
      <w:r w:rsidRPr="0074711B">
        <w:rPr>
          <w:rFonts w:ascii="Verdana" w:hAnsi="Verdana"/>
          <w:sz w:val="16"/>
          <w:szCs w:val="16"/>
          <w:lang w:val="es-CR"/>
        </w:rPr>
        <w:t xml:space="preserve">; 2) Escrito de impugnación a la resolución de 22 de marzo de 2011 emitida por el Consejo de Oficiales Generales de la Fuerza Terrestre; 3) </w:t>
      </w:r>
      <w:r>
        <w:rPr>
          <w:rFonts w:ascii="Verdana" w:hAnsi="Verdana"/>
          <w:sz w:val="16"/>
          <w:szCs w:val="16"/>
          <w:lang w:val="es-CR"/>
        </w:rPr>
        <w:t>O</w:t>
      </w:r>
      <w:r w:rsidRPr="0074711B">
        <w:rPr>
          <w:rFonts w:ascii="Verdana" w:hAnsi="Verdana"/>
          <w:sz w:val="16"/>
          <w:szCs w:val="16"/>
          <w:lang w:val="es-CR"/>
        </w:rPr>
        <w:t xml:space="preserve">ficio de reconsideración de ascenso de </w:t>
      </w:r>
      <w:r w:rsidRPr="0074711B">
        <w:rPr>
          <w:rFonts w:ascii="Verdana" w:hAnsi="Verdana"/>
          <w:sz w:val="16"/>
          <w:szCs w:val="16"/>
          <w:lang w:val="es-ES"/>
        </w:rPr>
        <w:t xml:space="preserve">6 de abril 2011, y </w:t>
      </w:r>
      <w:r w:rsidRPr="0074711B">
        <w:rPr>
          <w:rFonts w:ascii="Verdana" w:hAnsi="Verdana"/>
          <w:sz w:val="16"/>
          <w:szCs w:val="16"/>
          <w:lang w:val="es-CR"/>
        </w:rPr>
        <w:t>4) Decisión de aclaración emitida por la Corte Constitucional el 11 de marzo de 2010.</w:t>
      </w:r>
    </w:p>
  </w:footnote>
  <w:footnote w:id="29">
    <w:p w:rsidR="00D93A8F" w:rsidRDefault="00D93A8F" w:rsidP="00F846EC">
      <w:pPr>
        <w:pStyle w:val="Textonotapie"/>
        <w:tabs>
          <w:tab w:val="left" w:pos="720"/>
        </w:tabs>
        <w:ind w:right="9"/>
        <w:jc w:val="both"/>
        <w:rPr>
          <w:rFonts w:ascii="Verdana" w:hAnsi="Verdana"/>
          <w:sz w:val="16"/>
          <w:szCs w:val="16"/>
          <w:lang w:val="es-CR"/>
        </w:rPr>
      </w:pPr>
      <w:r w:rsidRPr="0074711B">
        <w:rPr>
          <w:rStyle w:val="Refdenotaalpie"/>
          <w:rFonts w:ascii="Verdana" w:hAnsi="Verdana"/>
          <w:sz w:val="16"/>
          <w:szCs w:val="16"/>
        </w:rPr>
        <w:footnoteRef/>
      </w:r>
      <w:r w:rsidRPr="0074711B">
        <w:rPr>
          <w:rFonts w:ascii="Verdana" w:hAnsi="Verdana"/>
          <w:sz w:val="16"/>
          <w:szCs w:val="16"/>
          <w:lang w:val="es-CR"/>
        </w:rPr>
        <w:t xml:space="preserve"> </w:t>
      </w:r>
      <w:r w:rsidRPr="0074711B">
        <w:rPr>
          <w:rFonts w:ascii="Verdana" w:hAnsi="Verdana"/>
          <w:sz w:val="16"/>
          <w:szCs w:val="16"/>
          <w:lang w:val="es-CR"/>
        </w:rPr>
        <w:tab/>
      </w:r>
      <w:r w:rsidRPr="0074711B">
        <w:rPr>
          <w:rFonts w:ascii="Verdana" w:hAnsi="Verdana" w:cs="Verdana"/>
          <w:i/>
          <w:iCs/>
          <w:sz w:val="16"/>
          <w:szCs w:val="16"/>
          <w:lang w:val="es-CR"/>
        </w:rPr>
        <w:t>Cfr.</w:t>
      </w:r>
      <w:r w:rsidRPr="0074711B">
        <w:rPr>
          <w:rFonts w:ascii="Verdana" w:hAnsi="Verdana" w:cs="Verdana"/>
          <w:iCs/>
          <w:sz w:val="16"/>
          <w:szCs w:val="16"/>
          <w:lang w:val="es-CR"/>
        </w:rPr>
        <w:t xml:space="preserve"> </w:t>
      </w:r>
      <w:r w:rsidRPr="0074711B">
        <w:rPr>
          <w:rFonts w:ascii="Verdana" w:hAnsi="Verdana" w:cs="Verdana"/>
          <w:i/>
          <w:iCs/>
          <w:sz w:val="16"/>
          <w:szCs w:val="16"/>
          <w:lang w:val="es-CR"/>
        </w:rPr>
        <w:t>Caso</w:t>
      </w:r>
      <w:r w:rsidRPr="0074711B">
        <w:rPr>
          <w:rFonts w:ascii="Verdana" w:hAnsi="Verdana" w:cs="Verdana"/>
          <w:iCs/>
          <w:sz w:val="16"/>
          <w:szCs w:val="16"/>
          <w:lang w:val="es-CR"/>
        </w:rPr>
        <w:t xml:space="preserve"> </w:t>
      </w:r>
      <w:r w:rsidRPr="0074711B">
        <w:rPr>
          <w:rFonts w:ascii="Verdana" w:hAnsi="Verdana" w:cs="Verdana"/>
          <w:i/>
          <w:iCs/>
          <w:sz w:val="16"/>
          <w:szCs w:val="16"/>
          <w:lang w:val="es-CR"/>
        </w:rPr>
        <w:t>Loayza Tamayo Vs. Perú. Fondo.</w:t>
      </w:r>
      <w:r w:rsidRPr="0074711B">
        <w:rPr>
          <w:rFonts w:ascii="Verdana" w:hAnsi="Verdana" w:cs="Verdana"/>
          <w:iCs/>
          <w:sz w:val="16"/>
          <w:szCs w:val="16"/>
          <w:lang w:val="es-CR"/>
        </w:rPr>
        <w:t xml:space="preserve"> </w:t>
      </w:r>
      <w:r w:rsidRPr="0074711B">
        <w:rPr>
          <w:rFonts w:ascii="Verdana" w:hAnsi="Verdana" w:cs="Verdana"/>
          <w:sz w:val="16"/>
          <w:szCs w:val="16"/>
          <w:lang w:val="es-CR"/>
        </w:rPr>
        <w:t xml:space="preserve">Sentencia de 17 de septiembre de 1997. Serie C No. 33, párr. </w:t>
      </w:r>
      <w:r w:rsidRPr="0074711B">
        <w:rPr>
          <w:rFonts w:ascii="Verdana" w:hAnsi="Verdana"/>
          <w:sz w:val="16"/>
          <w:szCs w:val="16"/>
          <w:lang w:val="es-CR"/>
        </w:rPr>
        <w:t xml:space="preserve">43; </w:t>
      </w:r>
      <w:r w:rsidRPr="0074711B">
        <w:rPr>
          <w:rFonts w:ascii="Verdana" w:hAnsi="Verdana" w:cs="Verdana"/>
          <w:i/>
          <w:iCs/>
          <w:sz w:val="16"/>
          <w:szCs w:val="16"/>
          <w:lang w:val="es-CR"/>
        </w:rPr>
        <w:t>Caso</w:t>
      </w:r>
      <w:r w:rsidRPr="0074711B">
        <w:rPr>
          <w:rFonts w:ascii="Verdana" w:hAnsi="Verdana"/>
          <w:sz w:val="16"/>
          <w:szCs w:val="16"/>
          <w:lang w:val="es-CR"/>
        </w:rPr>
        <w:t xml:space="preserve"> Gelman </w:t>
      </w:r>
      <w:r w:rsidRPr="0074711B">
        <w:rPr>
          <w:rFonts w:ascii="Verdana" w:hAnsi="Verdana"/>
          <w:i/>
          <w:sz w:val="16"/>
          <w:szCs w:val="16"/>
          <w:lang w:val="es-CR"/>
        </w:rPr>
        <w:t>Vs. Uruguay.</w:t>
      </w:r>
      <w:r w:rsidRPr="0074711B">
        <w:rPr>
          <w:rFonts w:ascii="Verdana" w:hAnsi="Verdana"/>
          <w:sz w:val="16"/>
          <w:szCs w:val="16"/>
          <w:lang w:val="es-CR"/>
        </w:rPr>
        <w:t xml:space="preserve"> </w:t>
      </w:r>
      <w:r w:rsidRPr="0074711B">
        <w:rPr>
          <w:rFonts w:ascii="Verdana" w:hAnsi="Verdana" w:cs="Verdana"/>
          <w:i/>
          <w:iCs/>
          <w:sz w:val="16"/>
          <w:szCs w:val="16"/>
          <w:lang w:val="es-CR"/>
        </w:rPr>
        <w:t>Fondo y Reparaciones.</w:t>
      </w:r>
      <w:r w:rsidRPr="0074711B">
        <w:rPr>
          <w:rFonts w:ascii="Verdana" w:hAnsi="Verdana" w:cs="Verdana"/>
          <w:sz w:val="16"/>
          <w:szCs w:val="16"/>
          <w:lang w:val="es-CR"/>
        </w:rPr>
        <w:t xml:space="preserve"> Sentencia de 24 de febrero de 2011. Serie C No. 221, párr. </w:t>
      </w:r>
      <w:r w:rsidRPr="0074711B">
        <w:rPr>
          <w:rFonts w:ascii="Verdana" w:hAnsi="Verdana"/>
          <w:sz w:val="16"/>
          <w:szCs w:val="16"/>
          <w:lang w:val="es-CR"/>
        </w:rPr>
        <w:t>40,</w:t>
      </w:r>
      <w:r w:rsidRPr="0074711B">
        <w:rPr>
          <w:rFonts w:ascii="Verdana" w:hAnsi="Verdana" w:cs="Verdana"/>
          <w:i/>
          <w:iCs/>
          <w:sz w:val="16"/>
          <w:szCs w:val="16"/>
          <w:lang w:val="es-CR"/>
        </w:rPr>
        <w:t xml:space="preserve"> </w:t>
      </w:r>
      <w:r w:rsidRPr="0074711B">
        <w:rPr>
          <w:rFonts w:ascii="Verdana" w:hAnsi="Verdana"/>
          <w:sz w:val="16"/>
          <w:szCs w:val="16"/>
          <w:lang w:val="es-CR"/>
        </w:rPr>
        <w:t xml:space="preserve">y </w:t>
      </w:r>
      <w:r w:rsidRPr="0074711B">
        <w:rPr>
          <w:rFonts w:ascii="Verdana" w:hAnsi="Verdana"/>
          <w:i/>
          <w:sz w:val="16"/>
          <w:szCs w:val="16"/>
          <w:lang w:val="es-CR"/>
        </w:rPr>
        <w:t xml:space="preserve">Caso Vera Vera y otra Vs. Ecuador, supra </w:t>
      </w:r>
      <w:r w:rsidRPr="0074711B">
        <w:rPr>
          <w:rFonts w:ascii="Verdana" w:hAnsi="Verdana"/>
          <w:sz w:val="16"/>
          <w:szCs w:val="16"/>
          <w:lang w:val="es-CR"/>
        </w:rPr>
        <w:t>nota 1</w:t>
      </w:r>
      <w:r>
        <w:rPr>
          <w:rFonts w:ascii="Verdana" w:hAnsi="Verdana"/>
          <w:sz w:val="16"/>
          <w:szCs w:val="16"/>
          <w:lang w:val="es-CR"/>
        </w:rPr>
        <w:t>2</w:t>
      </w:r>
      <w:r w:rsidRPr="0074711B">
        <w:rPr>
          <w:rFonts w:ascii="Verdana" w:hAnsi="Verdana"/>
          <w:sz w:val="16"/>
          <w:szCs w:val="16"/>
          <w:lang w:val="es-CR"/>
        </w:rPr>
        <w:t>, párr. 23.</w:t>
      </w:r>
    </w:p>
    <w:p w:rsidR="00D93A8F" w:rsidRPr="002513AB" w:rsidRDefault="00D93A8F" w:rsidP="00F846EC">
      <w:pPr>
        <w:pStyle w:val="Textonotapie"/>
        <w:tabs>
          <w:tab w:val="left" w:pos="720"/>
        </w:tabs>
        <w:ind w:right="9"/>
        <w:jc w:val="both"/>
        <w:rPr>
          <w:lang w:val="es-ES"/>
        </w:rPr>
      </w:pPr>
    </w:p>
  </w:footnote>
  <w:footnote w:id="30">
    <w:p w:rsidR="00D93A8F" w:rsidRPr="0074711B" w:rsidRDefault="00D93A8F" w:rsidP="00CD04D8">
      <w:pPr>
        <w:pStyle w:val="Textonotapie"/>
        <w:ind w:right="9"/>
        <w:jc w:val="both"/>
        <w:rPr>
          <w:rFonts w:ascii="Verdana" w:hAnsi="Verdana"/>
          <w:sz w:val="16"/>
          <w:szCs w:val="16"/>
          <w:lang w:val="es-MX"/>
        </w:rPr>
      </w:pPr>
      <w:r w:rsidRPr="0074711B">
        <w:rPr>
          <w:rStyle w:val="Smbolodenotaalpie"/>
          <w:sz w:val="16"/>
          <w:szCs w:val="16"/>
        </w:rPr>
        <w:footnoteRef/>
      </w:r>
      <w:r w:rsidRPr="0074711B">
        <w:rPr>
          <w:rFonts w:ascii="Verdana" w:hAnsi="Verdana"/>
          <w:sz w:val="16"/>
          <w:szCs w:val="16"/>
          <w:lang w:val="es-ES"/>
        </w:rPr>
        <w:tab/>
      </w:r>
      <w:r w:rsidRPr="0074711B">
        <w:rPr>
          <w:rFonts w:ascii="Verdana" w:hAnsi="Verdana"/>
          <w:sz w:val="16"/>
          <w:szCs w:val="16"/>
          <w:lang w:val="es-MX"/>
        </w:rPr>
        <w:t>Según lo señalado por los representantes recibió varias condecoraciones por su trabajo, fue becado y realizó el Curso de Comando y Estado Mayor en el Ejército de la República de Brasil, donde ganó la condecoración “Medalha do Pacificador” (</w:t>
      </w:r>
      <w:r w:rsidRPr="0074711B">
        <w:rPr>
          <w:rFonts w:ascii="Verdana" w:hAnsi="Verdana"/>
          <w:sz w:val="16"/>
          <w:szCs w:val="16"/>
          <w:lang w:val="es-ES"/>
        </w:rPr>
        <w:t>expediente excepciones preliminares, fondo, reparaciones y costas, tomo I, fs.</w:t>
      </w:r>
      <w:r w:rsidRPr="0074711B">
        <w:rPr>
          <w:rFonts w:ascii="Verdana" w:hAnsi="Verdana"/>
          <w:bCs/>
          <w:sz w:val="16"/>
          <w:szCs w:val="16"/>
          <w:lang w:val="es-MX"/>
        </w:rPr>
        <w:t xml:space="preserve"> 100 y 101)</w:t>
      </w:r>
      <w:r w:rsidRPr="0074711B">
        <w:rPr>
          <w:rFonts w:ascii="Verdana" w:hAnsi="Verdana"/>
          <w:sz w:val="16"/>
          <w:szCs w:val="16"/>
          <w:lang w:val="es-MX"/>
        </w:rPr>
        <w:t>.</w:t>
      </w:r>
    </w:p>
    <w:p w:rsidR="00D93A8F" w:rsidRPr="002513AB" w:rsidRDefault="00D93A8F" w:rsidP="00CD04D8">
      <w:pPr>
        <w:pStyle w:val="Textonotapie"/>
        <w:ind w:right="9"/>
        <w:jc w:val="both"/>
        <w:rPr>
          <w:lang w:val="es-ES"/>
        </w:rPr>
      </w:pPr>
    </w:p>
  </w:footnote>
  <w:footnote w:id="31">
    <w:p w:rsidR="00D93A8F" w:rsidRPr="0074711B" w:rsidRDefault="00D93A8F" w:rsidP="00CD04D8">
      <w:pPr>
        <w:pStyle w:val="Textonotapie"/>
        <w:ind w:right="9"/>
        <w:jc w:val="both"/>
        <w:rPr>
          <w:rFonts w:ascii="Verdana" w:hAnsi="Verdana"/>
          <w:sz w:val="16"/>
          <w:szCs w:val="16"/>
          <w:lang w:val="es-MX"/>
        </w:rPr>
      </w:pPr>
      <w:r w:rsidRPr="0074711B">
        <w:rPr>
          <w:rStyle w:val="Smbolodenotaalpie"/>
          <w:sz w:val="16"/>
          <w:szCs w:val="16"/>
        </w:rPr>
        <w:footnoteRef/>
      </w:r>
      <w:r w:rsidRPr="0074711B">
        <w:rPr>
          <w:rFonts w:ascii="Verdana" w:hAnsi="Verdana"/>
          <w:sz w:val="16"/>
          <w:szCs w:val="16"/>
          <w:lang w:val="es-ES"/>
        </w:rPr>
        <w:tab/>
      </w:r>
      <w:r w:rsidRPr="0074711B">
        <w:rPr>
          <w:rFonts w:ascii="Verdana" w:hAnsi="Verdana"/>
          <w:sz w:val="16"/>
          <w:szCs w:val="16"/>
          <w:lang w:val="es-MX"/>
        </w:rPr>
        <w:t xml:space="preserve">Según lo señalado por los representantes, entre 1992 y 1999 fue calificado anualmente por el Consejo de Oficiales Generales del Ejército. Recibió puntajes promedios de 20 en una escala de 20 para los criterios de “cualidades morales”, “cualidades intelectuales-físicas” y “capacidad técnico-profesional cada año, con la excepción del 1998 cuando </w:t>
      </w:r>
      <w:r w:rsidRPr="000E08CA">
        <w:rPr>
          <w:rFonts w:ascii="Verdana" w:hAnsi="Verdana"/>
          <w:sz w:val="16"/>
          <w:szCs w:val="16"/>
          <w:lang w:val="es-MX"/>
        </w:rPr>
        <w:t xml:space="preserve">ganó un promedio anual de 19.897. </w:t>
      </w:r>
      <w:r w:rsidRPr="000E08CA">
        <w:rPr>
          <w:rFonts w:ascii="Verdana" w:hAnsi="Verdana"/>
          <w:sz w:val="16"/>
          <w:szCs w:val="16"/>
          <w:lang w:val="es-CR"/>
        </w:rPr>
        <w:t>Las condecoraciones, diplomas y títulos del señor Mejía Idrovo fueron incluidos en los anexos remitidos por l</w:t>
      </w:r>
      <w:r>
        <w:rPr>
          <w:rFonts w:ascii="Verdana" w:hAnsi="Verdana"/>
          <w:sz w:val="16"/>
          <w:szCs w:val="16"/>
          <w:lang w:val="es-CR"/>
        </w:rPr>
        <w:t xml:space="preserve">a Comisión </w:t>
      </w:r>
      <w:r w:rsidRPr="000E08CA">
        <w:rPr>
          <w:rFonts w:ascii="Verdana" w:hAnsi="Verdana"/>
          <w:sz w:val="16"/>
          <w:szCs w:val="16"/>
          <w:lang w:val="es-CR"/>
        </w:rPr>
        <w:t>(anexos a la demanda, apéndice 2, tomo III, fs. 770 a 830).</w:t>
      </w:r>
      <w:r w:rsidRPr="0074711B">
        <w:rPr>
          <w:rFonts w:ascii="Verdana" w:hAnsi="Verdana"/>
          <w:sz w:val="16"/>
          <w:szCs w:val="16"/>
          <w:lang w:val="es-CR"/>
        </w:rPr>
        <w:t xml:space="preserve">  </w:t>
      </w:r>
      <w:r w:rsidRPr="0074711B">
        <w:rPr>
          <w:rFonts w:ascii="Verdana" w:hAnsi="Verdana"/>
          <w:i/>
          <w:iCs/>
          <w:sz w:val="16"/>
          <w:szCs w:val="16"/>
          <w:lang w:val="es-CR"/>
        </w:rPr>
        <w:t>Cfr.</w:t>
      </w:r>
      <w:r w:rsidRPr="0074711B">
        <w:rPr>
          <w:rFonts w:ascii="Verdana" w:hAnsi="Verdana"/>
          <w:sz w:val="16"/>
          <w:szCs w:val="16"/>
          <w:lang w:val="es-CR"/>
        </w:rPr>
        <w:t xml:space="preserve"> Reglamento de Condecoraciones Militares, Registro Oficial No. 2780 de 26 de noviembre de 1991 publicada en la Orden General Ministerial No. 226 de la misma fecha (anexos al escrito de solicitudes y argumentos, anexos 1 y 2, fs. 1519 a 1600).</w:t>
      </w:r>
      <w:r w:rsidRPr="0074711B">
        <w:rPr>
          <w:rFonts w:ascii="Verdana" w:hAnsi="Verdana"/>
          <w:sz w:val="16"/>
          <w:szCs w:val="16"/>
          <w:lang w:val="es-MX"/>
        </w:rPr>
        <w:t xml:space="preserve"> </w:t>
      </w:r>
      <w:r>
        <w:rPr>
          <w:rFonts w:ascii="Verdana" w:hAnsi="Verdana"/>
          <w:sz w:val="16"/>
          <w:szCs w:val="16"/>
          <w:lang w:val="es-MX"/>
        </w:rPr>
        <w:t xml:space="preserve">Además los representantes señalaron que </w:t>
      </w:r>
      <w:r w:rsidRPr="0074711B">
        <w:rPr>
          <w:rFonts w:ascii="Verdana" w:hAnsi="Verdana"/>
          <w:sz w:val="16"/>
          <w:szCs w:val="16"/>
          <w:lang w:val="es-MX"/>
        </w:rPr>
        <w:t>fue catedrático en la Escuela Superior de Guerra de Brasil en 1996 y una vez que regresó de su misión en Brasil sirvió la institución en varios oficios, entre ellos Jefe de Estado Mayor de la Brigada Logística “Reino de Quito” y Secretario General de la Fuerza Terrestre (</w:t>
      </w:r>
      <w:r w:rsidRPr="0074711B">
        <w:rPr>
          <w:rFonts w:ascii="Verdana" w:hAnsi="Verdana"/>
          <w:sz w:val="16"/>
          <w:szCs w:val="16"/>
          <w:lang w:val="es-ES"/>
        </w:rPr>
        <w:t xml:space="preserve">expediente excepciones preliminares, fondo, reparaciones y costas, </w:t>
      </w:r>
      <w:r>
        <w:rPr>
          <w:rFonts w:ascii="Verdana" w:hAnsi="Verdana"/>
          <w:sz w:val="16"/>
          <w:szCs w:val="16"/>
          <w:lang w:val="es-ES"/>
        </w:rPr>
        <w:t>t</w:t>
      </w:r>
      <w:r w:rsidRPr="0074711B">
        <w:rPr>
          <w:rFonts w:ascii="Verdana" w:hAnsi="Verdana"/>
          <w:sz w:val="16"/>
          <w:szCs w:val="16"/>
          <w:lang w:val="es-ES"/>
        </w:rPr>
        <w:t>omo I, fs.</w:t>
      </w:r>
      <w:r w:rsidRPr="0074711B">
        <w:rPr>
          <w:rFonts w:ascii="Verdana" w:hAnsi="Verdana"/>
          <w:b/>
          <w:bCs/>
          <w:sz w:val="16"/>
          <w:szCs w:val="16"/>
          <w:lang w:val="es-MX"/>
        </w:rPr>
        <w:t xml:space="preserve"> </w:t>
      </w:r>
      <w:r w:rsidRPr="0074711B">
        <w:rPr>
          <w:rFonts w:ascii="Verdana" w:hAnsi="Verdana"/>
          <w:bCs/>
          <w:sz w:val="16"/>
          <w:szCs w:val="16"/>
          <w:lang w:val="es-MX"/>
        </w:rPr>
        <w:t>103, 818, 827 a</w:t>
      </w:r>
      <w:r>
        <w:rPr>
          <w:rFonts w:ascii="Verdana" w:hAnsi="Verdana"/>
          <w:bCs/>
          <w:sz w:val="16"/>
          <w:szCs w:val="16"/>
          <w:lang w:val="es-MX"/>
        </w:rPr>
        <w:t>l</w:t>
      </w:r>
      <w:r w:rsidRPr="0074711B">
        <w:rPr>
          <w:rFonts w:ascii="Verdana" w:hAnsi="Verdana"/>
          <w:bCs/>
          <w:sz w:val="16"/>
          <w:szCs w:val="16"/>
          <w:lang w:val="es-MX"/>
        </w:rPr>
        <w:t xml:space="preserve"> 829).</w:t>
      </w:r>
      <w:r w:rsidRPr="0074711B">
        <w:rPr>
          <w:rFonts w:ascii="Verdana" w:hAnsi="Verdana"/>
          <w:sz w:val="16"/>
          <w:szCs w:val="16"/>
          <w:lang w:val="es-MX"/>
        </w:rPr>
        <w:t xml:space="preserve">  </w:t>
      </w:r>
    </w:p>
    <w:p w:rsidR="00D93A8F" w:rsidRPr="002513AB" w:rsidRDefault="00D93A8F" w:rsidP="00CD04D8">
      <w:pPr>
        <w:pStyle w:val="Textonotapie"/>
        <w:ind w:right="9"/>
        <w:jc w:val="both"/>
        <w:rPr>
          <w:lang w:val="es-ES"/>
        </w:rPr>
      </w:pPr>
    </w:p>
  </w:footnote>
  <w:footnote w:id="32">
    <w:p w:rsidR="00D93A8F" w:rsidRPr="0074711B" w:rsidRDefault="00D93A8F" w:rsidP="00CD04D8">
      <w:pPr>
        <w:pStyle w:val="Textonotapie"/>
        <w:ind w:right="9"/>
        <w:jc w:val="both"/>
        <w:rPr>
          <w:rFonts w:ascii="Verdana" w:hAnsi="Verdana"/>
          <w:sz w:val="16"/>
          <w:szCs w:val="16"/>
          <w:lang w:val="es-CR"/>
        </w:rPr>
      </w:pPr>
      <w:r w:rsidRPr="0074711B">
        <w:rPr>
          <w:rStyle w:val="Smbolodenotaalpie"/>
          <w:sz w:val="16"/>
          <w:szCs w:val="16"/>
        </w:rPr>
        <w:footnoteRef/>
      </w:r>
      <w:r w:rsidRPr="0074711B">
        <w:rPr>
          <w:rFonts w:ascii="Verdana" w:hAnsi="Verdana"/>
          <w:sz w:val="16"/>
          <w:szCs w:val="16"/>
          <w:lang w:val="es-CR"/>
        </w:rPr>
        <w:tab/>
      </w:r>
      <w:r w:rsidRPr="0074711B">
        <w:rPr>
          <w:rFonts w:ascii="Verdana" w:hAnsi="Verdana"/>
          <w:i/>
          <w:sz w:val="16"/>
          <w:szCs w:val="16"/>
          <w:lang w:val="es-CR"/>
        </w:rPr>
        <w:t xml:space="preserve"> </w:t>
      </w:r>
      <w:r w:rsidRPr="000E08CA">
        <w:rPr>
          <w:rFonts w:ascii="Verdana" w:hAnsi="Verdana"/>
          <w:i/>
          <w:sz w:val="16"/>
          <w:szCs w:val="16"/>
          <w:lang w:val="es-CR"/>
        </w:rPr>
        <w:t>Cfr.</w:t>
      </w:r>
      <w:r w:rsidRPr="000E08CA">
        <w:rPr>
          <w:rFonts w:ascii="Verdana" w:hAnsi="Verdana"/>
          <w:sz w:val="16"/>
          <w:szCs w:val="16"/>
          <w:lang w:val="es-CR"/>
        </w:rPr>
        <w:t xml:space="preserve"> Según fue señalado por el Estado (expediente excepciones preliminares, fondo, reparaciones y costas, escrito de contestación de la demanda, tomo 1, fs. 217 a</w:t>
      </w:r>
      <w:r>
        <w:rPr>
          <w:rFonts w:ascii="Verdana" w:hAnsi="Verdana"/>
          <w:sz w:val="16"/>
          <w:szCs w:val="16"/>
          <w:lang w:val="es-CR"/>
        </w:rPr>
        <w:t>l</w:t>
      </w:r>
      <w:r w:rsidRPr="000E08CA">
        <w:rPr>
          <w:rFonts w:ascii="Verdana" w:hAnsi="Verdana"/>
          <w:sz w:val="16"/>
          <w:szCs w:val="16"/>
          <w:lang w:val="es-CR"/>
        </w:rPr>
        <w:t xml:space="preserve"> 277).</w:t>
      </w:r>
    </w:p>
    <w:p w:rsidR="00D93A8F" w:rsidRPr="002513AB" w:rsidRDefault="00D93A8F" w:rsidP="00CD04D8">
      <w:pPr>
        <w:pStyle w:val="Textonotapie"/>
        <w:ind w:right="9"/>
        <w:jc w:val="both"/>
        <w:rPr>
          <w:lang w:val="es-ES"/>
        </w:rPr>
      </w:pPr>
    </w:p>
  </w:footnote>
  <w:footnote w:id="33">
    <w:p w:rsidR="00D93A8F" w:rsidRPr="0074711B" w:rsidRDefault="00D93A8F" w:rsidP="00E767BC">
      <w:pPr>
        <w:pStyle w:val="Textonotapie"/>
        <w:ind w:right="9"/>
        <w:jc w:val="both"/>
        <w:rPr>
          <w:rFonts w:ascii="Verdana" w:hAnsi="Verdana"/>
          <w:sz w:val="16"/>
          <w:szCs w:val="16"/>
          <w:lang w:val="es-CR"/>
        </w:rPr>
      </w:pPr>
      <w:r w:rsidRPr="006A297B">
        <w:rPr>
          <w:rStyle w:val="Smbolodenotaalpie"/>
          <w:sz w:val="16"/>
          <w:szCs w:val="16"/>
        </w:rPr>
        <w:footnoteRef/>
      </w:r>
      <w:r w:rsidRPr="0074711B">
        <w:rPr>
          <w:rFonts w:ascii="Verdana" w:hAnsi="Verdana"/>
          <w:b/>
          <w:bCs/>
          <w:sz w:val="16"/>
          <w:szCs w:val="16"/>
          <w:lang w:val="es-CR"/>
        </w:rPr>
        <w:tab/>
        <w:t xml:space="preserve"> </w:t>
      </w:r>
      <w:r w:rsidRPr="0074711B">
        <w:rPr>
          <w:rFonts w:ascii="Verdana" w:hAnsi="Verdana"/>
          <w:sz w:val="16"/>
          <w:szCs w:val="16"/>
          <w:lang w:val="es-CR"/>
        </w:rPr>
        <w:t>Nota del Consejo de Oficiales Generales, sin fecha y sin número, firmada por Roberto Moya Arellano (anexos a la demanda, anexo 1, f. 1203).</w:t>
      </w:r>
    </w:p>
    <w:p w:rsidR="00D93A8F" w:rsidRPr="002513AB" w:rsidRDefault="00D93A8F" w:rsidP="00E767BC">
      <w:pPr>
        <w:pStyle w:val="Textonotapie"/>
        <w:ind w:right="9"/>
        <w:jc w:val="both"/>
        <w:rPr>
          <w:lang w:val="es-ES"/>
        </w:rPr>
      </w:pPr>
    </w:p>
  </w:footnote>
  <w:footnote w:id="34">
    <w:p w:rsidR="00D93A8F" w:rsidRDefault="00D93A8F" w:rsidP="00CD04D8">
      <w:pPr>
        <w:pStyle w:val="Textonotapie"/>
        <w:ind w:right="9"/>
        <w:jc w:val="both"/>
        <w:rPr>
          <w:rFonts w:ascii="Verdana" w:hAnsi="Verdana"/>
          <w:sz w:val="16"/>
          <w:szCs w:val="16"/>
          <w:lang w:val="es-MX"/>
        </w:rPr>
      </w:pPr>
      <w:r w:rsidRPr="0074711B">
        <w:rPr>
          <w:rStyle w:val="Smbolodenotaalpie"/>
          <w:sz w:val="16"/>
          <w:szCs w:val="16"/>
        </w:rPr>
        <w:footnoteRef/>
      </w:r>
      <w:r>
        <w:rPr>
          <w:rFonts w:ascii="Verdana" w:hAnsi="Verdana"/>
          <w:sz w:val="16"/>
          <w:szCs w:val="16"/>
          <w:lang w:val="es-CR"/>
        </w:rPr>
        <w:tab/>
        <w:t xml:space="preserve"> Escrito</w:t>
      </w:r>
      <w:r w:rsidRPr="0074711B">
        <w:rPr>
          <w:rFonts w:ascii="Verdana" w:hAnsi="Verdana"/>
          <w:sz w:val="16"/>
          <w:szCs w:val="16"/>
          <w:lang w:val="es-CR"/>
        </w:rPr>
        <w:t xml:space="preserve"> del Coronel José A. Mejía Idrovo dirigida al Presidente del Consejo de Oficiales Generales enviada el 14 de diciembre de 2000 (anexos a la demanda, anexo 2, f. 1205).</w:t>
      </w:r>
      <w:r w:rsidRPr="0074711B">
        <w:rPr>
          <w:rFonts w:ascii="Verdana" w:hAnsi="Verdana"/>
          <w:sz w:val="16"/>
          <w:szCs w:val="16"/>
          <w:lang w:val="es-MX"/>
        </w:rPr>
        <w:t xml:space="preserve"> El Estado señaló que este trámite consta en el oficio No. 200056-25-BAL-CMDO.</w:t>
      </w:r>
    </w:p>
    <w:p w:rsidR="00D93A8F" w:rsidRPr="002513AB" w:rsidRDefault="00D93A8F" w:rsidP="00CD04D8">
      <w:pPr>
        <w:pStyle w:val="Textonotapie"/>
        <w:ind w:right="9"/>
        <w:jc w:val="both"/>
        <w:rPr>
          <w:lang w:val="es-ES"/>
        </w:rPr>
      </w:pPr>
    </w:p>
  </w:footnote>
  <w:footnote w:id="35">
    <w:p w:rsidR="00D93A8F" w:rsidRPr="0074711B" w:rsidRDefault="00D93A8F" w:rsidP="00CD04D8">
      <w:pPr>
        <w:pStyle w:val="Textonotapie"/>
        <w:ind w:right="9"/>
        <w:jc w:val="both"/>
        <w:rPr>
          <w:rFonts w:ascii="Verdana" w:hAnsi="Verdana"/>
          <w:sz w:val="16"/>
          <w:szCs w:val="16"/>
          <w:lang w:val="es-CR"/>
        </w:rPr>
      </w:pPr>
      <w:r w:rsidRPr="0074711B">
        <w:rPr>
          <w:rStyle w:val="Smbolodenotaalpie"/>
          <w:sz w:val="16"/>
          <w:szCs w:val="16"/>
        </w:rPr>
        <w:footnoteRef/>
      </w:r>
      <w:r w:rsidRPr="0074711B">
        <w:rPr>
          <w:rFonts w:ascii="Verdana" w:hAnsi="Verdana"/>
          <w:b/>
          <w:bCs/>
          <w:sz w:val="16"/>
          <w:szCs w:val="16"/>
          <w:lang w:val="es-CR"/>
        </w:rPr>
        <w:tab/>
        <w:t xml:space="preserve"> </w:t>
      </w:r>
      <w:r>
        <w:rPr>
          <w:rFonts w:ascii="Verdana" w:hAnsi="Verdana"/>
          <w:sz w:val="16"/>
          <w:szCs w:val="16"/>
          <w:lang w:val="es-CR"/>
        </w:rPr>
        <w:t>Comunicación</w:t>
      </w:r>
      <w:r w:rsidRPr="0074711B">
        <w:rPr>
          <w:rFonts w:ascii="Verdana" w:hAnsi="Verdana"/>
          <w:sz w:val="16"/>
          <w:szCs w:val="16"/>
          <w:lang w:val="es-CR"/>
        </w:rPr>
        <w:t xml:space="preserve"> del Secretario del Consejo de Oficiales Generales de la Fuerza Terrestre dirigida al Coronel José Mejía Idrovo el 26 de diciembre de 2000 (anexos a la demanda, anexo 3, f. 1210), y el memorando N-251-JEMFT del Consejo de Oficiales Generales de 26 de diciembre 2000 dirigida al señor Mejía Idrovo (</w:t>
      </w:r>
      <w:r w:rsidRPr="0074711B">
        <w:rPr>
          <w:rFonts w:ascii="Verdana" w:hAnsi="Verdana"/>
          <w:iCs/>
          <w:sz w:val="16"/>
          <w:szCs w:val="16"/>
          <w:lang w:val="es-CR"/>
        </w:rPr>
        <w:t>anexos a la demanda, apéndice 2, tomo III, f. 838</w:t>
      </w:r>
      <w:r w:rsidRPr="0074711B">
        <w:rPr>
          <w:rFonts w:ascii="Verdana" w:hAnsi="Verdana"/>
          <w:sz w:val="16"/>
          <w:szCs w:val="16"/>
          <w:lang w:val="es-CR"/>
        </w:rPr>
        <w:t xml:space="preserve">). </w:t>
      </w:r>
    </w:p>
    <w:p w:rsidR="00D93A8F" w:rsidRPr="002513AB" w:rsidRDefault="00D93A8F" w:rsidP="00CD04D8">
      <w:pPr>
        <w:pStyle w:val="Textonotapie"/>
        <w:ind w:right="9"/>
        <w:jc w:val="both"/>
        <w:rPr>
          <w:lang w:val="es-ES"/>
        </w:rPr>
      </w:pPr>
    </w:p>
  </w:footnote>
  <w:footnote w:id="36">
    <w:p w:rsidR="00D93A8F" w:rsidRPr="0074711B" w:rsidRDefault="00D93A8F" w:rsidP="00CD04D8">
      <w:pPr>
        <w:pStyle w:val="Textonotapie"/>
        <w:ind w:right="9"/>
        <w:jc w:val="both"/>
        <w:rPr>
          <w:rFonts w:ascii="Verdana" w:hAnsi="Verdana"/>
          <w:sz w:val="16"/>
          <w:szCs w:val="16"/>
          <w:lang w:val="es-CR"/>
        </w:rPr>
      </w:pPr>
      <w:r w:rsidRPr="0074711B">
        <w:rPr>
          <w:rStyle w:val="Smbolodenotaalpie"/>
          <w:sz w:val="16"/>
          <w:szCs w:val="16"/>
        </w:rPr>
        <w:footnoteRef/>
      </w:r>
      <w:r w:rsidRPr="0074711B">
        <w:rPr>
          <w:rFonts w:ascii="Verdana" w:hAnsi="Verdana"/>
          <w:sz w:val="16"/>
          <w:szCs w:val="16"/>
          <w:lang w:val="es-CR"/>
        </w:rPr>
        <w:tab/>
        <w:t xml:space="preserve"> Decreto No.</w:t>
      </w:r>
      <w:r>
        <w:rPr>
          <w:rFonts w:ascii="Verdana" w:hAnsi="Verdana"/>
          <w:sz w:val="16"/>
          <w:szCs w:val="16"/>
          <w:lang w:val="es-CR"/>
        </w:rPr>
        <w:t xml:space="preserve"> </w:t>
      </w:r>
      <w:r w:rsidRPr="0074711B">
        <w:rPr>
          <w:rFonts w:ascii="Verdana" w:hAnsi="Verdana"/>
          <w:sz w:val="16"/>
          <w:szCs w:val="16"/>
          <w:lang w:val="es-CR"/>
        </w:rPr>
        <w:t>1185 firmado por Gustavo Noboa Bejarano, Presidente Constitucional de la República del Ecuador, el 30 de enero de 2001 (anexos a la demanda, anexo 4, f. 1212).</w:t>
      </w:r>
    </w:p>
    <w:p w:rsidR="00D93A8F" w:rsidRPr="002513AB" w:rsidRDefault="00D93A8F" w:rsidP="00CD04D8">
      <w:pPr>
        <w:pStyle w:val="Textonotapie"/>
        <w:ind w:right="9"/>
        <w:jc w:val="both"/>
        <w:rPr>
          <w:lang w:val="es-ES"/>
        </w:rPr>
      </w:pPr>
    </w:p>
  </w:footnote>
  <w:footnote w:id="37">
    <w:p w:rsidR="00D93A8F" w:rsidRPr="0074711B" w:rsidRDefault="00D93A8F" w:rsidP="00CD04D8">
      <w:pPr>
        <w:pStyle w:val="Textonotapie"/>
        <w:ind w:right="9"/>
        <w:jc w:val="both"/>
        <w:rPr>
          <w:rFonts w:ascii="Verdana" w:hAnsi="Verdana"/>
          <w:sz w:val="16"/>
          <w:szCs w:val="16"/>
          <w:lang w:val="es-CR"/>
        </w:rPr>
      </w:pPr>
      <w:r w:rsidRPr="0074711B">
        <w:rPr>
          <w:rStyle w:val="Smbolodenotaalpie"/>
          <w:sz w:val="16"/>
          <w:szCs w:val="16"/>
        </w:rPr>
        <w:footnoteRef/>
      </w:r>
      <w:r w:rsidRPr="0074711B">
        <w:rPr>
          <w:rFonts w:ascii="Verdana" w:hAnsi="Verdana"/>
          <w:sz w:val="16"/>
          <w:szCs w:val="16"/>
          <w:lang w:val="es-CR"/>
        </w:rPr>
        <w:tab/>
      </w:r>
      <w:r w:rsidRPr="000E08CA">
        <w:rPr>
          <w:rFonts w:ascii="Verdana" w:hAnsi="Verdana"/>
          <w:sz w:val="16"/>
          <w:szCs w:val="16"/>
          <w:lang w:val="es-CR"/>
        </w:rPr>
        <w:t>En lo conducente señala que: “El militar será puesto en disponibilidad, por una de las siguientes causas […] (j) Por las demás causas establecidas en la presente Ley”.</w:t>
      </w:r>
    </w:p>
    <w:p w:rsidR="00D93A8F" w:rsidRPr="00854CE8" w:rsidRDefault="00D93A8F" w:rsidP="00CD04D8">
      <w:pPr>
        <w:pStyle w:val="Textonotapie"/>
        <w:ind w:right="9"/>
        <w:jc w:val="both"/>
        <w:rPr>
          <w:lang w:val="es-ES"/>
        </w:rPr>
      </w:pPr>
    </w:p>
  </w:footnote>
  <w:footnote w:id="38">
    <w:p w:rsidR="00D93A8F" w:rsidRPr="0074711B" w:rsidRDefault="00D93A8F" w:rsidP="00CD04D8">
      <w:pPr>
        <w:pStyle w:val="Textonotapie"/>
        <w:ind w:right="9"/>
        <w:jc w:val="both"/>
        <w:rPr>
          <w:rFonts w:ascii="Verdana" w:hAnsi="Verdana"/>
          <w:sz w:val="16"/>
          <w:szCs w:val="16"/>
          <w:lang w:val="es-CR"/>
        </w:rPr>
      </w:pPr>
      <w:r w:rsidRPr="0074711B">
        <w:rPr>
          <w:rStyle w:val="Smbolodenotaalpie"/>
          <w:sz w:val="16"/>
          <w:szCs w:val="16"/>
        </w:rPr>
        <w:footnoteRef/>
      </w:r>
      <w:r w:rsidRPr="0074711B">
        <w:rPr>
          <w:rFonts w:ascii="Verdana" w:hAnsi="Verdana"/>
          <w:sz w:val="16"/>
          <w:szCs w:val="16"/>
          <w:lang w:val="es-CR"/>
        </w:rPr>
        <w:tab/>
        <w:t xml:space="preserve"> Decreto No. 1680 firmado por Gustavo Noboa Bejarano, Presidente Constitucional de la República del Ecuador, el 18 de julio de 2001 (anexos a la demanda, anexo 6, f. 1250).  </w:t>
      </w:r>
      <w:r w:rsidRPr="0074711B">
        <w:rPr>
          <w:rFonts w:ascii="Verdana" w:hAnsi="Verdana"/>
          <w:i/>
          <w:iCs/>
          <w:sz w:val="16"/>
          <w:szCs w:val="16"/>
          <w:lang w:val="es-CR"/>
        </w:rPr>
        <w:t>Cfr.</w:t>
      </w:r>
      <w:r w:rsidRPr="0074711B">
        <w:rPr>
          <w:rFonts w:ascii="Verdana" w:hAnsi="Verdana"/>
          <w:sz w:val="16"/>
          <w:szCs w:val="16"/>
          <w:lang w:val="es-CR"/>
        </w:rPr>
        <w:t xml:space="preserve"> Ley de Personal de las Fuerzas Armadas, Ley No. 118. RO/Sup 660 de 10 de abril de 1991 (anexos a la demanda, anexo 5, f. 1225).</w:t>
      </w:r>
    </w:p>
    <w:p w:rsidR="00D93A8F" w:rsidRPr="002513AB" w:rsidRDefault="00D93A8F" w:rsidP="00CD04D8">
      <w:pPr>
        <w:pStyle w:val="Textonotapie"/>
        <w:ind w:right="9"/>
        <w:jc w:val="both"/>
        <w:rPr>
          <w:lang w:val="es-ES"/>
        </w:rPr>
      </w:pPr>
    </w:p>
  </w:footnote>
  <w:footnote w:id="39">
    <w:p w:rsidR="00D93A8F" w:rsidRPr="0074711B" w:rsidRDefault="00D93A8F" w:rsidP="0083331D">
      <w:pPr>
        <w:pStyle w:val="Textonotapie"/>
        <w:jc w:val="both"/>
        <w:rPr>
          <w:rFonts w:ascii="Verdana" w:hAnsi="Verdana"/>
          <w:sz w:val="16"/>
          <w:szCs w:val="16"/>
          <w:lang w:val="es-CR"/>
        </w:rPr>
      </w:pPr>
      <w:r w:rsidRPr="0074711B">
        <w:rPr>
          <w:rStyle w:val="Refdenotaalpie"/>
          <w:rFonts w:ascii="Verdana" w:hAnsi="Verdana"/>
          <w:sz w:val="16"/>
          <w:szCs w:val="16"/>
        </w:rPr>
        <w:footnoteRef/>
      </w:r>
      <w:r w:rsidRPr="0074711B">
        <w:rPr>
          <w:rFonts w:ascii="Verdana" w:hAnsi="Verdana"/>
          <w:sz w:val="16"/>
          <w:szCs w:val="16"/>
          <w:lang w:val="es-CR"/>
        </w:rPr>
        <w:t xml:space="preserve"> </w:t>
      </w:r>
      <w:r w:rsidRPr="0074711B">
        <w:rPr>
          <w:rFonts w:ascii="Verdana" w:hAnsi="Verdana"/>
          <w:sz w:val="16"/>
          <w:szCs w:val="16"/>
          <w:lang w:val="es-CR"/>
        </w:rPr>
        <w:tab/>
        <w:t>Recurso de amparo constitucional presentado por el señor Mejía Idrovo ante el Tribunal Distrital No. 1 de lo Contencioso Administrativo –sin fecha- (anexos al escrito de solicitudes y argumentos, anexo 14, f. 1632).</w:t>
      </w:r>
    </w:p>
    <w:p w:rsidR="00D93A8F" w:rsidRPr="002513AB" w:rsidRDefault="00D93A8F" w:rsidP="0083331D">
      <w:pPr>
        <w:pStyle w:val="Textonotapie"/>
        <w:jc w:val="both"/>
        <w:rPr>
          <w:lang w:val="es-ES"/>
        </w:rPr>
      </w:pPr>
    </w:p>
  </w:footnote>
  <w:footnote w:id="40">
    <w:p w:rsidR="00D93A8F" w:rsidRPr="0074711B" w:rsidRDefault="00D93A8F" w:rsidP="00DE34FF">
      <w:pPr>
        <w:pStyle w:val="Textonotapie"/>
        <w:ind w:right="9"/>
        <w:jc w:val="both"/>
        <w:rPr>
          <w:rFonts w:ascii="Verdana" w:hAnsi="Verdana"/>
          <w:sz w:val="16"/>
          <w:szCs w:val="16"/>
          <w:lang w:val="es-ES"/>
        </w:rPr>
      </w:pPr>
      <w:r w:rsidRPr="0074711B">
        <w:rPr>
          <w:rStyle w:val="Refdenotaalpie"/>
          <w:rFonts w:ascii="Verdana" w:hAnsi="Verdana"/>
          <w:sz w:val="16"/>
          <w:szCs w:val="16"/>
        </w:rPr>
        <w:footnoteRef/>
      </w:r>
      <w:r w:rsidRPr="0074711B">
        <w:rPr>
          <w:rFonts w:ascii="Verdana" w:hAnsi="Verdana"/>
          <w:sz w:val="16"/>
          <w:szCs w:val="16"/>
          <w:lang w:val="es-CR"/>
        </w:rPr>
        <w:t xml:space="preserve"> </w:t>
      </w:r>
      <w:r w:rsidRPr="0074711B">
        <w:rPr>
          <w:rFonts w:ascii="Verdana" w:hAnsi="Verdana"/>
          <w:sz w:val="16"/>
          <w:szCs w:val="16"/>
          <w:lang w:val="es-ES"/>
        </w:rPr>
        <w:t xml:space="preserve"> </w:t>
      </w:r>
      <w:r w:rsidRPr="0074711B">
        <w:rPr>
          <w:rFonts w:ascii="Verdana" w:hAnsi="Verdana"/>
          <w:sz w:val="16"/>
          <w:szCs w:val="16"/>
          <w:lang w:val="es-ES"/>
        </w:rPr>
        <w:tab/>
      </w:r>
      <w:r w:rsidRPr="0074711B">
        <w:rPr>
          <w:rFonts w:ascii="Verdana" w:hAnsi="Verdana"/>
          <w:i/>
          <w:sz w:val="16"/>
          <w:szCs w:val="16"/>
          <w:lang w:val="es-ES"/>
        </w:rPr>
        <w:t>Cfr.</w:t>
      </w:r>
      <w:r w:rsidRPr="0074711B">
        <w:rPr>
          <w:rFonts w:ascii="Verdana" w:hAnsi="Verdana"/>
          <w:sz w:val="16"/>
          <w:szCs w:val="16"/>
          <w:lang w:val="es-ES"/>
        </w:rPr>
        <w:t xml:space="preserve"> Sentencia Tribunal Distrital No. 1 de lo </w:t>
      </w:r>
      <w:r w:rsidRPr="0074711B">
        <w:rPr>
          <w:rFonts w:ascii="Verdana" w:hAnsi="Verdana"/>
          <w:sz w:val="16"/>
          <w:szCs w:val="16"/>
          <w:lang w:val="es-MX"/>
        </w:rPr>
        <w:t xml:space="preserve">Contencioso Administrativo Segunda Sala de 28 de junio de 2001 (anexos al escrito de solicitudes y argumentos, </w:t>
      </w:r>
      <w:r w:rsidRPr="0074711B">
        <w:rPr>
          <w:rFonts w:ascii="Verdana" w:hAnsi="Verdana"/>
          <w:sz w:val="16"/>
          <w:szCs w:val="16"/>
          <w:lang w:val="es-ES"/>
        </w:rPr>
        <w:t>anexo 15, f. 1636).</w:t>
      </w:r>
    </w:p>
    <w:p w:rsidR="00D93A8F" w:rsidRPr="002513AB" w:rsidRDefault="00D93A8F" w:rsidP="00DE34FF">
      <w:pPr>
        <w:pStyle w:val="Textonotapie"/>
        <w:ind w:right="9"/>
        <w:jc w:val="both"/>
        <w:rPr>
          <w:lang w:val="es-ES"/>
        </w:rPr>
      </w:pPr>
    </w:p>
  </w:footnote>
  <w:footnote w:id="41">
    <w:p w:rsidR="00D93A8F" w:rsidRPr="0074711B" w:rsidRDefault="00D93A8F" w:rsidP="00DE34FF">
      <w:pPr>
        <w:pStyle w:val="Textonotapie"/>
        <w:ind w:right="9"/>
        <w:jc w:val="both"/>
        <w:rPr>
          <w:rFonts w:ascii="Verdana" w:hAnsi="Verdana"/>
          <w:sz w:val="16"/>
          <w:szCs w:val="16"/>
          <w:lang w:val="es-CR"/>
        </w:rPr>
      </w:pPr>
      <w:r w:rsidRPr="0074711B">
        <w:rPr>
          <w:rStyle w:val="Refdenotaalpie"/>
          <w:rFonts w:ascii="Verdana" w:hAnsi="Verdana"/>
          <w:sz w:val="16"/>
          <w:szCs w:val="16"/>
        </w:rPr>
        <w:footnoteRef/>
      </w:r>
      <w:r w:rsidRPr="0074711B">
        <w:rPr>
          <w:rFonts w:ascii="Verdana" w:hAnsi="Verdana"/>
          <w:sz w:val="16"/>
          <w:szCs w:val="16"/>
          <w:lang w:val="es-CR"/>
        </w:rPr>
        <w:t xml:space="preserve"> </w:t>
      </w:r>
      <w:r w:rsidRPr="0074711B">
        <w:rPr>
          <w:rFonts w:ascii="Verdana" w:hAnsi="Verdana"/>
          <w:sz w:val="16"/>
          <w:szCs w:val="16"/>
          <w:lang w:val="es-CR"/>
        </w:rPr>
        <w:tab/>
      </w:r>
      <w:r w:rsidRPr="0074711B">
        <w:rPr>
          <w:rFonts w:ascii="Verdana" w:hAnsi="Verdana"/>
          <w:i/>
          <w:sz w:val="16"/>
          <w:szCs w:val="16"/>
          <w:lang w:val="es-CR"/>
        </w:rPr>
        <w:t>Cfr.</w:t>
      </w:r>
      <w:r w:rsidRPr="0074711B">
        <w:rPr>
          <w:rFonts w:ascii="Verdana" w:hAnsi="Verdana"/>
          <w:sz w:val="16"/>
          <w:szCs w:val="16"/>
          <w:lang w:val="es-CR"/>
        </w:rPr>
        <w:t xml:space="preserve"> Sentencia No. 470-RA-01-I.S. de la Primera Sala del Tribunal Constitucional de 19 de octubre de 2001 </w:t>
      </w:r>
      <w:r w:rsidRPr="0074711B">
        <w:rPr>
          <w:rFonts w:ascii="Verdana" w:hAnsi="Verdana"/>
          <w:sz w:val="16"/>
          <w:szCs w:val="16"/>
          <w:lang w:val="es-MX"/>
        </w:rPr>
        <w:t xml:space="preserve">(anexos al escrito de solicitudes y argumentos, </w:t>
      </w:r>
      <w:r w:rsidRPr="0074711B">
        <w:rPr>
          <w:rFonts w:ascii="Verdana" w:hAnsi="Verdana"/>
          <w:sz w:val="16"/>
          <w:szCs w:val="16"/>
          <w:lang w:val="es-CR"/>
        </w:rPr>
        <w:t>anexo 16, f. 1641).</w:t>
      </w:r>
    </w:p>
    <w:p w:rsidR="00D93A8F" w:rsidRPr="002513AB" w:rsidRDefault="00D93A8F" w:rsidP="00DE34FF">
      <w:pPr>
        <w:pStyle w:val="Textonotapie"/>
        <w:ind w:right="9"/>
        <w:jc w:val="both"/>
        <w:rPr>
          <w:lang w:val="es-ES"/>
        </w:rPr>
      </w:pPr>
    </w:p>
  </w:footnote>
  <w:footnote w:id="42">
    <w:p w:rsidR="00D93A8F" w:rsidRPr="0074711B" w:rsidRDefault="00D93A8F" w:rsidP="00DE34FF">
      <w:pPr>
        <w:pStyle w:val="Textonotapie"/>
        <w:jc w:val="both"/>
        <w:rPr>
          <w:rFonts w:ascii="Verdana" w:hAnsi="Verdana"/>
          <w:sz w:val="16"/>
          <w:szCs w:val="16"/>
          <w:lang w:val="es-CR"/>
        </w:rPr>
      </w:pPr>
      <w:r w:rsidRPr="0074711B">
        <w:rPr>
          <w:rStyle w:val="Refdenotaalpie"/>
          <w:rFonts w:ascii="Verdana" w:hAnsi="Verdana"/>
          <w:sz w:val="16"/>
          <w:szCs w:val="16"/>
        </w:rPr>
        <w:footnoteRef/>
      </w:r>
      <w:r w:rsidRPr="0074711B">
        <w:rPr>
          <w:rFonts w:ascii="Verdana" w:hAnsi="Verdana"/>
          <w:sz w:val="16"/>
          <w:szCs w:val="16"/>
          <w:lang w:val="es-CR"/>
        </w:rPr>
        <w:t xml:space="preserve"> </w:t>
      </w:r>
      <w:r w:rsidRPr="0074711B">
        <w:rPr>
          <w:rFonts w:ascii="Verdana" w:hAnsi="Verdana"/>
          <w:sz w:val="16"/>
          <w:szCs w:val="16"/>
          <w:lang w:val="es-CR"/>
        </w:rPr>
        <w:tab/>
      </w:r>
      <w:r w:rsidRPr="0074711B">
        <w:rPr>
          <w:rFonts w:ascii="Verdana" w:hAnsi="Verdana"/>
          <w:i/>
          <w:iCs/>
          <w:sz w:val="16"/>
          <w:szCs w:val="16"/>
          <w:lang w:val="es-CR"/>
        </w:rPr>
        <w:t>Cfr.</w:t>
      </w:r>
      <w:r w:rsidRPr="0074711B">
        <w:rPr>
          <w:rFonts w:ascii="Verdana" w:hAnsi="Verdana"/>
          <w:sz w:val="16"/>
          <w:szCs w:val="16"/>
          <w:lang w:val="es-CR"/>
        </w:rPr>
        <w:t xml:space="preserve"> Oficio No. 04121 del Defensor del Pueblo dirigido al Presidente</w:t>
      </w:r>
      <w:r>
        <w:rPr>
          <w:rFonts w:ascii="Verdana" w:hAnsi="Verdana"/>
          <w:sz w:val="16"/>
          <w:szCs w:val="16"/>
          <w:lang w:val="es-CR"/>
        </w:rPr>
        <w:t xml:space="preserve"> del Tribunal Constitucional de </w:t>
      </w:r>
      <w:r w:rsidRPr="006D0813">
        <w:rPr>
          <w:rFonts w:ascii="Verdana" w:hAnsi="Verdana"/>
          <w:sz w:val="16"/>
          <w:szCs w:val="16"/>
          <w:lang w:val="es-CR"/>
        </w:rPr>
        <w:t>4 de octubre de 2001 (</w:t>
      </w:r>
      <w:r w:rsidRPr="0074711B">
        <w:rPr>
          <w:rFonts w:ascii="Verdana" w:hAnsi="Verdana"/>
          <w:sz w:val="16"/>
          <w:szCs w:val="16"/>
          <w:lang w:val="es-CR"/>
        </w:rPr>
        <w:t>anexos a la demanda, anexo 7, fs. 1252 y 1254). En dicho oficio remite un informe de procedencia emitido por el Defensor del Pueblo para demandar la inconstitucionalidad de los Decretos Ejecutivos  Nos. 1185 y 1680 interpuesta por el señor Mejía Idrovo.</w:t>
      </w:r>
    </w:p>
    <w:p w:rsidR="00D93A8F" w:rsidRPr="002513AB" w:rsidRDefault="00D93A8F" w:rsidP="00DE34FF">
      <w:pPr>
        <w:pStyle w:val="Textonotapie"/>
        <w:jc w:val="both"/>
        <w:rPr>
          <w:lang w:val="es-ES"/>
        </w:rPr>
      </w:pPr>
    </w:p>
  </w:footnote>
  <w:footnote w:id="43">
    <w:p w:rsidR="00D93A8F" w:rsidRPr="002513AB" w:rsidRDefault="00D93A8F">
      <w:pPr>
        <w:pStyle w:val="Textonotapie"/>
        <w:jc w:val="both"/>
        <w:rPr>
          <w:lang w:val="es-ES"/>
        </w:rPr>
      </w:pPr>
      <w:r w:rsidRPr="0074711B">
        <w:rPr>
          <w:rStyle w:val="Refdenotaalpie"/>
          <w:rFonts w:ascii="Verdana" w:hAnsi="Verdana"/>
          <w:sz w:val="16"/>
          <w:szCs w:val="16"/>
        </w:rPr>
        <w:footnoteRef/>
      </w:r>
      <w:r w:rsidRPr="0074711B">
        <w:rPr>
          <w:rFonts w:ascii="Verdana" w:hAnsi="Verdana"/>
          <w:sz w:val="16"/>
          <w:szCs w:val="16"/>
          <w:lang w:val="es-CR"/>
        </w:rPr>
        <w:t xml:space="preserve"> </w:t>
      </w:r>
      <w:r w:rsidRPr="0074711B">
        <w:rPr>
          <w:rFonts w:ascii="Verdana" w:hAnsi="Verdana"/>
          <w:sz w:val="16"/>
          <w:szCs w:val="16"/>
          <w:lang w:val="es-CR"/>
        </w:rPr>
        <w:tab/>
      </w:r>
      <w:r w:rsidRPr="0074711B">
        <w:rPr>
          <w:rFonts w:ascii="Verdana" w:hAnsi="Verdana"/>
          <w:i/>
          <w:iCs/>
          <w:sz w:val="16"/>
          <w:szCs w:val="16"/>
          <w:lang w:val="es-CR"/>
        </w:rPr>
        <w:t>Cfr.</w:t>
      </w:r>
      <w:r w:rsidRPr="0074711B">
        <w:rPr>
          <w:rFonts w:ascii="Verdana" w:hAnsi="Verdana"/>
          <w:sz w:val="16"/>
          <w:szCs w:val="16"/>
          <w:lang w:val="es-CR"/>
        </w:rPr>
        <w:t xml:space="preserve"> </w:t>
      </w:r>
      <w:r w:rsidRPr="0074711B">
        <w:rPr>
          <w:rFonts w:ascii="Verdana" w:hAnsi="Verdana"/>
          <w:sz w:val="16"/>
          <w:szCs w:val="16"/>
          <w:lang w:val="es-ES"/>
        </w:rPr>
        <w:t>Acción de Inconstitucionalidad ante el Tribunal Constituciona</w:t>
      </w:r>
      <w:r>
        <w:rPr>
          <w:rFonts w:ascii="Verdana" w:hAnsi="Verdana"/>
          <w:sz w:val="16"/>
          <w:szCs w:val="16"/>
          <w:lang w:val="es-ES"/>
        </w:rPr>
        <w:t xml:space="preserve">l </w:t>
      </w:r>
      <w:r w:rsidRPr="0074711B">
        <w:rPr>
          <w:rFonts w:ascii="Verdana" w:hAnsi="Verdana"/>
          <w:sz w:val="16"/>
          <w:szCs w:val="16"/>
          <w:lang w:val="es-ES"/>
        </w:rPr>
        <w:t>(anexos al escrito de solicitudes y argumentos, anexo 17, f. 1646).</w:t>
      </w:r>
    </w:p>
  </w:footnote>
  <w:footnote w:id="44">
    <w:p w:rsidR="00D93A8F" w:rsidRPr="0074711B" w:rsidRDefault="00D93A8F" w:rsidP="00CD04D8">
      <w:pPr>
        <w:pStyle w:val="Textonotapie"/>
        <w:ind w:right="9"/>
        <w:jc w:val="both"/>
        <w:rPr>
          <w:rFonts w:ascii="Verdana" w:hAnsi="Verdana"/>
          <w:sz w:val="16"/>
          <w:szCs w:val="16"/>
          <w:lang w:val="es-MX"/>
        </w:rPr>
      </w:pPr>
      <w:r w:rsidRPr="0074711B">
        <w:rPr>
          <w:rStyle w:val="Refdenotaalpie"/>
          <w:rFonts w:ascii="Verdana" w:hAnsi="Verdana"/>
          <w:sz w:val="16"/>
          <w:szCs w:val="16"/>
        </w:rPr>
        <w:footnoteRef/>
      </w:r>
      <w:r w:rsidRPr="0074711B">
        <w:rPr>
          <w:rFonts w:ascii="Verdana" w:hAnsi="Verdana"/>
          <w:sz w:val="16"/>
          <w:szCs w:val="16"/>
          <w:lang w:val="es-CR"/>
        </w:rPr>
        <w:t xml:space="preserve"> </w:t>
      </w:r>
      <w:r w:rsidRPr="0074711B">
        <w:rPr>
          <w:rFonts w:ascii="Verdana" w:hAnsi="Verdana"/>
          <w:sz w:val="16"/>
          <w:szCs w:val="16"/>
          <w:lang w:val="es-CR"/>
        </w:rPr>
        <w:tab/>
      </w:r>
      <w:r w:rsidRPr="0074711B">
        <w:rPr>
          <w:rFonts w:ascii="Verdana" w:hAnsi="Verdana"/>
          <w:i/>
          <w:sz w:val="16"/>
          <w:szCs w:val="16"/>
          <w:lang w:val="es-CR"/>
        </w:rPr>
        <w:t>Cfr.</w:t>
      </w:r>
      <w:r w:rsidRPr="0074711B">
        <w:rPr>
          <w:rFonts w:ascii="Verdana" w:hAnsi="Verdana"/>
          <w:sz w:val="16"/>
          <w:szCs w:val="16"/>
          <w:lang w:val="es-CR"/>
        </w:rPr>
        <w:t xml:space="preserve"> Sentencia del Tribunal Constitucional</w:t>
      </w:r>
      <w:r w:rsidRPr="0074711B">
        <w:rPr>
          <w:rFonts w:ascii="Verdana" w:hAnsi="Verdana"/>
          <w:sz w:val="16"/>
          <w:szCs w:val="16"/>
          <w:vertAlign w:val="superscript"/>
          <w:lang w:val="es-MX"/>
        </w:rPr>
        <w:t xml:space="preserve"> </w:t>
      </w:r>
      <w:r w:rsidRPr="0074711B">
        <w:rPr>
          <w:rFonts w:ascii="Verdana" w:hAnsi="Verdana"/>
          <w:sz w:val="16"/>
          <w:szCs w:val="16"/>
          <w:lang w:val="es-CR"/>
        </w:rPr>
        <w:t xml:space="preserve">de </w:t>
      </w:r>
      <w:r>
        <w:rPr>
          <w:rFonts w:ascii="Verdana" w:hAnsi="Verdana"/>
          <w:sz w:val="16"/>
          <w:szCs w:val="16"/>
          <w:lang w:val="es-CR"/>
        </w:rPr>
        <w:t>30</w:t>
      </w:r>
      <w:r w:rsidRPr="0074711B">
        <w:rPr>
          <w:rFonts w:ascii="Verdana" w:hAnsi="Verdana"/>
          <w:sz w:val="16"/>
          <w:szCs w:val="16"/>
          <w:lang w:val="es-CR"/>
        </w:rPr>
        <w:t xml:space="preserve"> de </w:t>
      </w:r>
      <w:r>
        <w:rPr>
          <w:rFonts w:ascii="Verdana" w:hAnsi="Verdana"/>
          <w:sz w:val="16"/>
          <w:szCs w:val="16"/>
          <w:lang w:val="es-CR"/>
        </w:rPr>
        <w:t>mayo</w:t>
      </w:r>
      <w:r w:rsidRPr="0074711B">
        <w:rPr>
          <w:rFonts w:ascii="Verdana" w:hAnsi="Verdana"/>
          <w:sz w:val="16"/>
          <w:szCs w:val="16"/>
          <w:lang w:val="es-CR"/>
        </w:rPr>
        <w:t xml:space="preserve"> de 2002 </w:t>
      </w:r>
      <w:r w:rsidRPr="0074711B">
        <w:rPr>
          <w:rFonts w:ascii="Verdana" w:hAnsi="Verdana"/>
          <w:sz w:val="16"/>
          <w:szCs w:val="16"/>
          <w:lang w:val="es-MX"/>
        </w:rPr>
        <w:t>(anexos a la demanda</w:t>
      </w:r>
      <w:r>
        <w:rPr>
          <w:rFonts w:ascii="Verdana" w:hAnsi="Verdana"/>
          <w:sz w:val="16"/>
          <w:szCs w:val="16"/>
          <w:lang w:val="es-MX"/>
        </w:rPr>
        <w:t xml:space="preserve">, anexo 13, </w:t>
      </w:r>
      <w:r w:rsidRPr="0074711B">
        <w:rPr>
          <w:rFonts w:ascii="Verdana" w:hAnsi="Verdana"/>
          <w:sz w:val="16"/>
          <w:szCs w:val="16"/>
          <w:lang w:val="es-MX"/>
        </w:rPr>
        <w:t>f. 1332).</w:t>
      </w:r>
    </w:p>
    <w:p w:rsidR="00D93A8F" w:rsidRPr="002513AB" w:rsidRDefault="00D93A8F" w:rsidP="00CD04D8">
      <w:pPr>
        <w:pStyle w:val="Textonotapie"/>
        <w:ind w:right="9"/>
        <w:jc w:val="both"/>
        <w:rPr>
          <w:lang w:val="es-ES"/>
        </w:rPr>
      </w:pPr>
    </w:p>
  </w:footnote>
  <w:footnote w:id="45">
    <w:p w:rsidR="00D93A8F" w:rsidRPr="0074711B" w:rsidRDefault="00D93A8F" w:rsidP="00CD04D8">
      <w:pPr>
        <w:pStyle w:val="Textonotapie"/>
        <w:ind w:right="9"/>
        <w:jc w:val="both"/>
        <w:rPr>
          <w:rFonts w:ascii="Verdana" w:hAnsi="Verdana"/>
          <w:sz w:val="16"/>
          <w:szCs w:val="16"/>
          <w:lang w:val="es-CR"/>
        </w:rPr>
      </w:pPr>
      <w:r w:rsidRPr="0074711B">
        <w:rPr>
          <w:rStyle w:val="Smbolodenotaalpie"/>
          <w:sz w:val="16"/>
          <w:szCs w:val="16"/>
        </w:rPr>
        <w:footnoteRef/>
      </w:r>
      <w:r w:rsidRPr="0074711B">
        <w:rPr>
          <w:rFonts w:ascii="Verdana" w:hAnsi="Verdana"/>
          <w:sz w:val="16"/>
          <w:szCs w:val="16"/>
          <w:lang w:val="es-CR"/>
        </w:rPr>
        <w:tab/>
      </w:r>
      <w:r>
        <w:rPr>
          <w:rFonts w:ascii="Verdana" w:hAnsi="Verdana"/>
          <w:sz w:val="16"/>
          <w:szCs w:val="16"/>
          <w:lang w:val="es-CR"/>
        </w:rPr>
        <w:t xml:space="preserve">Sentencia </w:t>
      </w:r>
      <w:r w:rsidRPr="0074711B">
        <w:rPr>
          <w:rFonts w:ascii="Verdana" w:hAnsi="Verdana"/>
          <w:sz w:val="16"/>
          <w:szCs w:val="16"/>
          <w:lang w:val="es-CR"/>
        </w:rPr>
        <w:t>No. 039-2001-TC del Tribunal Constitucional de 12 de marzo de 2002 (a</w:t>
      </w:r>
      <w:r>
        <w:rPr>
          <w:rFonts w:ascii="Verdana" w:hAnsi="Verdana"/>
          <w:sz w:val="16"/>
          <w:szCs w:val="16"/>
          <w:lang w:val="es-CR"/>
        </w:rPr>
        <w:t>nexos</w:t>
      </w:r>
      <w:r w:rsidRPr="0074711B">
        <w:rPr>
          <w:rFonts w:ascii="Verdana" w:hAnsi="Verdana"/>
          <w:sz w:val="16"/>
          <w:szCs w:val="16"/>
          <w:lang w:val="es-CR"/>
        </w:rPr>
        <w:t xml:space="preserve"> a la demanda, apéndice 2, tomo III, fs. 1052 a 1062). </w:t>
      </w:r>
    </w:p>
    <w:p w:rsidR="00D93A8F" w:rsidRPr="002513AB" w:rsidRDefault="00D93A8F" w:rsidP="00CD04D8">
      <w:pPr>
        <w:pStyle w:val="Textonotapie"/>
        <w:ind w:right="9"/>
        <w:jc w:val="both"/>
        <w:rPr>
          <w:lang w:val="es-ES"/>
        </w:rPr>
      </w:pPr>
    </w:p>
  </w:footnote>
  <w:footnote w:id="46">
    <w:p w:rsidR="00D93A8F" w:rsidRPr="0074711B" w:rsidRDefault="00D93A8F" w:rsidP="00CD04D8">
      <w:pPr>
        <w:pStyle w:val="Textonotapie"/>
        <w:ind w:right="9"/>
        <w:jc w:val="both"/>
        <w:rPr>
          <w:rFonts w:ascii="Verdana" w:hAnsi="Verdana"/>
          <w:sz w:val="16"/>
          <w:szCs w:val="16"/>
          <w:lang w:val="es-CR"/>
        </w:rPr>
      </w:pPr>
      <w:r w:rsidRPr="0074711B">
        <w:rPr>
          <w:rStyle w:val="Smbolodenotaalpie"/>
          <w:sz w:val="16"/>
          <w:szCs w:val="16"/>
        </w:rPr>
        <w:footnoteRef/>
      </w:r>
      <w:r w:rsidRPr="0074711B">
        <w:rPr>
          <w:rFonts w:ascii="Verdana" w:hAnsi="Verdana"/>
          <w:sz w:val="16"/>
          <w:szCs w:val="16"/>
          <w:lang w:val="es-ES"/>
        </w:rPr>
        <w:tab/>
      </w:r>
      <w:r w:rsidRPr="00DA21CC">
        <w:rPr>
          <w:rFonts w:ascii="Verdana" w:hAnsi="Verdana"/>
          <w:i/>
          <w:sz w:val="16"/>
          <w:szCs w:val="16"/>
          <w:lang w:val="es-ES"/>
        </w:rPr>
        <w:t>Cfr.</w:t>
      </w:r>
      <w:r>
        <w:rPr>
          <w:rFonts w:ascii="Verdana" w:hAnsi="Verdana"/>
          <w:sz w:val="16"/>
          <w:szCs w:val="16"/>
          <w:lang w:val="es-ES"/>
        </w:rPr>
        <w:t xml:space="preserve"> </w:t>
      </w:r>
      <w:r w:rsidRPr="000E08CA">
        <w:rPr>
          <w:rFonts w:ascii="Verdana" w:hAnsi="Verdana"/>
          <w:sz w:val="16"/>
          <w:szCs w:val="16"/>
          <w:lang w:val="es-CR"/>
        </w:rPr>
        <w:t>Oficio de Guía de Casilleros Constitucionales consta que la sentencia del Tribunal Constitucional de 12 de marzo de 2002 se notificó a</w:t>
      </w:r>
      <w:r>
        <w:rPr>
          <w:rFonts w:ascii="Verdana" w:hAnsi="Verdana"/>
          <w:sz w:val="16"/>
          <w:szCs w:val="16"/>
          <w:lang w:val="es-CR"/>
        </w:rPr>
        <w:t xml:space="preserve">l señor </w:t>
      </w:r>
      <w:r w:rsidRPr="000E08CA">
        <w:rPr>
          <w:rFonts w:ascii="Verdana" w:hAnsi="Verdana"/>
          <w:sz w:val="16"/>
          <w:szCs w:val="16"/>
          <w:lang w:val="es-CR"/>
        </w:rPr>
        <w:t>Mejía Idrovo, al Presidente de la República, y al Procurador General del Estado  (apéndices de la demanda de la Comisión, apéndice 2, tomo III, f. 1068).</w:t>
      </w:r>
    </w:p>
    <w:p w:rsidR="00D93A8F" w:rsidRPr="002513AB" w:rsidRDefault="00D93A8F" w:rsidP="00CD04D8">
      <w:pPr>
        <w:pStyle w:val="Textonotapie"/>
        <w:ind w:right="9"/>
        <w:jc w:val="both"/>
        <w:rPr>
          <w:lang w:val="es-ES"/>
        </w:rPr>
      </w:pPr>
    </w:p>
  </w:footnote>
  <w:footnote w:id="47">
    <w:p w:rsidR="00D93A8F" w:rsidRPr="0074711B" w:rsidRDefault="00D93A8F">
      <w:pPr>
        <w:pStyle w:val="Textonotapie"/>
        <w:rPr>
          <w:rFonts w:ascii="Verdana" w:hAnsi="Verdana"/>
          <w:sz w:val="16"/>
          <w:szCs w:val="16"/>
          <w:lang w:val="es-ES"/>
        </w:rPr>
      </w:pPr>
      <w:r w:rsidRPr="0074711B">
        <w:rPr>
          <w:rStyle w:val="Refdenotaalpie"/>
          <w:rFonts w:ascii="Verdana" w:hAnsi="Verdana"/>
          <w:sz w:val="16"/>
          <w:szCs w:val="16"/>
        </w:rPr>
        <w:footnoteRef/>
      </w:r>
      <w:r w:rsidRPr="0074711B">
        <w:rPr>
          <w:rFonts w:ascii="Verdana" w:hAnsi="Verdana"/>
          <w:sz w:val="16"/>
          <w:szCs w:val="16"/>
          <w:lang w:val="es-CR"/>
        </w:rPr>
        <w:t xml:space="preserve"> </w:t>
      </w:r>
      <w:r w:rsidRPr="0074711B">
        <w:rPr>
          <w:rFonts w:ascii="Verdana" w:hAnsi="Verdana"/>
          <w:sz w:val="16"/>
          <w:szCs w:val="16"/>
          <w:lang w:val="es-CR"/>
        </w:rPr>
        <w:tab/>
      </w:r>
      <w:r w:rsidRPr="0074711B">
        <w:rPr>
          <w:rFonts w:ascii="Verdana" w:hAnsi="Verdana"/>
          <w:i/>
          <w:sz w:val="16"/>
          <w:szCs w:val="16"/>
          <w:lang w:val="es-CR"/>
        </w:rPr>
        <w:t>Cfr.</w:t>
      </w:r>
      <w:r w:rsidRPr="0074711B">
        <w:rPr>
          <w:rFonts w:ascii="Verdana" w:hAnsi="Verdana"/>
          <w:sz w:val="16"/>
          <w:szCs w:val="16"/>
          <w:lang w:val="es-CR"/>
        </w:rPr>
        <w:t xml:space="preserve"> </w:t>
      </w:r>
      <w:r>
        <w:rPr>
          <w:rFonts w:ascii="Verdana" w:hAnsi="Verdana"/>
          <w:sz w:val="16"/>
          <w:szCs w:val="16"/>
          <w:lang w:val="es-CR"/>
        </w:rPr>
        <w:t xml:space="preserve">Registro Oficial </w:t>
      </w:r>
      <w:r w:rsidRPr="000E08CA">
        <w:rPr>
          <w:rFonts w:ascii="Verdana" w:hAnsi="Verdana"/>
          <w:sz w:val="16"/>
          <w:szCs w:val="16"/>
          <w:lang w:val="es-CR"/>
        </w:rPr>
        <w:t>No. 548 (a</w:t>
      </w:r>
      <w:r>
        <w:rPr>
          <w:rFonts w:ascii="Verdana" w:hAnsi="Verdana"/>
          <w:sz w:val="16"/>
          <w:szCs w:val="16"/>
          <w:lang w:val="es-CR"/>
        </w:rPr>
        <w:t xml:space="preserve">nexos </w:t>
      </w:r>
      <w:r w:rsidRPr="000E08CA">
        <w:rPr>
          <w:rFonts w:ascii="Verdana" w:hAnsi="Verdana"/>
          <w:sz w:val="16"/>
          <w:szCs w:val="16"/>
          <w:lang w:val="es-CR"/>
        </w:rPr>
        <w:t>a la demanda, ap</w:t>
      </w:r>
      <w:r w:rsidRPr="000E08CA">
        <w:rPr>
          <w:rFonts w:ascii="Verdana" w:hAnsi="Verdana"/>
          <w:sz w:val="16"/>
          <w:szCs w:val="16"/>
          <w:lang w:val="es-ES"/>
        </w:rPr>
        <w:t>éndice 2, tomo III, f. 1063).</w:t>
      </w:r>
    </w:p>
    <w:p w:rsidR="00D93A8F" w:rsidRPr="002513AB" w:rsidRDefault="00D93A8F">
      <w:pPr>
        <w:pStyle w:val="Textonotapie"/>
        <w:rPr>
          <w:lang w:val="es-ES"/>
        </w:rPr>
      </w:pPr>
    </w:p>
  </w:footnote>
  <w:footnote w:id="48">
    <w:p w:rsidR="00D93A8F" w:rsidRPr="0074711B" w:rsidRDefault="00D93A8F" w:rsidP="004A49FD">
      <w:pPr>
        <w:autoSpaceDE w:val="0"/>
        <w:ind w:right="9"/>
        <w:jc w:val="both"/>
        <w:rPr>
          <w:rFonts w:ascii="Verdana" w:hAnsi="Verdana"/>
          <w:sz w:val="16"/>
          <w:szCs w:val="16"/>
          <w:lang w:val="es-CR"/>
        </w:rPr>
      </w:pPr>
      <w:r w:rsidRPr="0074711B">
        <w:rPr>
          <w:rStyle w:val="Smbolodenotaalpie"/>
          <w:sz w:val="16"/>
          <w:szCs w:val="16"/>
        </w:rPr>
        <w:footnoteRef/>
      </w:r>
      <w:r>
        <w:rPr>
          <w:rFonts w:ascii="Verdana" w:hAnsi="Verdana"/>
          <w:sz w:val="16"/>
          <w:szCs w:val="16"/>
          <w:lang w:val="es-CR"/>
        </w:rPr>
        <w:tab/>
      </w:r>
      <w:r w:rsidRPr="0074711B">
        <w:rPr>
          <w:rFonts w:ascii="Verdana" w:hAnsi="Verdana"/>
          <w:i/>
          <w:iCs/>
          <w:sz w:val="16"/>
          <w:szCs w:val="16"/>
          <w:lang w:val="es-CR"/>
        </w:rPr>
        <w:t>Cfr.</w:t>
      </w:r>
      <w:r w:rsidRPr="0074711B">
        <w:rPr>
          <w:rFonts w:ascii="Verdana" w:hAnsi="Verdana"/>
          <w:sz w:val="16"/>
          <w:szCs w:val="16"/>
          <w:lang w:val="es-CR"/>
        </w:rPr>
        <w:t xml:space="preserve"> Constitución Política de Ecuador de 1998, aprobada el 5 de junio de 1998 (anexos </w:t>
      </w:r>
      <w:r>
        <w:rPr>
          <w:rFonts w:ascii="Verdana" w:hAnsi="Verdana"/>
          <w:sz w:val="16"/>
          <w:szCs w:val="16"/>
          <w:lang w:val="es-CR"/>
        </w:rPr>
        <w:t>a la demanda, anexo 8, f. 1302). El</w:t>
      </w:r>
      <w:r w:rsidRPr="0074711B">
        <w:rPr>
          <w:rFonts w:ascii="Verdana" w:hAnsi="Verdana"/>
          <w:sz w:val="16"/>
          <w:szCs w:val="16"/>
          <w:lang w:val="es-CR"/>
        </w:rPr>
        <w:t xml:space="preserve"> artículo 278</w:t>
      </w:r>
      <w:r>
        <w:rPr>
          <w:rFonts w:ascii="Verdana" w:hAnsi="Verdana"/>
          <w:sz w:val="16"/>
          <w:szCs w:val="16"/>
          <w:lang w:val="es-CR"/>
        </w:rPr>
        <w:t xml:space="preserve"> disponía</w:t>
      </w:r>
      <w:r w:rsidRPr="0074711B">
        <w:rPr>
          <w:rFonts w:ascii="Verdana" w:hAnsi="Verdana"/>
          <w:sz w:val="16"/>
          <w:szCs w:val="16"/>
          <w:lang w:val="es-CR"/>
        </w:rPr>
        <w:t xml:space="preserve"> “La declaratoria de inconstitucionalidad causará ejecutoria y será pro</w:t>
      </w:r>
      <w:r>
        <w:rPr>
          <w:rFonts w:ascii="Verdana" w:hAnsi="Verdana"/>
          <w:sz w:val="16"/>
          <w:szCs w:val="16"/>
          <w:lang w:val="es-CR"/>
        </w:rPr>
        <w:t xml:space="preserve">mulgada en el Registro Oficial. </w:t>
      </w:r>
      <w:r w:rsidRPr="0074711B">
        <w:rPr>
          <w:rFonts w:ascii="Verdana" w:hAnsi="Verdana"/>
          <w:sz w:val="16"/>
          <w:szCs w:val="16"/>
          <w:lang w:val="es-CR"/>
        </w:rPr>
        <w:t xml:space="preserve"> Entrará en vigencia desde la fecha de su promulgación y dejará sin efecto la disposición o el acto declarado inconstitucional.  La declaratoria no tendrá efecto retroactivo, ni respecto de ella habrá recurso alguno. “Si transcurridos treinta días desde la publicación de la [R]esolución del Tribunal en el Registro Oficial, el funcionario o funcionarios responsables no la cumplieren, el Tribunal, de oficio o a petición de parte, los sancionará de conformidad con la ley”.</w:t>
      </w:r>
    </w:p>
    <w:p w:rsidR="00D93A8F" w:rsidRPr="002513AB" w:rsidRDefault="00D93A8F" w:rsidP="004A49FD">
      <w:pPr>
        <w:autoSpaceDE w:val="0"/>
        <w:ind w:right="9"/>
        <w:jc w:val="both"/>
        <w:rPr>
          <w:lang w:val="es-ES"/>
        </w:rPr>
      </w:pPr>
    </w:p>
  </w:footnote>
  <w:footnote w:id="49">
    <w:p w:rsidR="00D93A8F" w:rsidRPr="0074711B" w:rsidRDefault="00D93A8F" w:rsidP="00CD04D8">
      <w:pPr>
        <w:pStyle w:val="Textonotapie"/>
        <w:ind w:right="9"/>
        <w:jc w:val="both"/>
        <w:rPr>
          <w:rFonts w:ascii="Verdana" w:hAnsi="Verdana"/>
          <w:sz w:val="16"/>
          <w:szCs w:val="16"/>
          <w:lang w:val="es-CR"/>
        </w:rPr>
      </w:pPr>
      <w:r w:rsidRPr="0074711B">
        <w:rPr>
          <w:rStyle w:val="Smbolodenotaalpie"/>
          <w:sz w:val="16"/>
          <w:szCs w:val="16"/>
        </w:rPr>
        <w:footnoteRef/>
      </w:r>
      <w:r w:rsidRPr="0074711B">
        <w:rPr>
          <w:rFonts w:ascii="Verdana" w:hAnsi="Verdana"/>
          <w:sz w:val="16"/>
          <w:szCs w:val="16"/>
          <w:lang w:val="es-CR"/>
        </w:rPr>
        <w:tab/>
        <w:t xml:space="preserve"> </w:t>
      </w:r>
      <w:r w:rsidRPr="0074711B">
        <w:rPr>
          <w:rFonts w:ascii="Verdana" w:hAnsi="Verdana"/>
          <w:i/>
          <w:sz w:val="16"/>
          <w:szCs w:val="16"/>
          <w:lang w:val="es-CR"/>
        </w:rPr>
        <w:t>Cfr.</w:t>
      </w:r>
      <w:r w:rsidRPr="0074711B">
        <w:rPr>
          <w:rFonts w:ascii="Verdana" w:hAnsi="Verdana"/>
          <w:sz w:val="16"/>
          <w:szCs w:val="16"/>
          <w:lang w:val="es-CR"/>
        </w:rPr>
        <w:t xml:space="preserve"> Oficio del Comandante General</w:t>
      </w:r>
      <w:r>
        <w:rPr>
          <w:rFonts w:ascii="Verdana" w:hAnsi="Verdana"/>
          <w:sz w:val="16"/>
          <w:szCs w:val="16"/>
          <w:lang w:val="es-CR"/>
        </w:rPr>
        <w:t xml:space="preserve"> de la Fuerza Terrestre dirigido</w:t>
      </w:r>
      <w:r w:rsidRPr="0074711B">
        <w:rPr>
          <w:rFonts w:ascii="Verdana" w:hAnsi="Verdana"/>
          <w:sz w:val="16"/>
          <w:szCs w:val="16"/>
          <w:lang w:val="es-CR"/>
        </w:rPr>
        <w:t xml:space="preserve"> al Presidente del Tribunal Constitucional el 8 de abril de 2002 (anexos a la demanda, anexo 11, fs. 1320 y 1321).</w:t>
      </w:r>
    </w:p>
    <w:p w:rsidR="00D93A8F" w:rsidRPr="002513AB" w:rsidRDefault="00D93A8F" w:rsidP="00CD04D8">
      <w:pPr>
        <w:pStyle w:val="Textonotapie"/>
        <w:ind w:right="9"/>
        <w:jc w:val="both"/>
        <w:rPr>
          <w:lang w:val="es-ES"/>
        </w:rPr>
      </w:pPr>
    </w:p>
  </w:footnote>
  <w:footnote w:id="50">
    <w:p w:rsidR="00D93A8F" w:rsidRPr="0074711B" w:rsidRDefault="00D93A8F" w:rsidP="00C830CB">
      <w:pPr>
        <w:pStyle w:val="Textonotapie"/>
        <w:ind w:right="9"/>
        <w:jc w:val="both"/>
        <w:rPr>
          <w:rFonts w:ascii="Verdana" w:hAnsi="Verdana"/>
          <w:sz w:val="16"/>
          <w:szCs w:val="16"/>
          <w:lang w:val="es-CR"/>
        </w:rPr>
      </w:pPr>
      <w:r w:rsidRPr="0074711B">
        <w:rPr>
          <w:rStyle w:val="Smbolodenotaalpie"/>
          <w:sz w:val="16"/>
          <w:szCs w:val="16"/>
        </w:rPr>
        <w:footnoteRef/>
      </w:r>
      <w:r w:rsidRPr="0074711B">
        <w:rPr>
          <w:rFonts w:ascii="Verdana" w:hAnsi="Verdana"/>
          <w:sz w:val="16"/>
          <w:szCs w:val="16"/>
          <w:lang w:val="es-CR"/>
        </w:rPr>
        <w:tab/>
        <w:t xml:space="preserve"> </w:t>
      </w:r>
      <w:r w:rsidRPr="0074711B">
        <w:rPr>
          <w:rFonts w:ascii="Verdana" w:hAnsi="Verdana"/>
          <w:i/>
          <w:sz w:val="16"/>
          <w:szCs w:val="16"/>
          <w:lang w:val="es-CR"/>
        </w:rPr>
        <w:t>Cfr.</w:t>
      </w:r>
      <w:r w:rsidRPr="0074711B">
        <w:rPr>
          <w:rFonts w:ascii="Verdana" w:hAnsi="Verdana"/>
          <w:sz w:val="16"/>
          <w:szCs w:val="16"/>
          <w:lang w:val="es-CR"/>
        </w:rPr>
        <w:t xml:space="preserve"> Comunicación del señor Mejía Idrovo dirigida al Presidente del Tribunal Constitucional recibido el 26 de abril de 2002  (anexos a la demanda, anexo 12, fs. 1323 a</w:t>
      </w:r>
      <w:r>
        <w:rPr>
          <w:rFonts w:ascii="Verdana" w:hAnsi="Verdana"/>
          <w:sz w:val="16"/>
          <w:szCs w:val="16"/>
          <w:lang w:val="es-CR"/>
        </w:rPr>
        <w:t>l</w:t>
      </w:r>
      <w:r w:rsidRPr="0074711B">
        <w:rPr>
          <w:rFonts w:ascii="Verdana" w:hAnsi="Verdana"/>
          <w:sz w:val="16"/>
          <w:szCs w:val="16"/>
          <w:lang w:val="es-CR"/>
        </w:rPr>
        <w:t xml:space="preserve"> 132</w:t>
      </w:r>
      <w:r w:rsidRPr="00DA21CC">
        <w:rPr>
          <w:rFonts w:ascii="Verdana" w:hAnsi="Verdana"/>
          <w:sz w:val="16"/>
          <w:szCs w:val="16"/>
          <w:lang w:val="es-CR"/>
        </w:rPr>
        <w:t xml:space="preserve">4). </w:t>
      </w:r>
    </w:p>
    <w:p w:rsidR="00D93A8F" w:rsidRPr="002513AB" w:rsidRDefault="00D93A8F" w:rsidP="00C830CB">
      <w:pPr>
        <w:pStyle w:val="Textonotapie"/>
        <w:ind w:right="9"/>
        <w:jc w:val="both"/>
        <w:rPr>
          <w:lang w:val="es-ES"/>
        </w:rPr>
      </w:pPr>
    </w:p>
  </w:footnote>
  <w:footnote w:id="51">
    <w:p w:rsidR="00D93A8F" w:rsidRPr="0074711B" w:rsidRDefault="00D93A8F" w:rsidP="00CD04D8">
      <w:pPr>
        <w:pStyle w:val="Textonotapie"/>
        <w:ind w:right="9"/>
        <w:jc w:val="both"/>
        <w:rPr>
          <w:rFonts w:ascii="Verdana" w:hAnsi="Verdana"/>
          <w:sz w:val="16"/>
          <w:szCs w:val="16"/>
          <w:lang w:val="es-CR"/>
        </w:rPr>
      </w:pPr>
      <w:r w:rsidRPr="0074711B">
        <w:rPr>
          <w:rStyle w:val="Smbolodenotaalpie"/>
          <w:sz w:val="16"/>
          <w:szCs w:val="16"/>
        </w:rPr>
        <w:footnoteRef/>
      </w:r>
      <w:r w:rsidRPr="0074711B">
        <w:rPr>
          <w:rFonts w:ascii="Verdana" w:hAnsi="Verdana"/>
          <w:sz w:val="16"/>
          <w:szCs w:val="16"/>
          <w:lang w:val="es-CR"/>
        </w:rPr>
        <w:tab/>
        <w:t xml:space="preserve"> </w:t>
      </w:r>
      <w:r w:rsidRPr="00FD7EBB">
        <w:rPr>
          <w:rFonts w:ascii="Verdana" w:hAnsi="Verdana"/>
          <w:sz w:val="16"/>
          <w:szCs w:val="16"/>
          <w:lang w:val="es-CR"/>
        </w:rPr>
        <w:t>Resolución del Presidente del Tribunal Constitucional emitida el 30 de mayo de 2002 (anexos a la demanda, anexo 13, f. 1332).</w:t>
      </w:r>
      <w:r w:rsidRPr="0074711B">
        <w:rPr>
          <w:rFonts w:ascii="Verdana" w:hAnsi="Verdana"/>
          <w:sz w:val="16"/>
          <w:szCs w:val="16"/>
          <w:lang w:val="es-CR"/>
        </w:rPr>
        <w:t xml:space="preserve"> </w:t>
      </w:r>
    </w:p>
    <w:p w:rsidR="00D93A8F" w:rsidRPr="002513AB" w:rsidRDefault="00D93A8F" w:rsidP="00CD04D8">
      <w:pPr>
        <w:pStyle w:val="Textonotapie"/>
        <w:ind w:right="9"/>
        <w:jc w:val="both"/>
        <w:rPr>
          <w:lang w:val="es-ES"/>
        </w:rPr>
      </w:pPr>
    </w:p>
  </w:footnote>
  <w:footnote w:id="52">
    <w:p w:rsidR="00D93A8F" w:rsidRPr="0074711B" w:rsidRDefault="00D93A8F" w:rsidP="004E1F75">
      <w:pPr>
        <w:pStyle w:val="Textonotapie"/>
        <w:ind w:right="9"/>
        <w:jc w:val="both"/>
        <w:rPr>
          <w:rFonts w:ascii="Verdana" w:hAnsi="Verdana"/>
          <w:sz w:val="16"/>
          <w:szCs w:val="16"/>
          <w:u w:val="single"/>
          <w:lang w:val="es-CR"/>
        </w:rPr>
      </w:pPr>
      <w:r w:rsidRPr="0074711B">
        <w:rPr>
          <w:rStyle w:val="Smbolodenotaalpie"/>
          <w:sz w:val="16"/>
          <w:szCs w:val="16"/>
        </w:rPr>
        <w:footnoteRef/>
      </w:r>
      <w:r w:rsidRPr="0074711B">
        <w:rPr>
          <w:rFonts w:ascii="Verdana" w:hAnsi="Verdana"/>
          <w:sz w:val="16"/>
          <w:szCs w:val="16"/>
          <w:lang w:val="es-CR"/>
        </w:rPr>
        <w:tab/>
        <w:t xml:space="preserve"> </w:t>
      </w:r>
      <w:r w:rsidRPr="0074711B">
        <w:rPr>
          <w:rFonts w:ascii="Verdana" w:hAnsi="Verdana"/>
          <w:i/>
          <w:sz w:val="16"/>
          <w:szCs w:val="16"/>
          <w:lang w:val="es-CR"/>
        </w:rPr>
        <w:t>Cfr.</w:t>
      </w:r>
      <w:r w:rsidRPr="0074711B">
        <w:rPr>
          <w:rFonts w:ascii="Verdana" w:hAnsi="Verdana"/>
          <w:sz w:val="16"/>
          <w:szCs w:val="16"/>
          <w:lang w:val="es-CR"/>
        </w:rPr>
        <w:t xml:space="preserve"> </w:t>
      </w:r>
      <w:r>
        <w:rPr>
          <w:rFonts w:ascii="Verdana" w:hAnsi="Verdana"/>
          <w:sz w:val="16"/>
          <w:szCs w:val="16"/>
          <w:lang w:val="es-CR"/>
        </w:rPr>
        <w:t>C</w:t>
      </w:r>
      <w:r w:rsidRPr="0074711B">
        <w:rPr>
          <w:rFonts w:ascii="Verdana" w:hAnsi="Verdana"/>
          <w:sz w:val="16"/>
          <w:szCs w:val="16"/>
          <w:lang w:val="es-CR"/>
        </w:rPr>
        <w:t xml:space="preserve">omunicación del señor Mejía Idrovo dirigida al señor Presidente del Tribunal  Constitucional presentada </w:t>
      </w:r>
      <w:r w:rsidRPr="000E08CA">
        <w:rPr>
          <w:rFonts w:ascii="Verdana" w:hAnsi="Verdana"/>
          <w:sz w:val="16"/>
          <w:szCs w:val="16"/>
          <w:lang w:val="es-CR"/>
        </w:rPr>
        <w:t>el 5 de junio de 2002, en el punto 2.1 se indica literalmente “no he sido notificado legalmente de esta segunda resolución [de 30 de mayo de 2002] en este caso (expediente de anexos a la contestación de la demanda, tomo I, anexo 38, f. 227)</w:t>
      </w:r>
      <w:r>
        <w:rPr>
          <w:rFonts w:ascii="Verdana" w:hAnsi="Verdana"/>
          <w:sz w:val="16"/>
          <w:szCs w:val="16"/>
          <w:lang w:val="es-CR"/>
        </w:rPr>
        <w:t>.</w:t>
      </w:r>
      <w:r w:rsidRPr="0074711B">
        <w:rPr>
          <w:rFonts w:ascii="Verdana" w:hAnsi="Verdana"/>
          <w:sz w:val="16"/>
          <w:szCs w:val="16"/>
          <w:lang w:val="es-CR"/>
        </w:rPr>
        <w:t xml:space="preserve"> </w:t>
      </w:r>
    </w:p>
    <w:p w:rsidR="00D93A8F" w:rsidRPr="002513AB" w:rsidRDefault="00D93A8F" w:rsidP="004E1F75">
      <w:pPr>
        <w:pStyle w:val="Textonotapie"/>
        <w:ind w:right="9"/>
        <w:jc w:val="both"/>
        <w:rPr>
          <w:lang w:val="es-ES"/>
        </w:rPr>
      </w:pPr>
    </w:p>
  </w:footnote>
  <w:footnote w:id="53">
    <w:p w:rsidR="00D93A8F" w:rsidRPr="007E2B8A" w:rsidRDefault="00D93A8F" w:rsidP="00CD04D8">
      <w:pPr>
        <w:pStyle w:val="Textonotapie"/>
        <w:ind w:right="9"/>
        <w:jc w:val="both"/>
        <w:rPr>
          <w:rFonts w:ascii="Verdana" w:hAnsi="Verdana"/>
          <w:sz w:val="16"/>
          <w:szCs w:val="16"/>
          <w:lang w:val="es-CR"/>
        </w:rPr>
      </w:pPr>
      <w:r w:rsidRPr="0074711B">
        <w:rPr>
          <w:rStyle w:val="Smbolodenotaalpie"/>
          <w:sz w:val="16"/>
          <w:szCs w:val="16"/>
        </w:rPr>
        <w:footnoteRef/>
      </w:r>
      <w:r w:rsidRPr="0074711B">
        <w:rPr>
          <w:rFonts w:ascii="Verdana" w:hAnsi="Verdana"/>
          <w:sz w:val="16"/>
          <w:szCs w:val="16"/>
          <w:lang w:val="es-CR"/>
        </w:rPr>
        <w:tab/>
      </w:r>
      <w:r w:rsidRPr="007E2B8A">
        <w:rPr>
          <w:rFonts w:ascii="Verdana" w:hAnsi="Verdana"/>
          <w:i/>
          <w:sz w:val="16"/>
          <w:szCs w:val="16"/>
          <w:lang w:val="es-CR"/>
        </w:rPr>
        <w:t>Cfr.</w:t>
      </w:r>
      <w:r w:rsidRPr="007E2B8A">
        <w:rPr>
          <w:rFonts w:ascii="Verdana" w:hAnsi="Verdana"/>
          <w:sz w:val="16"/>
          <w:szCs w:val="16"/>
          <w:lang w:val="es-CR"/>
        </w:rPr>
        <w:t xml:space="preserve"> </w:t>
      </w:r>
      <w:r>
        <w:rPr>
          <w:rFonts w:ascii="Verdana" w:hAnsi="Verdana"/>
          <w:sz w:val="16"/>
          <w:szCs w:val="16"/>
          <w:lang w:val="es-CR"/>
        </w:rPr>
        <w:t>C</w:t>
      </w:r>
      <w:r w:rsidRPr="007E2B8A">
        <w:rPr>
          <w:rFonts w:ascii="Verdana" w:hAnsi="Verdana"/>
          <w:sz w:val="16"/>
          <w:szCs w:val="16"/>
          <w:lang w:val="es-CR"/>
        </w:rPr>
        <w:t>omunicación del señor Mejía Idrovo dirigida al Presidente del Tribunal Constitucional de 8 de abril de 2002 (anexos a la demanda, anexo 12, f. 1327); comunicación del señor Mejía Idrovo dirigida al Presidente del Tribunal Constitucional recibida el 26 de abril de 2002  (anexos a la demanda, anexo 12, fs. 1323 a</w:t>
      </w:r>
      <w:r>
        <w:rPr>
          <w:rFonts w:ascii="Verdana" w:hAnsi="Verdana"/>
          <w:sz w:val="16"/>
          <w:szCs w:val="16"/>
          <w:lang w:val="es-CR"/>
        </w:rPr>
        <w:t>l</w:t>
      </w:r>
      <w:r w:rsidRPr="007E2B8A">
        <w:rPr>
          <w:rFonts w:ascii="Verdana" w:hAnsi="Verdana"/>
          <w:sz w:val="16"/>
          <w:szCs w:val="16"/>
          <w:lang w:val="es-CR"/>
        </w:rPr>
        <w:t xml:space="preserve"> 1324); comunicación del señor Mejía Idrovo dirigid</w:t>
      </w:r>
      <w:r>
        <w:rPr>
          <w:rFonts w:ascii="Verdana" w:hAnsi="Verdana"/>
          <w:sz w:val="16"/>
          <w:szCs w:val="16"/>
          <w:lang w:val="es-CR"/>
        </w:rPr>
        <w:t>a</w:t>
      </w:r>
      <w:r w:rsidRPr="007E2B8A">
        <w:rPr>
          <w:rFonts w:ascii="Verdana" w:hAnsi="Verdana"/>
          <w:sz w:val="16"/>
          <w:szCs w:val="16"/>
          <w:lang w:val="es-CR"/>
        </w:rPr>
        <w:t xml:space="preserve"> al Presidente del Tribunal Constitucional de 7 de agosto de 2002 (anexos a la contestación de la demanda, anexo 32, tomo I, f. 223); comunicación del señor Mejía Idrovo dirigida al Presidente del Tribunal Constitucional de 28 de agosto de 2002 (anexos a la demanda, anexo 20, fs. 1351 a</w:t>
      </w:r>
      <w:r>
        <w:rPr>
          <w:rFonts w:ascii="Verdana" w:hAnsi="Verdana"/>
          <w:sz w:val="16"/>
          <w:szCs w:val="16"/>
          <w:lang w:val="es-CR"/>
        </w:rPr>
        <w:t>l</w:t>
      </w:r>
      <w:r w:rsidRPr="007E2B8A">
        <w:rPr>
          <w:rFonts w:ascii="Verdana" w:hAnsi="Verdana"/>
          <w:sz w:val="16"/>
          <w:szCs w:val="16"/>
          <w:lang w:val="es-CR"/>
        </w:rPr>
        <w:t xml:space="preserve"> 1353); comunicación del señor Mejía Idrovo dirigida al Presidente del Tribunal Constitucional de 10 de septiembre de 2002 (anexos a la deman</w:t>
      </w:r>
      <w:r>
        <w:rPr>
          <w:rFonts w:ascii="Verdana" w:hAnsi="Verdana"/>
          <w:sz w:val="16"/>
          <w:szCs w:val="16"/>
          <w:lang w:val="es-CR"/>
        </w:rPr>
        <w:t xml:space="preserve">da, anexo 12, tomo I, f. 1329); comunicación </w:t>
      </w:r>
      <w:r w:rsidRPr="007E2B8A">
        <w:rPr>
          <w:rFonts w:ascii="Verdana" w:hAnsi="Verdana"/>
          <w:sz w:val="16"/>
          <w:szCs w:val="16"/>
          <w:lang w:val="es-CR"/>
        </w:rPr>
        <w:t xml:space="preserve">de los representantes dirigida al Presidente y Vocales del Tribunal Constitucional presentada el 14 de septiembre de 2007 (anexos a la demanda, anexo 40, f. 1405), y comunicación del señor Mejía Idrovo dirigida al Presidente de la República de fecha 26 de marzo de 2007  (apéndices de la Comisión, apéndice 2, tomo II, f. 764). </w:t>
      </w:r>
    </w:p>
    <w:p w:rsidR="00D93A8F" w:rsidRPr="002513AB" w:rsidRDefault="00D93A8F" w:rsidP="00CD04D8">
      <w:pPr>
        <w:pStyle w:val="Textonotapie"/>
        <w:ind w:right="9"/>
        <w:jc w:val="both"/>
        <w:rPr>
          <w:lang w:val="es-ES"/>
        </w:rPr>
      </w:pPr>
    </w:p>
  </w:footnote>
  <w:footnote w:id="54">
    <w:p w:rsidR="00D93A8F" w:rsidRPr="0074711B" w:rsidRDefault="00D93A8F" w:rsidP="00CD04D8">
      <w:pPr>
        <w:pStyle w:val="Textonotapie"/>
        <w:ind w:right="9"/>
        <w:jc w:val="both"/>
        <w:rPr>
          <w:rFonts w:ascii="Verdana" w:hAnsi="Verdana"/>
          <w:sz w:val="16"/>
          <w:szCs w:val="16"/>
          <w:lang w:val="es-CR"/>
        </w:rPr>
      </w:pPr>
      <w:r w:rsidRPr="007E2B8A">
        <w:rPr>
          <w:rStyle w:val="Smbolodenotaalpie"/>
          <w:sz w:val="16"/>
          <w:szCs w:val="16"/>
        </w:rPr>
        <w:footnoteRef/>
      </w:r>
      <w:r w:rsidRPr="007E2B8A">
        <w:rPr>
          <w:rFonts w:ascii="Verdana" w:hAnsi="Verdana"/>
          <w:sz w:val="16"/>
          <w:szCs w:val="16"/>
          <w:lang w:val="es-CR"/>
        </w:rPr>
        <w:tab/>
      </w:r>
      <w:r w:rsidRPr="007E2B8A">
        <w:rPr>
          <w:rFonts w:ascii="Verdana" w:hAnsi="Verdana"/>
          <w:i/>
          <w:sz w:val="16"/>
          <w:szCs w:val="16"/>
          <w:lang w:val="es-CR"/>
        </w:rPr>
        <w:t>Cfr.</w:t>
      </w:r>
      <w:r w:rsidRPr="007E2B8A">
        <w:rPr>
          <w:rFonts w:ascii="Verdana" w:hAnsi="Verdana"/>
          <w:sz w:val="16"/>
          <w:szCs w:val="16"/>
          <w:lang w:val="es-CR"/>
        </w:rPr>
        <w:t xml:space="preserve"> </w:t>
      </w:r>
      <w:r>
        <w:rPr>
          <w:rFonts w:ascii="Verdana" w:hAnsi="Verdana"/>
          <w:sz w:val="16"/>
          <w:szCs w:val="16"/>
          <w:lang w:val="es-CR"/>
        </w:rPr>
        <w:t xml:space="preserve">Sentencia del Pleno del </w:t>
      </w:r>
      <w:r w:rsidRPr="00490651">
        <w:rPr>
          <w:rFonts w:ascii="Verdana" w:hAnsi="Verdana"/>
          <w:sz w:val="16"/>
          <w:szCs w:val="16"/>
          <w:lang w:val="es-CR"/>
        </w:rPr>
        <w:t xml:space="preserve">Tribunal Constitucional de 20 de mayo de 2003 (expediente de anexos </w:t>
      </w:r>
      <w:r w:rsidRPr="00FC3247">
        <w:rPr>
          <w:rFonts w:ascii="Verdana" w:hAnsi="Verdana"/>
          <w:sz w:val="16"/>
          <w:szCs w:val="16"/>
          <w:lang w:val="es-CR"/>
        </w:rPr>
        <w:t xml:space="preserve">a </w:t>
      </w:r>
      <w:r w:rsidRPr="00490651">
        <w:rPr>
          <w:rFonts w:ascii="Verdana" w:hAnsi="Verdana"/>
          <w:sz w:val="16"/>
          <w:szCs w:val="16"/>
          <w:lang w:val="es-CR"/>
        </w:rPr>
        <w:t>la demanda, anexo 26, f. 1368)</w:t>
      </w:r>
      <w:r>
        <w:rPr>
          <w:rFonts w:ascii="Verdana" w:hAnsi="Verdana"/>
          <w:sz w:val="16"/>
          <w:szCs w:val="16"/>
          <w:lang w:val="es-CR"/>
        </w:rPr>
        <w:t>.</w:t>
      </w:r>
    </w:p>
    <w:p w:rsidR="00D93A8F" w:rsidRPr="002513AB" w:rsidRDefault="00D93A8F" w:rsidP="00CD04D8">
      <w:pPr>
        <w:pStyle w:val="Textonotapie"/>
        <w:ind w:right="9"/>
        <w:jc w:val="both"/>
        <w:rPr>
          <w:lang w:val="es-ES"/>
        </w:rPr>
      </w:pPr>
    </w:p>
  </w:footnote>
  <w:footnote w:id="55">
    <w:p w:rsidR="00D93A8F" w:rsidRPr="0074711B" w:rsidRDefault="00D93A8F" w:rsidP="00CD04D8">
      <w:pPr>
        <w:pStyle w:val="Textonotapie"/>
        <w:ind w:right="9"/>
        <w:jc w:val="both"/>
        <w:rPr>
          <w:rFonts w:ascii="Verdana" w:hAnsi="Verdana"/>
          <w:sz w:val="16"/>
          <w:szCs w:val="16"/>
          <w:lang w:val="es-CR"/>
        </w:rPr>
      </w:pPr>
      <w:r w:rsidRPr="0074711B">
        <w:rPr>
          <w:rStyle w:val="Refdenotaalpie"/>
          <w:rFonts w:ascii="Verdana" w:hAnsi="Verdana"/>
          <w:sz w:val="16"/>
          <w:szCs w:val="16"/>
        </w:rPr>
        <w:footnoteRef/>
      </w:r>
      <w:r w:rsidRPr="0074711B">
        <w:rPr>
          <w:rFonts w:ascii="Verdana" w:hAnsi="Verdana"/>
          <w:sz w:val="16"/>
          <w:szCs w:val="16"/>
          <w:lang w:val="es-CR"/>
        </w:rPr>
        <w:t xml:space="preserve"> </w:t>
      </w:r>
      <w:r w:rsidRPr="0074711B">
        <w:rPr>
          <w:rFonts w:ascii="Verdana" w:hAnsi="Verdana"/>
          <w:sz w:val="16"/>
          <w:szCs w:val="16"/>
          <w:lang w:val="es-CR"/>
        </w:rPr>
        <w:tab/>
      </w:r>
      <w:r w:rsidRPr="0074711B">
        <w:rPr>
          <w:rFonts w:ascii="Verdana" w:hAnsi="Verdana"/>
          <w:i/>
          <w:iCs/>
          <w:sz w:val="16"/>
          <w:szCs w:val="16"/>
          <w:lang w:val="es-CR"/>
        </w:rPr>
        <w:t>Cfr.</w:t>
      </w:r>
      <w:r w:rsidRPr="0074711B">
        <w:rPr>
          <w:rFonts w:ascii="Verdana" w:hAnsi="Verdana"/>
          <w:sz w:val="16"/>
          <w:szCs w:val="16"/>
          <w:lang w:val="es-CR"/>
        </w:rPr>
        <w:t xml:space="preserve"> Escrito del señor Mejía Idrovo dirigido a la Corte Constitucional del Ecuador el 22 de abril de 2009 (anexos al escrito de argumentos y solicitudes, anexo 57, fs. 1865 a</w:t>
      </w:r>
      <w:r>
        <w:rPr>
          <w:rFonts w:ascii="Verdana" w:hAnsi="Verdana"/>
          <w:sz w:val="16"/>
          <w:szCs w:val="16"/>
          <w:lang w:val="es-CR"/>
        </w:rPr>
        <w:t>l 1878); c</w:t>
      </w:r>
      <w:r w:rsidRPr="0074711B">
        <w:rPr>
          <w:rFonts w:ascii="Verdana" w:hAnsi="Verdana"/>
          <w:sz w:val="16"/>
          <w:szCs w:val="16"/>
          <w:lang w:val="es-CR"/>
        </w:rPr>
        <w:t>omunicación de Xavier Mejía a la Corte Constitucional del Ecuador del 25 de agosto de 2009 (anexos al escrito de argumentos y solicitudes,</w:t>
      </w:r>
      <w:r>
        <w:rPr>
          <w:rFonts w:ascii="Verdana" w:hAnsi="Verdana"/>
          <w:sz w:val="16"/>
          <w:szCs w:val="16"/>
          <w:lang w:val="es-CR"/>
        </w:rPr>
        <w:t xml:space="preserve"> anexo 59, fs. 1884 y 1885), y c</w:t>
      </w:r>
      <w:r w:rsidRPr="0074711B">
        <w:rPr>
          <w:rFonts w:ascii="Verdana" w:hAnsi="Verdana"/>
          <w:sz w:val="16"/>
          <w:szCs w:val="16"/>
          <w:lang w:val="es-CR"/>
        </w:rPr>
        <w:t xml:space="preserve">omunicación de Xavier Mejía a la Corte Constitucional sellada como recibida por la Corte Constitucional el 14 de agosto de 2009 (anexos al escrito de argumentos y solicitudes, anexo 59, fs. 1886 y 1887).  </w:t>
      </w:r>
    </w:p>
    <w:p w:rsidR="00D93A8F" w:rsidRPr="002513AB" w:rsidRDefault="00D93A8F" w:rsidP="00CD04D8">
      <w:pPr>
        <w:pStyle w:val="Textonotapie"/>
        <w:ind w:right="9"/>
        <w:jc w:val="both"/>
        <w:rPr>
          <w:lang w:val="es-ES"/>
        </w:rPr>
      </w:pPr>
    </w:p>
  </w:footnote>
  <w:footnote w:id="56">
    <w:p w:rsidR="00D93A8F" w:rsidRPr="0074711B" w:rsidRDefault="00D93A8F" w:rsidP="00CD04D8">
      <w:pPr>
        <w:pStyle w:val="Textonotapie"/>
        <w:jc w:val="both"/>
        <w:rPr>
          <w:rFonts w:ascii="Verdana" w:hAnsi="Verdana"/>
          <w:sz w:val="16"/>
          <w:szCs w:val="16"/>
          <w:lang w:val="es-CR"/>
        </w:rPr>
      </w:pPr>
      <w:r w:rsidRPr="0074711B">
        <w:rPr>
          <w:rStyle w:val="Refdenotaalpie"/>
          <w:rFonts w:ascii="Verdana" w:hAnsi="Verdana"/>
          <w:sz w:val="16"/>
          <w:szCs w:val="16"/>
        </w:rPr>
        <w:footnoteRef/>
      </w:r>
      <w:r w:rsidRPr="0074711B">
        <w:rPr>
          <w:rFonts w:ascii="Verdana" w:hAnsi="Verdana"/>
          <w:sz w:val="16"/>
          <w:szCs w:val="16"/>
          <w:lang w:val="es-CR"/>
        </w:rPr>
        <w:t xml:space="preserve"> </w:t>
      </w:r>
      <w:r w:rsidRPr="0074711B">
        <w:rPr>
          <w:rFonts w:ascii="Verdana" w:hAnsi="Verdana"/>
          <w:sz w:val="16"/>
          <w:szCs w:val="16"/>
          <w:lang w:val="es-CR"/>
        </w:rPr>
        <w:tab/>
        <w:t>Sentencia No. 0013-09-SIS-CC de la Corte Constitucional del Ecuador de 8 de octubre de 2009 (anexos al escrito de argumentos y solicitudes, anexo 60, fs. 1889 a</w:t>
      </w:r>
      <w:r>
        <w:rPr>
          <w:rFonts w:ascii="Verdana" w:hAnsi="Verdana"/>
          <w:sz w:val="16"/>
          <w:szCs w:val="16"/>
          <w:lang w:val="es-CR"/>
        </w:rPr>
        <w:t>l</w:t>
      </w:r>
      <w:r w:rsidRPr="0074711B">
        <w:rPr>
          <w:rFonts w:ascii="Verdana" w:hAnsi="Verdana"/>
          <w:sz w:val="16"/>
          <w:szCs w:val="16"/>
          <w:lang w:val="es-CR"/>
        </w:rPr>
        <w:t xml:space="preserve"> 1897).</w:t>
      </w:r>
    </w:p>
    <w:p w:rsidR="00D93A8F" w:rsidRPr="002513AB" w:rsidRDefault="00D93A8F" w:rsidP="00CD04D8">
      <w:pPr>
        <w:pStyle w:val="Textonotapie"/>
        <w:jc w:val="both"/>
        <w:rPr>
          <w:lang w:val="es-ES"/>
        </w:rPr>
      </w:pPr>
    </w:p>
  </w:footnote>
  <w:footnote w:id="57">
    <w:p w:rsidR="00D93A8F" w:rsidRPr="0074711B" w:rsidRDefault="00D93A8F" w:rsidP="00CD04D8">
      <w:pPr>
        <w:pStyle w:val="Textonotapie"/>
        <w:ind w:right="9"/>
        <w:jc w:val="both"/>
        <w:rPr>
          <w:rFonts w:ascii="Verdana" w:hAnsi="Verdana"/>
          <w:sz w:val="16"/>
          <w:szCs w:val="16"/>
          <w:lang w:val="es-CR"/>
        </w:rPr>
      </w:pPr>
      <w:r w:rsidRPr="0074711B">
        <w:rPr>
          <w:rStyle w:val="Refdenotaalpie"/>
          <w:rFonts w:ascii="Verdana" w:hAnsi="Verdana"/>
          <w:sz w:val="16"/>
          <w:szCs w:val="16"/>
        </w:rPr>
        <w:footnoteRef/>
      </w:r>
      <w:r w:rsidRPr="0074711B">
        <w:rPr>
          <w:rFonts w:ascii="Verdana" w:hAnsi="Verdana"/>
          <w:b/>
          <w:bCs/>
          <w:sz w:val="16"/>
          <w:szCs w:val="16"/>
          <w:lang w:val="es-CR"/>
        </w:rPr>
        <w:t xml:space="preserve"> </w:t>
      </w:r>
      <w:r w:rsidRPr="0074711B">
        <w:rPr>
          <w:rFonts w:ascii="Verdana" w:hAnsi="Verdana"/>
          <w:b/>
          <w:bCs/>
          <w:sz w:val="16"/>
          <w:szCs w:val="16"/>
          <w:lang w:val="es-CR"/>
        </w:rPr>
        <w:tab/>
      </w:r>
      <w:r w:rsidRPr="0074711B">
        <w:rPr>
          <w:rFonts w:ascii="Verdana" w:hAnsi="Verdana"/>
          <w:sz w:val="16"/>
          <w:szCs w:val="16"/>
          <w:lang w:val="es-CR"/>
        </w:rPr>
        <w:t>Sentencia No. 0013-09-SIS-CC de la Corte Constitucional del Ecuador</w:t>
      </w:r>
      <w:r>
        <w:rPr>
          <w:rFonts w:ascii="Verdana" w:hAnsi="Verdana"/>
          <w:sz w:val="16"/>
          <w:szCs w:val="16"/>
          <w:lang w:val="es-CR"/>
        </w:rPr>
        <w:t xml:space="preserve">, </w:t>
      </w:r>
      <w:r>
        <w:rPr>
          <w:rFonts w:ascii="Verdana" w:hAnsi="Verdana"/>
          <w:i/>
          <w:sz w:val="16"/>
          <w:szCs w:val="16"/>
          <w:lang w:val="es-CR"/>
        </w:rPr>
        <w:t xml:space="preserve">supra </w:t>
      </w:r>
      <w:r w:rsidRPr="0068678C">
        <w:rPr>
          <w:rFonts w:ascii="Verdana" w:hAnsi="Verdana"/>
          <w:sz w:val="16"/>
          <w:szCs w:val="16"/>
          <w:lang w:val="es-CR"/>
        </w:rPr>
        <w:t>nota 5</w:t>
      </w:r>
      <w:r>
        <w:rPr>
          <w:rFonts w:ascii="Verdana" w:hAnsi="Verdana"/>
          <w:sz w:val="16"/>
          <w:szCs w:val="16"/>
          <w:lang w:val="es-CR"/>
        </w:rPr>
        <w:t>3</w:t>
      </w:r>
      <w:r w:rsidRPr="0074711B">
        <w:rPr>
          <w:rFonts w:ascii="Verdana" w:hAnsi="Verdana"/>
          <w:sz w:val="16"/>
          <w:szCs w:val="16"/>
          <w:lang w:val="es-CR"/>
        </w:rPr>
        <w:t xml:space="preserve">.  </w:t>
      </w:r>
    </w:p>
    <w:p w:rsidR="00D93A8F" w:rsidRPr="002513AB" w:rsidRDefault="00D93A8F" w:rsidP="00CD04D8">
      <w:pPr>
        <w:pStyle w:val="Textonotapie"/>
        <w:ind w:right="9"/>
        <w:jc w:val="both"/>
        <w:rPr>
          <w:lang w:val="es-ES"/>
        </w:rPr>
      </w:pPr>
    </w:p>
  </w:footnote>
  <w:footnote w:id="58">
    <w:p w:rsidR="00D93A8F" w:rsidRDefault="00D93A8F" w:rsidP="00CD04D8">
      <w:pPr>
        <w:pStyle w:val="Textonotapie"/>
        <w:ind w:right="9"/>
        <w:jc w:val="both"/>
        <w:rPr>
          <w:rFonts w:ascii="Verdana" w:hAnsi="Verdana"/>
          <w:sz w:val="16"/>
          <w:szCs w:val="16"/>
          <w:lang w:val="es-MX"/>
        </w:rPr>
      </w:pPr>
      <w:r w:rsidRPr="00ED4819">
        <w:rPr>
          <w:rStyle w:val="Refdenotaalpie"/>
          <w:rFonts w:ascii="Verdana" w:hAnsi="Verdana"/>
          <w:sz w:val="16"/>
          <w:szCs w:val="16"/>
        </w:rPr>
        <w:footnoteRef/>
      </w:r>
      <w:r w:rsidRPr="00ED4819">
        <w:rPr>
          <w:rFonts w:ascii="Verdana" w:hAnsi="Verdana"/>
          <w:sz w:val="16"/>
          <w:szCs w:val="16"/>
          <w:lang w:val="es-CR"/>
        </w:rPr>
        <w:t xml:space="preserve"> </w:t>
      </w:r>
      <w:r w:rsidRPr="00ED4819">
        <w:rPr>
          <w:rFonts w:ascii="Verdana" w:hAnsi="Verdana"/>
          <w:sz w:val="16"/>
          <w:szCs w:val="16"/>
          <w:lang w:val="es-CR"/>
        </w:rPr>
        <w:tab/>
      </w:r>
      <w:r w:rsidRPr="00ED4819">
        <w:rPr>
          <w:rFonts w:ascii="Verdana" w:hAnsi="Verdana"/>
          <w:i/>
          <w:sz w:val="16"/>
          <w:szCs w:val="16"/>
          <w:lang w:val="es-CR"/>
        </w:rPr>
        <w:t>Cfr</w:t>
      </w:r>
      <w:r w:rsidRPr="005205A6">
        <w:rPr>
          <w:rFonts w:ascii="Verdana" w:hAnsi="Verdana"/>
          <w:i/>
          <w:sz w:val="16"/>
          <w:szCs w:val="16"/>
          <w:lang w:val="es-CR"/>
        </w:rPr>
        <w:t>.</w:t>
      </w:r>
      <w:r w:rsidRPr="005205A6">
        <w:rPr>
          <w:rFonts w:ascii="Verdana" w:hAnsi="Verdana"/>
          <w:sz w:val="16"/>
          <w:szCs w:val="16"/>
          <w:lang w:val="es-CR"/>
        </w:rPr>
        <w:t xml:space="preserve"> </w:t>
      </w:r>
      <w:r w:rsidRPr="00FC3247">
        <w:rPr>
          <w:rFonts w:ascii="Verdana" w:hAnsi="Verdana"/>
          <w:sz w:val="16"/>
          <w:szCs w:val="16"/>
          <w:lang w:val="es-CR"/>
        </w:rPr>
        <w:t xml:space="preserve"> Según el Estado mediante </w:t>
      </w:r>
      <w:r w:rsidRPr="00FC3247">
        <w:rPr>
          <w:rFonts w:ascii="Verdana" w:hAnsi="Verdana"/>
          <w:sz w:val="16"/>
          <w:szCs w:val="16"/>
          <w:lang w:val="es-ES"/>
        </w:rPr>
        <w:t>o</w:t>
      </w:r>
      <w:r w:rsidRPr="005205A6">
        <w:rPr>
          <w:rFonts w:ascii="Verdana" w:hAnsi="Verdana"/>
          <w:sz w:val="16"/>
          <w:szCs w:val="16"/>
          <w:lang w:val="es-ES"/>
        </w:rPr>
        <w:t xml:space="preserve">ficio No. 2009-1199-DJFT </w:t>
      </w:r>
      <w:r w:rsidRPr="00FC3247">
        <w:rPr>
          <w:rFonts w:ascii="Verdana" w:hAnsi="Verdana"/>
          <w:sz w:val="16"/>
          <w:szCs w:val="16"/>
          <w:lang w:val="es-ES"/>
        </w:rPr>
        <w:t xml:space="preserve">el Comandante General del Ejército remitió a la Presidencia de la República el </w:t>
      </w:r>
      <w:r w:rsidRPr="005205A6">
        <w:rPr>
          <w:rFonts w:ascii="Verdana" w:hAnsi="Verdana"/>
          <w:sz w:val="16"/>
          <w:szCs w:val="16"/>
          <w:lang w:val="es-ES"/>
        </w:rPr>
        <w:t xml:space="preserve"> </w:t>
      </w:r>
      <w:r w:rsidRPr="005205A6">
        <w:rPr>
          <w:rFonts w:ascii="Verdana" w:hAnsi="Verdana"/>
          <w:sz w:val="16"/>
          <w:szCs w:val="16"/>
          <w:lang w:val="es-MX"/>
        </w:rPr>
        <w:t>proyecto de Decreto Ejecutivo para la reincorporación del señor Mejía Idrovo al servicio activo (</w:t>
      </w:r>
      <w:r w:rsidRPr="00FC3247">
        <w:rPr>
          <w:rFonts w:ascii="Verdana" w:hAnsi="Verdana"/>
          <w:sz w:val="16"/>
          <w:szCs w:val="16"/>
          <w:lang w:val="es-MX"/>
        </w:rPr>
        <w:t>expediente de excepciones preliminares, fondo, reparaciones y costas, escrito de alegatos finales del Estado, tomo  III,</w:t>
      </w:r>
      <w:r w:rsidRPr="005205A6">
        <w:rPr>
          <w:rFonts w:ascii="Verdana" w:hAnsi="Verdana"/>
          <w:sz w:val="16"/>
          <w:szCs w:val="16"/>
          <w:lang w:val="es-MX"/>
        </w:rPr>
        <w:t>, f. 538).</w:t>
      </w:r>
    </w:p>
    <w:p w:rsidR="00D93A8F" w:rsidRPr="002513AB" w:rsidRDefault="00D93A8F" w:rsidP="00CD04D8">
      <w:pPr>
        <w:pStyle w:val="Textonotapie"/>
        <w:ind w:right="9"/>
        <w:jc w:val="both"/>
        <w:rPr>
          <w:lang w:val="es-ES"/>
        </w:rPr>
      </w:pPr>
    </w:p>
  </w:footnote>
  <w:footnote w:id="59">
    <w:p w:rsidR="00D93A8F" w:rsidRPr="0074711B" w:rsidRDefault="00D93A8F" w:rsidP="00CD04D8">
      <w:pPr>
        <w:pStyle w:val="Textonotapie"/>
        <w:ind w:right="9"/>
        <w:jc w:val="both"/>
        <w:rPr>
          <w:rFonts w:ascii="Verdana" w:hAnsi="Verdana"/>
          <w:sz w:val="16"/>
          <w:szCs w:val="16"/>
          <w:lang w:val="es-ES"/>
        </w:rPr>
      </w:pPr>
      <w:r w:rsidRPr="0074711B">
        <w:rPr>
          <w:rStyle w:val="Refdenotaalpie"/>
          <w:rFonts w:ascii="Verdana" w:hAnsi="Verdana"/>
          <w:sz w:val="16"/>
          <w:szCs w:val="16"/>
        </w:rPr>
        <w:footnoteRef/>
      </w:r>
      <w:r w:rsidRPr="0074711B">
        <w:rPr>
          <w:rFonts w:ascii="Verdana" w:hAnsi="Verdana"/>
          <w:sz w:val="16"/>
          <w:szCs w:val="16"/>
          <w:lang w:val="es-CR"/>
        </w:rPr>
        <w:t xml:space="preserve"> </w:t>
      </w:r>
      <w:r w:rsidRPr="0074711B">
        <w:rPr>
          <w:rFonts w:ascii="Verdana" w:hAnsi="Verdana"/>
          <w:sz w:val="16"/>
          <w:szCs w:val="16"/>
          <w:lang w:val="es-CR"/>
        </w:rPr>
        <w:tab/>
      </w:r>
      <w:r w:rsidRPr="00D6273E">
        <w:rPr>
          <w:rFonts w:ascii="Verdana" w:hAnsi="Verdana"/>
          <w:i/>
          <w:sz w:val="16"/>
          <w:szCs w:val="16"/>
          <w:lang w:val="es-ES"/>
        </w:rPr>
        <w:t>Cfr.</w:t>
      </w:r>
      <w:r w:rsidRPr="00D6273E">
        <w:rPr>
          <w:rFonts w:ascii="Verdana" w:hAnsi="Verdana"/>
          <w:sz w:val="16"/>
          <w:szCs w:val="16"/>
          <w:lang w:val="es-ES"/>
        </w:rPr>
        <w:t xml:space="preserve"> </w:t>
      </w:r>
      <w:r w:rsidRPr="00FC3247">
        <w:rPr>
          <w:rFonts w:ascii="Verdana" w:hAnsi="Verdana"/>
          <w:sz w:val="16"/>
          <w:szCs w:val="16"/>
          <w:lang w:val="es-ES"/>
        </w:rPr>
        <w:t xml:space="preserve">Decreto de Re incorporación del coronel José Mejía Idrovo publicado el 18 de octubre de 2010 en el Suplemento del Registro Oficial No. 504 </w:t>
      </w:r>
      <w:r w:rsidRPr="00D6273E">
        <w:rPr>
          <w:rFonts w:ascii="Verdana" w:hAnsi="Verdana"/>
          <w:sz w:val="16"/>
          <w:szCs w:val="16"/>
          <w:lang w:val="es-ES"/>
        </w:rPr>
        <w:t>(</w:t>
      </w:r>
      <w:r w:rsidRPr="00FC3247">
        <w:rPr>
          <w:rFonts w:ascii="Verdana" w:hAnsi="Verdana"/>
          <w:sz w:val="16"/>
          <w:szCs w:val="16"/>
          <w:lang w:val="es-ES"/>
        </w:rPr>
        <w:t xml:space="preserve">anexos al escrito de alegatos finales del Estado, </w:t>
      </w:r>
      <w:r w:rsidRPr="00D6273E">
        <w:rPr>
          <w:rFonts w:ascii="Verdana" w:hAnsi="Verdana"/>
          <w:sz w:val="16"/>
          <w:szCs w:val="16"/>
          <w:lang w:val="es-ES"/>
        </w:rPr>
        <w:t>tomo</w:t>
      </w:r>
      <w:r w:rsidRPr="00FC3247">
        <w:rPr>
          <w:rFonts w:ascii="Verdana" w:hAnsi="Verdana"/>
          <w:sz w:val="16"/>
          <w:szCs w:val="16"/>
          <w:lang w:val="es-ES"/>
        </w:rPr>
        <w:t xml:space="preserve"> </w:t>
      </w:r>
      <w:r w:rsidRPr="00D6273E">
        <w:rPr>
          <w:rFonts w:ascii="Verdana" w:hAnsi="Verdana"/>
          <w:sz w:val="16"/>
          <w:szCs w:val="16"/>
          <w:lang w:val="es-ES"/>
        </w:rPr>
        <w:t>I, f</w:t>
      </w:r>
      <w:r w:rsidRPr="00FC3247">
        <w:rPr>
          <w:rFonts w:ascii="Verdana" w:hAnsi="Verdana"/>
          <w:sz w:val="16"/>
          <w:szCs w:val="16"/>
          <w:lang w:val="es-ES"/>
        </w:rPr>
        <w:t>. 423</w:t>
      </w:r>
      <w:r w:rsidRPr="00D6273E">
        <w:rPr>
          <w:rFonts w:ascii="Verdana" w:hAnsi="Verdana"/>
          <w:sz w:val="16"/>
          <w:szCs w:val="16"/>
          <w:lang w:val="es-ES"/>
        </w:rPr>
        <w:t>).</w:t>
      </w:r>
    </w:p>
    <w:p w:rsidR="00D93A8F" w:rsidRPr="002513AB" w:rsidRDefault="00D93A8F" w:rsidP="00CD04D8">
      <w:pPr>
        <w:pStyle w:val="Textonotapie"/>
        <w:ind w:right="9"/>
        <w:jc w:val="both"/>
        <w:rPr>
          <w:lang w:val="es-ES"/>
        </w:rPr>
      </w:pPr>
    </w:p>
  </w:footnote>
  <w:footnote w:id="60">
    <w:p w:rsidR="00D93A8F" w:rsidRPr="0074711B" w:rsidRDefault="00D93A8F" w:rsidP="00CD04D8">
      <w:pPr>
        <w:pStyle w:val="Textonotapie"/>
        <w:ind w:right="9"/>
        <w:jc w:val="both"/>
        <w:rPr>
          <w:rFonts w:ascii="Verdana" w:hAnsi="Verdana"/>
          <w:sz w:val="16"/>
          <w:szCs w:val="16"/>
          <w:lang w:val="es-ES"/>
        </w:rPr>
      </w:pPr>
      <w:r w:rsidRPr="0074711B">
        <w:rPr>
          <w:rStyle w:val="Refdenotaalpie"/>
          <w:rFonts w:ascii="Verdana" w:hAnsi="Verdana"/>
          <w:sz w:val="16"/>
          <w:szCs w:val="16"/>
        </w:rPr>
        <w:footnoteRef/>
      </w:r>
      <w:r w:rsidRPr="0074711B">
        <w:rPr>
          <w:rFonts w:ascii="Verdana" w:hAnsi="Verdana"/>
          <w:sz w:val="16"/>
          <w:szCs w:val="16"/>
          <w:lang w:val="es-CR"/>
        </w:rPr>
        <w:t xml:space="preserve"> </w:t>
      </w:r>
      <w:r w:rsidRPr="0074711B">
        <w:rPr>
          <w:rFonts w:ascii="Verdana" w:hAnsi="Verdana"/>
          <w:sz w:val="16"/>
          <w:szCs w:val="16"/>
          <w:lang w:val="es-CR"/>
        </w:rPr>
        <w:tab/>
      </w:r>
      <w:r w:rsidRPr="0074711B">
        <w:rPr>
          <w:rFonts w:ascii="Verdana" w:hAnsi="Verdana"/>
          <w:i/>
          <w:sz w:val="16"/>
          <w:szCs w:val="16"/>
          <w:lang w:val="es-ES"/>
        </w:rPr>
        <w:t>Cfr.</w:t>
      </w:r>
      <w:r w:rsidRPr="0074711B">
        <w:rPr>
          <w:rFonts w:ascii="Verdana" w:hAnsi="Verdana"/>
          <w:sz w:val="16"/>
          <w:szCs w:val="16"/>
          <w:lang w:val="es-ES"/>
        </w:rPr>
        <w:t xml:space="preserve"> Recurso de Aclaración y Ampliación de la Sentencia No. 0013-09-SIS-CC emitida por el Pleno de la Corte -sin fecha-, presentado el 30 de octubre de 2009 (anexos al escrito de solicitudes y argumentos, anexo 61, f. 1898).</w:t>
      </w:r>
    </w:p>
    <w:p w:rsidR="00D93A8F" w:rsidRPr="002513AB" w:rsidRDefault="00D93A8F" w:rsidP="00CD04D8">
      <w:pPr>
        <w:pStyle w:val="Textonotapie"/>
        <w:ind w:right="9"/>
        <w:jc w:val="both"/>
        <w:rPr>
          <w:lang w:val="es-ES"/>
        </w:rPr>
      </w:pPr>
    </w:p>
  </w:footnote>
  <w:footnote w:id="61">
    <w:p w:rsidR="00D93A8F" w:rsidRPr="0074711B" w:rsidRDefault="00D93A8F" w:rsidP="00CD04D8">
      <w:pPr>
        <w:pStyle w:val="Textonotapie"/>
        <w:ind w:right="9"/>
        <w:jc w:val="both"/>
        <w:rPr>
          <w:rFonts w:ascii="Verdana" w:hAnsi="Verdana"/>
          <w:sz w:val="16"/>
          <w:szCs w:val="16"/>
          <w:lang w:val="es-MX"/>
        </w:rPr>
      </w:pPr>
      <w:r w:rsidRPr="00277159">
        <w:rPr>
          <w:rStyle w:val="Refdenotaalpie"/>
          <w:rFonts w:ascii="Verdana" w:hAnsi="Verdana"/>
          <w:sz w:val="16"/>
          <w:szCs w:val="16"/>
        </w:rPr>
        <w:footnoteRef/>
      </w:r>
      <w:r w:rsidRPr="00277159">
        <w:rPr>
          <w:rFonts w:ascii="Verdana" w:hAnsi="Verdana"/>
          <w:sz w:val="16"/>
          <w:szCs w:val="16"/>
          <w:lang w:val="es-CR"/>
        </w:rPr>
        <w:t xml:space="preserve"> </w:t>
      </w:r>
      <w:r w:rsidRPr="00277159">
        <w:rPr>
          <w:rFonts w:ascii="Verdana" w:hAnsi="Verdana"/>
          <w:sz w:val="16"/>
          <w:szCs w:val="16"/>
          <w:lang w:val="es-CR"/>
        </w:rPr>
        <w:tab/>
      </w:r>
      <w:r w:rsidRPr="00277159">
        <w:rPr>
          <w:rFonts w:ascii="Verdana" w:hAnsi="Verdana"/>
          <w:i/>
          <w:sz w:val="16"/>
          <w:szCs w:val="16"/>
          <w:lang w:val="es-ES"/>
        </w:rPr>
        <w:t>Cfr.</w:t>
      </w:r>
      <w:r w:rsidRPr="00277159">
        <w:rPr>
          <w:rFonts w:ascii="Verdana" w:hAnsi="Verdana"/>
          <w:sz w:val="16"/>
          <w:szCs w:val="16"/>
          <w:lang w:val="es-ES"/>
        </w:rPr>
        <w:t xml:space="preserve"> </w:t>
      </w:r>
      <w:r w:rsidRPr="007E2B8A">
        <w:rPr>
          <w:rFonts w:ascii="Verdana" w:hAnsi="Verdana"/>
          <w:sz w:val="16"/>
          <w:szCs w:val="16"/>
          <w:lang w:val="es-ES"/>
        </w:rPr>
        <w:t xml:space="preserve">Sentencia de Aclaración y Ampliación de la Sentencia No. 0013-09-SIS-CC </w:t>
      </w:r>
      <w:r>
        <w:rPr>
          <w:rFonts w:ascii="Verdana" w:hAnsi="Verdana"/>
          <w:sz w:val="16"/>
          <w:szCs w:val="16"/>
          <w:lang w:val="es-ES"/>
        </w:rPr>
        <w:t xml:space="preserve">de la Corte Constitucional de </w:t>
      </w:r>
      <w:r w:rsidRPr="007E2B8A">
        <w:rPr>
          <w:rFonts w:ascii="Verdana" w:hAnsi="Verdana"/>
          <w:sz w:val="16"/>
          <w:szCs w:val="16"/>
          <w:lang w:val="es-ES"/>
        </w:rPr>
        <w:t>8 de octubre de 2009</w:t>
      </w:r>
      <w:r>
        <w:rPr>
          <w:rFonts w:ascii="Verdana" w:hAnsi="Verdana"/>
          <w:sz w:val="16"/>
          <w:szCs w:val="16"/>
          <w:lang w:val="es-ES"/>
        </w:rPr>
        <w:t xml:space="preserve"> emitida por la Corte Constitucional el 11 de marzo de 2010</w:t>
      </w:r>
      <w:r w:rsidRPr="007E2B8A">
        <w:rPr>
          <w:rFonts w:ascii="Verdana" w:hAnsi="Verdana"/>
          <w:sz w:val="16"/>
          <w:szCs w:val="16"/>
          <w:lang w:val="es-ES"/>
        </w:rPr>
        <w:t xml:space="preserve"> (anexos a</w:t>
      </w:r>
      <w:r>
        <w:rPr>
          <w:rFonts w:ascii="Verdana" w:hAnsi="Verdana"/>
          <w:sz w:val="16"/>
          <w:szCs w:val="16"/>
          <w:lang w:val="es-ES"/>
        </w:rPr>
        <w:t xml:space="preserve">l </w:t>
      </w:r>
      <w:r w:rsidRPr="00FC3247">
        <w:rPr>
          <w:rFonts w:ascii="Verdana" w:hAnsi="Verdana"/>
          <w:sz w:val="16"/>
          <w:szCs w:val="16"/>
          <w:lang w:val="es-ES"/>
        </w:rPr>
        <w:t>escrito de</w:t>
      </w:r>
      <w:r>
        <w:rPr>
          <w:rFonts w:ascii="Verdana" w:hAnsi="Verdana"/>
          <w:sz w:val="16"/>
          <w:szCs w:val="16"/>
          <w:lang w:val="es-ES"/>
        </w:rPr>
        <w:t xml:space="preserve"> </w:t>
      </w:r>
      <w:r w:rsidRPr="007E2B8A">
        <w:rPr>
          <w:rFonts w:ascii="Verdana" w:hAnsi="Verdana"/>
          <w:sz w:val="16"/>
          <w:szCs w:val="16"/>
          <w:lang w:val="es-ES"/>
        </w:rPr>
        <w:t>alegatos finales de los representantes, anexo 2, fs. 777 a</w:t>
      </w:r>
      <w:r>
        <w:rPr>
          <w:rFonts w:ascii="Verdana" w:hAnsi="Verdana"/>
          <w:sz w:val="16"/>
          <w:szCs w:val="16"/>
          <w:lang w:val="es-ES"/>
        </w:rPr>
        <w:t>l</w:t>
      </w:r>
      <w:r w:rsidRPr="007E2B8A">
        <w:rPr>
          <w:rFonts w:ascii="Verdana" w:hAnsi="Verdana"/>
          <w:sz w:val="16"/>
          <w:szCs w:val="16"/>
          <w:lang w:val="es-ES"/>
        </w:rPr>
        <w:t xml:space="preserve"> 779</w:t>
      </w:r>
      <w:r>
        <w:rPr>
          <w:rFonts w:ascii="Verdana" w:hAnsi="Verdana"/>
          <w:sz w:val="16"/>
          <w:szCs w:val="16"/>
          <w:lang w:val="es-ES"/>
        </w:rPr>
        <w:t>)</w:t>
      </w:r>
      <w:r w:rsidRPr="007E2B8A">
        <w:rPr>
          <w:rFonts w:ascii="Verdana" w:hAnsi="Verdana"/>
          <w:sz w:val="16"/>
          <w:szCs w:val="16"/>
          <w:lang w:val="es-ES"/>
        </w:rPr>
        <w:t>.</w:t>
      </w:r>
    </w:p>
    <w:p w:rsidR="00D93A8F" w:rsidRPr="002513AB" w:rsidRDefault="00D93A8F" w:rsidP="00CD04D8">
      <w:pPr>
        <w:pStyle w:val="Textonotapie"/>
        <w:ind w:right="9"/>
        <w:jc w:val="both"/>
        <w:rPr>
          <w:lang w:val="es-ES"/>
        </w:rPr>
      </w:pPr>
    </w:p>
  </w:footnote>
  <w:footnote w:id="62">
    <w:p w:rsidR="00D93A8F" w:rsidRPr="0074711B" w:rsidRDefault="00D93A8F" w:rsidP="00CD04D8">
      <w:pPr>
        <w:pStyle w:val="Textonotapie"/>
        <w:ind w:right="9"/>
        <w:jc w:val="both"/>
        <w:rPr>
          <w:rFonts w:ascii="Verdana" w:hAnsi="Verdana"/>
          <w:sz w:val="16"/>
          <w:szCs w:val="16"/>
          <w:lang w:val="es-CR"/>
        </w:rPr>
      </w:pPr>
      <w:r w:rsidRPr="0074711B">
        <w:rPr>
          <w:rStyle w:val="Refdenotaalpie"/>
          <w:rFonts w:ascii="Verdana" w:hAnsi="Verdana"/>
          <w:sz w:val="16"/>
          <w:szCs w:val="16"/>
        </w:rPr>
        <w:footnoteRef/>
      </w:r>
      <w:r w:rsidRPr="0074711B">
        <w:rPr>
          <w:rFonts w:ascii="Verdana" w:hAnsi="Verdana"/>
          <w:sz w:val="16"/>
          <w:szCs w:val="16"/>
          <w:lang w:val="es-CR"/>
        </w:rPr>
        <w:t xml:space="preserve"> </w:t>
      </w:r>
      <w:r w:rsidRPr="0074711B">
        <w:rPr>
          <w:rFonts w:ascii="Verdana" w:hAnsi="Verdana"/>
          <w:sz w:val="16"/>
          <w:szCs w:val="16"/>
          <w:lang w:val="es-CR"/>
        </w:rPr>
        <w:tab/>
      </w:r>
      <w:r w:rsidRPr="0074711B">
        <w:rPr>
          <w:rFonts w:ascii="Verdana" w:hAnsi="Verdana"/>
          <w:i/>
          <w:sz w:val="16"/>
          <w:szCs w:val="16"/>
          <w:lang w:val="es-CR"/>
        </w:rPr>
        <w:t>Cfr.</w:t>
      </w:r>
      <w:r w:rsidRPr="0074711B">
        <w:rPr>
          <w:rFonts w:ascii="Verdana" w:hAnsi="Verdana"/>
          <w:sz w:val="16"/>
          <w:szCs w:val="16"/>
          <w:lang w:val="es-CR"/>
        </w:rPr>
        <w:t xml:space="preserve"> Oficio N. 2011-0046-SCOGFT del 22 de marzo de 2011 (</w:t>
      </w:r>
      <w:r w:rsidRPr="004E1F39">
        <w:rPr>
          <w:rFonts w:ascii="Verdana" w:hAnsi="Verdana"/>
          <w:sz w:val="16"/>
          <w:szCs w:val="16"/>
          <w:lang w:val="es-CR"/>
        </w:rPr>
        <w:t>anexos al escrito de alegatos</w:t>
      </w:r>
      <w:r w:rsidRPr="0074711B">
        <w:rPr>
          <w:rFonts w:ascii="Verdana" w:hAnsi="Verdana"/>
          <w:sz w:val="16"/>
          <w:szCs w:val="16"/>
          <w:lang w:val="es-CR"/>
        </w:rPr>
        <w:t xml:space="preserve"> finales de los representantes, </w:t>
      </w:r>
      <w:r>
        <w:rPr>
          <w:rFonts w:ascii="Verdana" w:hAnsi="Verdana"/>
          <w:sz w:val="16"/>
          <w:szCs w:val="16"/>
          <w:lang w:val="es-CR"/>
        </w:rPr>
        <w:t xml:space="preserve">anexo 3, fs. 781 al </w:t>
      </w:r>
      <w:r w:rsidRPr="00277159">
        <w:rPr>
          <w:rFonts w:ascii="Verdana" w:hAnsi="Verdana"/>
          <w:sz w:val="16"/>
          <w:szCs w:val="16"/>
          <w:lang w:val="es-CR"/>
        </w:rPr>
        <w:t>790).</w:t>
      </w:r>
    </w:p>
    <w:p w:rsidR="00D93A8F" w:rsidRPr="002513AB" w:rsidRDefault="00D93A8F" w:rsidP="00CD04D8">
      <w:pPr>
        <w:pStyle w:val="Textonotapie"/>
        <w:ind w:right="9"/>
        <w:jc w:val="both"/>
        <w:rPr>
          <w:lang w:val="es-ES"/>
        </w:rPr>
      </w:pPr>
    </w:p>
  </w:footnote>
  <w:footnote w:id="63">
    <w:p w:rsidR="00D93A8F" w:rsidRPr="007E2B8A" w:rsidRDefault="00D93A8F" w:rsidP="00E767BC">
      <w:pPr>
        <w:pStyle w:val="Textonotapie"/>
        <w:ind w:right="9"/>
        <w:jc w:val="both"/>
        <w:rPr>
          <w:rFonts w:ascii="Verdana" w:hAnsi="Verdana"/>
          <w:sz w:val="16"/>
          <w:szCs w:val="16"/>
          <w:lang w:val="es-CR"/>
        </w:rPr>
      </w:pPr>
      <w:r w:rsidRPr="0074711B">
        <w:rPr>
          <w:rStyle w:val="Smbolodenotaalpie"/>
          <w:sz w:val="16"/>
          <w:szCs w:val="16"/>
        </w:rPr>
        <w:footnoteRef/>
      </w:r>
      <w:r w:rsidRPr="0074711B">
        <w:rPr>
          <w:rFonts w:ascii="Verdana" w:hAnsi="Verdana"/>
          <w:sz w:val="16"/>
          <w:szCs w:val="16"/>
          <w:lang w:val="es-CR"/>
        </w:rPr>
        <w:tab/>
        <w:t xml:space="preserve"> </w:t>
      </w:r>
      <w:r w:rsidRPr="007E2B8A">
        <w:rPr>
          <w:rFonts w:ascii="Verdana" w:hAnsi="Verdana"/>
          <w:sz w:val="16"/>
          <w:szCs w:val="16"/>
          <w:lang w:val="es-CR"/>
        </w:rPr>
        <w:t>“El militar será puesto en disponibilidad, por una de las siguientes causas […] (f) Por haberse dictado en su contra auto motivado a auto de lla</w:t>
      </w:r>
      <w:r>
        <w:rPr>
          <w:rFonts w:ascii="Verdana" w:hAnsi="Verdana"/>
          <w:sz w:val="16"/>
          <w:szCs w:val="16"/>
          <w:lang w:val="es-CR"/>
        </w:rPr>
        <w:t>m</w:t>
      </w:r>
      <w:r w:rsidRPr="007E2B8A">
        <w:rPr>
          <w:rFonts w:ascii="Verdana" w:hAnsi="Verdana"/>
          <w:sz w:val="16"/>
          <w:szCs w:val="16"/>
          <w:lang w:val="es-CR"/>
        </w:rPr>
        <w:t>amiento a juicio plenario, por infracciones militar</w:t>
      </w:r>
      <w:r>
        <w:rPr>
          <w:rFonts w:ascii="Verdana" w:hAnsi="Verdana"/>
          <w:sz w:val="16"/>
          <w:szCs w:val="16"/>
          <w:lang w:val="es-CR"/>
        </w:rPr>
        <w:t>e</w:t>
      </w:r>
      <w:r w:rsidRPr="007E2B8A">
        <w:rPr>
          <w:rFonts w:ascii="Verdana" w:hAnsi="Verdana"/>
          <w:sz w:val="16"/>
          <w:szCs w:val="16"/>
          <w:lang w:val="es-CR"/>
        </w:rPr>
        <w:t>s o comunes una vez ejecutoriados.</w:t>
      </w:r>
    </w:p>
    <w:p w:rsidR="00D93A8F" w:rsidRPr="00854CE8" w:rsidRDefault="00D93A8F" w:rsidP="00E767BC">
      <w:pPr>
        <w:pStyle w:val="Textonotapie"/>
        <w:ind w:right="9"/>
        <w:jc w:val="both"/>
        <w:rPr>
          <w:lang w:val="es-ES"/>
        </w:rPr>
      </w:pPr>
    </w:p>
  </w:footnote>
  <w:footnote w:id="64">
    <w:p w:rsidR="00D93A8F" w:rsidRPr="0074711B" w:rsidRDefault="00D93A8F" w:rsidP="0074711B">
      <w:pPr>
        <w:pStyle w:val="Textonotapie"/>
        <w:ind w:right="9"/>
        <w:jc w:val="both"/>
        <w:rPr>
          <w:rFonts w:ascii="Verdana" w:hAnsi="Verdana"/>
          <w:sz w:val="16"/>
          <w:szCs w:val="16"/>
          <w:lang w:val="es-CR"/>
        </w:rPr>
      </w:pPr>
      <w:r w:rsidRPr="007E2B8A">
        <w:rPr>
          <w:rStyle w:val="Refdenotaalpie"/>
          <w:rFonts w:ascii="Verdana" w:hAnsi="Verdana"/>
          <w:sz w:val="16"/>
          <w:szCs w:val="16"/>
        </w:rPr>
        <w:footnoteRef/>
      </w:r>
      <w:r w:rsidRPr="007E2B8A">
        <w:rPr>
          <w:rFonts w:ascii="Verdana" w:hAnsi="Verdana"/>
          <w:sz w:val="16"/>
          <w:szCs w:val="16"/>
          <w:lang w:val="es-CR"/>
        </w:rPr>
        <w:t xml:space="preserve"> </w:t>
      </w:r>
      <w:r w:rsidRPr="007E2B8A">
        <w:rPr>
          <w:rFonts w:ascii="Verdana" w:hAnsi="Verdana"/>
          <w:sz w:val="16"/>
          <w:szCs w:val="16"/>
          <w:lang w:val="es-CR"/>
        </w:rPr>
        <w:tab/>
      </w:r>
      <w:r w:rsidRPr="007E2B8A">
        <w:rPr>
          <w:rFonts w:ascii="Verdana" w:hAnsi="Verdana"/>
          <w:i/>
          <w:sz w:val="16"/>
          <w:szCs w:val="16"/>
          <w:lang w:val="es-CR"/>
        </w:rPr>
        <w:t>Cfr.</w:t>
      </w:r>
      <w:r w:rsidRPr="007E2B8A">
        <w:rPr>
          <w:rFonts w:ascii="Verdana" w:hAnsi="Verdana"/>
          <w:sz w:val="16"/>
          <w:szCs w:val="16"/>
          <w:lang w:val="es-CR"/>
        </w:rPr>
        <w:t xml:space="preserve"> </w:t>
      </w:r>
      <w:r w:rsidRPr="00580D60">
        <w:rPr>
          <w:rFonts w:ascii="Verdana" w:hAnsi="Verdana"/>
          <w:sz w:val="16"/>
          <w:szCs w:val="16"/>
          <w:lang w:val="es-ES"/>
        </w:rPr>
        <w:t xml:space="preserve"> </w:t>
      </w:r>
      <w:r w:rsidRPr="00FC3247">
        <w:rPr>
          <w:rFonts w:ascii="Verdana" w:hAnsi="Verdana"/>
          <w:sz w:val="16"/>
          <w:szCs w:val="16"/>
          <w:lang w:val="es-ES"/>
        </w:rPr>
        <w:t>Escrito de impugnación a la resolución de 22 de marzo de 2011 emitida por el Consejo de Generales de la Fuerza Terrestre (anexos a los alegatos finales de los representantes, tomo I, f.</w:t>
      </w:r>
      <w:r>
        <w:rPr>
          <w:rFonts w:ascii="Verdana" w:hAnsi="Verdana"/>
          <w:sz w:val="16"/>
          <w:szCs w:val="16"/>
          <w:lang w:val="es-ES"/>
        </w:rPr>
        <w:t xml:space="preserve"> </w:t>
      </w:r>
      <w:r w:rsidRPr="00FC3247">
        <w:rPr>
          <w:rFonts w:ascii="Verdana" w:hAnsi="Verdana"/>
          <w:sz w:val="16"/>
          <w:szCs w:val="16"/>
          <w:lang w:val="es-ES"/>
        </w:rPr>
        <w:t>813).</w:t>
      </w:r>
    </w:p>
    <w:p w:rsidR="00D93A8F" w:rsidRPr="002513AB" w:rsidRDefault="00D93A8F" w:rsidP="0074711B">
      <w:pPr>
        <w:pStyle w:val="Textonotapie"/>
        <w:ind w:right="9"/>
        <w:jc w:val="both"/>
        <w:rPr>
          <w:lang w:val="es-ES"/>
        </w:rPr>
      </w:pPr>
    </w:p>
  </w:footnote>
  <w:footnote w:id="65">
    <w:p w:rsidR="00D93A8F" w:rsidRPr="0074711B" w:rsidRDefault="00D93A8F" w:rsidP="00CD04D8">
      <w:pPr>
        <w:pStyle w:val="Textonotapie"/>
        <w:ind w:right="9"/>
        <w:jc w:val="both"/>
        <w:rPr>
          <w:rFonts w:ascii="Verdana" w:hAnsi="Verdana"/>
          <w:sz w:val="16"/>
          <w:szCs w:val="16"/>
          <w:lang w:val="es-ES"/>
        </w:rPr>
      </w:pPr>
      <w:r w:rsidRPr="0074711B">
        <w:rPr>
          <w:rStyle w:val="Refdenotaalpie"/>
          <w:rFonts w:ascii="Verdana" w:hAnsi="Verdana"/>
          <w:sz w:val="16"/>
          <w:szCs w:val="16"/>
        </w:rPr>
        <w:footnoteRef/>
      </w:r>
      <w:r w:rsidRPr="0074711B">
        <w:rPr>
          <w:rFonts w:ascii="Verdana" w:hAnsi="Verdana"/>
          <w:sz w:val="16"/>
          <w:szCs w:val="16"/>
          <w:lang w:val="es-CR"/>
        </w:rPr>
        <w:t xml:space="preserve"> </w:t>
      </w:r>
      <w:r w:rsidRPr="0074711B">
        <w:rPr>
          <w:rFonts w:ascii="Verdana" w:hAnsi="Verdana"/>
          <w:sz w:val="16"/>
          <w:szCs w:val="16"/>
          <w:lang w:val="es-CR"/>
        </w:rPr>
        <w:tab/>
      </w:r>
      <w:r w:rsidRPr="0074711B">
        <w:rPr>
          <w:rFonts w:ascii="Verdana" w:hAnsi="Verdana"/>
          <w:i/>
          <w:sz w:val="16"/>
          <w:szCs w:val="16"/>
          <w:lang w:val="es-ES"/>
        </w:rPr>
        <w:t>Cfr.</w:t>
      </w:r>
      <w:r w:rsidRPr="0074711B">
        <w:rPr>
          <w:rFonts w:ascii="Verdana" w:hAnsi="Verdana"/>
          <w:sz w:val="16"/>
          <w:szCs w:val="16"/>
          <w:lang w:val="es-ES"/>
        </w:rPr>
        <w:t xml:space="preserve"> </w:t>
      </w:r>
      <w:r w:rsidRPr="00FC3247">
        <w:rPr>
          <w:rFonts w:ascii="Verdana" w:hAnsi="Verdana"/>
          <w:sz w:val="16"/>
          <w:szCs w:val="16"/>
          <w:lang w:val="es-ES"/>
        </w:rPr>
        <w:t>Oficio No. 2011-0062-SCOGFT de 6 de abril de 2011 (expediente de excepciones preliminares, fondo, reparaciones y costas,  tomo III, fs. 666 a</w:t>
      </w:r>
      <w:r>
        <w:rPr>
          <w:rFonts w:ascii="Verdana" w:hAnsi="Verdana"/>
          <w:sz w:val="16"/>
          <w:szCs w:val="16"/>
          <w:lang w:val="es-ES"/>
        </w:rPr>
        <w:t>l</w:t>
      </w:r>
      <w:r w:rsidRPr="00FC3247">
        <w:rPr>
          <w:rFonts w:ascii="Verdana" w:hAnsi="Verdana"/>
          <w:sz w:val="16"/>
          <w:szCs w:val="16"/>
          <w:lang w:val="es-ES"/>
        </w:rPr>
        <w:t xml:space="preserve"> 670</w:t>
      </w:r>
      <w:r w:rsidRPr="008960EF">
        <w:rPr>
          <w:rFonts w:ascii="Verdana" w:hAnsi="Verdana"/>
          <w:sz w:val="16"/>
          <w:szCs w:val="16"/>
          <w:lang w:val="es-ES"/>
        </w:rPr>
        <w:t>).</w:t>
      </w:r>
    </w:p>
    <w:p w:rsidR="00D93A8F" w:rsidRPr="002513AB" w:rsidRDefault="00D93A8F" w:rsidP="00CD04D8">
      <w:pPr>
        <w:pStyle w:val="Textonotapie"/>
        <w:ind w:right="9"/>
        <w:jc w:val="both"/>
        <w:rPr>
          <w:lang w:val="es-ES"/>
        </w:rPr>
      </w:pPr>
    </w:p>
  </w:footnote>
  <w:footnote w:id="66">
    <w:p w:rsidR="00D93A8F" w:rsidRPr="0074711B" w:rsidRDefault="00D93A8F" w:rsidP="00CD04D8">
      <w:pPr>
        <w:pStyle w:val="Textonotapie"/>
        <w:ind w:right="9"/>
        <w:jc w:val="both"/>
        <w:rPr>
          <w:rFonts w:ascii="Verdana" w:hAnsi="Verdana"/>
          <w:sz w:val="16"/>
          <w:szCs w:val="16"/>
          <w:lang w:val="es-CR"/>
        </w:rPr>
      </w:pPr>
      <w:r w:rsidRPr="0074711B">
        <w:rPr>
          <w:rStyle w:val="Smbolodenotaalpie"/>
          <w:sz w:val="16"/>
          <w:szCs w:val="16"/>
        </w:rPr>
        <w:footnoteRef/>
      </w:r>
      <w:r w:rsidRPr="0074711B">
        <w:rPr>
          <w:rFonts w:ascii="Verdana" w:hAnsi="Verdana"/>
          <w:sz w:val="16"/>
          <w:szCs w:val="16"/>
          <w:lang w:val="es-CR"/>
        </w:rPr>
        <w:tab/>
        <w:t xml:space="preserve">Constitución Política de Ecuador de 1998, </w:t>
      </w:r>
      <w:r>
        <w:rPr>
          <w:rFonts w:ascii="Verdana" w:hAnsi="Verdana"/>
          <w:sz w:val="16"/>
          <w:szCs w:val="16"/>
          <w:lang w:val="es-CR"/>
        </w:rPr>
        <w:t xml:space="preserve">establecía en el </w:t>
      </w:r>
      <w:r w:rsidRPr="0074711B">
        <w:rPr>
          <w:rFonts w:ascii="Verdana" w:hAnsi="Verdana"/>
          <w:sz w:val="16"/>
          <w:szCs w:val="16"/>
          <w:lang w:val="es-CR"/>
        </w:rPr>
        <w:t>artículo 24, inciso 13:</w:t>
      </w:r>
      <w:r w:rsidRPr="0074711B">
        <w:rPr>
          <w:rFonts w:ascii="Verdana" w:hAnsi="Verdana"/>
          <w:sz w:val="16"/>
          <w:szCs w:val="16"/>
          <w:lang w:val="es-CR"/>
        </w:rPr>
        <w:br/>
      </w:r>
      <w:r>
        <w:rPr>
          <w:rFonts w:ascii="Verdana" w:hAnsi="Verdana"/>
          <w:sz w:val="16"/>
          <w:szCs w:val="16"/>
          <w:lang w:val="es-CR"/>
        </w:rPr>
        <w:t>“</w:t>
      </w:r>
      <w:r w:rsidRPr="0074711B">
        <w:rPr>
          <w:rFonts w:ascii="Verdana" w:hAnsi="Verdana"/>
          <w:sz w:val="16"/>
          <w:szCs w:val="16"/>
          <w:lang w:val="es-CR"/>
        </w:rPr>
        <w:t xml:space="preserve">Las resoluciones de los poderes públicos que afecten a las personas, deberán ser motivadas. No habrá tal motivación si en la resolución no se enunciaren normas o principios jurídicos en que se haya fundado, y si no se explicare la pertinencia de su aplicación a los antecedentes de hecho. Al resolver la impugnación de una sanción no se podrá empeorar la situación del recurrente”. </w:t>
      </w:r>
    </w:p>
    <w:p w:rsidR="00D93A8F" w:rsidRPr="002513AB" w:rsidRDefault="00D93A8F" w:rsidP="00CD04D8">
      <w:pPr>
        <w:pStyle w:val="Textonotapie"/>
        <w:ind w:right="9"/>
        <w:jc w:val="both"/>
        <w:rPr>
          <w:lang w:val="es-ES"/>
        </w:rPr>
      </w:pPr>
    </w:p>
  </w:footnote>
  <w:footnote w:id="67">
    <w:p w:rsidR="00D93A8F" w:rsidRPr="0074711B" w:rsidRDefault="00D93A8F" w:rsidP="00CD04D8">
      <w:pPr>
        <w:pStyle w:val="Textonotapie"/>
        <w:ind w:right="9"/>
        <w:jc w:val="both"/>
        <w:rPr>
          <w:rFonts w:ascii="Verdana" w:hAnsi="Verdana"/>
          <w:sz w:val="16"/>
          <w:szCs w:val="16"/>
          <w:lang w:val="es-CR"/>
        </w:rPr>
      </w:pPr>
      <w:r w:rsidRPr="0074711B">
        <w:rPr>
          <w:rStyle w:val="Smbolodenotaalpie"/>
          <w:sz w:val="16"/>
          <w:szCs w:val="16"/>
        </w:rPr>
        <w:footnoteRef/>
      </w:r>
      <w:r w:rsidRPr="0074711B">
        <w:rPr>
          <w:rFonts w:ascii="Verdana" w:hAnsi="Verdana"/>
          <w:sz w:val="16"/>
          <w:szCs w:val="16"/>
          <w:lang w:val="es-CR"/>
        </w:rPr>
        <w:tab/>
      </w:r>
      <w:r>
        <w:rPr>
          <w:rFonts w:ascii="Verdana" w:hAnsi="Verdana"/>
          <w:sz w:val="16"/>
          <w:szCs w:val="16"/>
          <w:lang w:val="es-CR"/>
        </w:rPr>
        <w:t xml:space="preserve">El </w:t>
      </w:r>
      <w:r w:rsidRPr="0074711B">
        <w:rPr>
          <w:rFonts w:ascii="Verdana" w:hAnsi="Verdana"/>
          <w:sz w:val="16"/>
          <w:szCs w:val="16"/>
          <w:lang w:val="es-CR"/>
        </w:rPr>
        <w:t xml:space="preserve">Reglamento del Consejo de Oficiales Generales, </w:t>
      </w:r>
      <w:r>
        <w:rPr>
          <w:rFonts w:ascii="Verdana" w:hAnsi="Verdana"/>
          <w:sz w:val="16"/>
          <w:szCs w:val="16"/>
          <w:lang w:val="es-CR"/>
        </w:rPr>
        <w:t xml:space="preserve">Literal </w:t>
      </w:r>
      <w:r w:rsidRPr="0074711B">
        <w:rPr>
          <w:rFonts w:ascii="Verdana" w:hAnsi="Verdana"/>
          <w:sz w:val="16"/>
          <w:szCs w:val="16"/>
          <w:lang w:val="es-CR"/>
        </w:rPr>
        <w:t>a)</w:t>
      </w:r>
      <w:r>
        <w:rPr>
          <w:rFonts w:ascii="Verdana" w:hAnsi="Verdana"/>
          <w:sz w:val="16"/>
          <w:szCs w:val="16"/>
          <w:lang w:val="es-CR"/>
        </w:rPr>
        <w:t xml:space="preserve"> dispone</w:t>
      </w:r>
      <w:r w:rsidRPr="0074711B">
        <w:rPr>
          <w:rFonts w:ascii="Verdana" w:hAnsi="Verdana"/>
          <w:sz w:val="16"/>
          <w:szCs w:val="16"/>
          <w:lang w:val="es-CR"/>
        </w:rPr>
        <w:t>:</w:t>
      </w:r>
    </w:p>
    <w:p w:rsidR="00D93A8F" w:rsidRPr="002513AB" w:rsidRDefault="00D93A8F" w:rsidP="00CD04D8">
      <w:pPr>
        <w:pStyle w:val="Textonotapie"/>
        <w:ind w:right="9"/>
        <w:jc w:val="both"/>
        <w:rPr>
          <w:lang w:val="es-ES"/>
        </w:rPr>
      </w:pPr>
      <w:r w:rsidRPr="0074711B">
        <w:rPr>
          <w:rFonts w:ascii="Verdana" w:hAnsi="Verdana"/>
          <w:sz w:val="16"/>
          <w:szCs w:val="16"/>
          <w:lang w:val="es-CR"/>
        </w:rPr>
        <w:tab/>
        <w:t xml:space="preserve">“Si un candidato fuere calificado como no apto en cualquiera de los conceptos de cualidades morales, inmediatamente se debe suspender su evaluación, pero el calificador debe justificar ese hecho”. </w:t>
      </w:r>
    </w:p>
  </w:footnote>
  <w:footnote w:id="68">
    <w:p w:rsidR="00D93A8F" w:rsidRDefault="00D93A8F" w:rsidP="00CD04D8">
      <w:pPr>
        <w:pStyle w:val="Textonotapie"/>
        <w:ind w:right="9"/>
        <w:jc w:val="both"/>
        <w:rPr>
          <w:rFonts w:ascii="Verdana" w:hAnsi="Verdana"/>
          <w:sz w:val="16"/>
          <w:szCs w:val="16"/>
          <w:lang w:val="es-CR"/>
        </w:rPr>
      </w:pPr>
      <w:r w:rsidRPr="0074711B">
        <w:rPr>
          <w:rStyle w:val="Refdenotaalpie"/>
          <w:rFonts w:ascii="Verdana" w:hAnsi="Verdana"/>
          <w:sz w:val="16"/>
          <w:szCs w:val="16"/>
        </w:rPr>
        <w:footnoteRef/>
      </w:r>
      <w:r w:rsidRPr="0074711B">
        <w:rPr>
          <w:rFonts w:ascii="Verdana" w:hAnsi="Verdana"/>
          <w:sz w:val="16"/>
          <w:szCs w:val="16"/>
          <w:lang w:val="es-CR"/>
        </w:rPr>
        <w:t xml:space="preserve"> </w:t>
      </w:r>
      <w:r w:rsidRPr="0074711B">
        <w:rPr>
          <w:rFonts w:ascii="Verdana" w:hAnsi="Verdana"/>
          <w:sz w:val="16"/>
          <w:szCs w:val="16"/>
          <w:lang w:val="es-CR"/>
        </w:rPr>
        <w:tab/>
        <w:t>A saber: el escrito de 4 de abril de 2002 mediante el cual el señor Mejía Idrovo solicitó que se le reintegre al servicio activo con el trámite de ascenso inmediato, y el escrito de 7 de agosto de 2002 del señor Mejía Idrovo en el cual hace una interpretación errónea e invoca la inconstitucionalidad de los decretos ejecutivos para su ascenso al grado jerárquico inmediatamente superior a partir del 21 de diciembre de de 2000. En dicha comunicación dirig</w:t>
      </w:r>
      <w:r>
        <w:rPr>
          <w:rFonts w:ascii="Verdana" w:hAnsi="Verdana"/>
          <w:sz w:val="16"/>
          <w:szCs w:val="16"/>
          <w:lang w:val="es-CR"/>
        </w:rPr>
        <w:t>ida</w:t>
      </w:r>
      <w:r w:rsidRPr="0074711B">
        <w:rPr>
          <w:rFonts w:ascii="Verdana" w:hAnsi="Verdana"/>
          <w:sz w:val="16"/>
          <w:szCs w:val="16"/>
          <w:lang w:val="es-CR"/>
        </w:rPr>
        <w:t xml:space="preserve"> al señor Presidente Constitucional de la República del Ecuador de la época, hizo un señalamiento de una cuantía económica desmesurada que desnaturaliza cualquier criterio judicial reparatorio (escrito de alegatos finales </w:t>
      </w:r>
      <w:r w:rsidRPr="00137A26">
        <w:rPr>
          <w:rFonts w:ascii="Verdana" w:hAnsi="Verdana"/>
          <w:sz w:val="16"/>
          <w:szCs w:val="16"/>
          <w:lang w:val="es-CR"/>
        </w:rPr>
        <w:t>del Estado, f. 542).</w:t>
      </w:r>
    </w:p>
    <w:p w:rsidR="00D93A8F" w:rsidRPr="002513AB" w:rsidRDefault="00D93A8F" w:rsidP="00CD04D8">
      <w:pPr>
        <w:pStyle w:val="Textonotapie"/>
        <w:ind w:right="9"/>
        <w:jc w:val="both"/>
        <w:rPr>
          <w:lang w:val="es-ES"/>
        </w:rPr>
      </w:pPr>
    </w:p>
  </w:footnote>
  <w:footnote w:id="69">
    <w:p w:rsidR="00D93A8F" w:rsidRDefault="00D93A8F" w:rsidP="00610D0B">
      <w:pPr>
        <w:pStyle w:val="Textonotapie"/>
        <w:ind w:right="9"/>
        <w:jc w:val="both"/>
        <w:rPr>
          <w:rFonts w:ascii="Verdana" w:hAnsi="Verdana"/>
          <w:sz w:val="16"/>
          <w:szCs w:val="16"/>
          <w:lang w:val="es-CR"/>
        </w:rPr>
      </w:pPr>
      <w:r w:rsidRPr="0074711B">
        <w:rPr>
          <w:rStyle w:val="Smbolodenotaalpie"/>
          <w:sz w:val="16"/>
          <w:szCs w:val="16"/>
        </w:rPr>
        <w:footnoteRef/>
      </w:r>
      <w:r w:rsidRPr="0074711B">
        <w:rPr>
          <w:rFonts w:ascii="Verdana" w:hAnsi="Verdana"/>
          <w:sz w:val="16"/>
          <w:szCs w:val="16"/>
          <w:lang w:val="es-CR"/>
        </w:rPr>
        <w:tab/>
      </w:r>
      <w:r w:rsidRPr="007E2B8A">
        <w:rPr>
          <w:rFonts w:ascii="Verdana" w:hAnsi="Verdana"/>
          <w:i/>
          <w:sz w:val="16"/>
          <w:szCs w:val="16"/>
          <w:lang w:val="es-CR"/>
        </w:rPr>
        <w:t>Cfr.</w:t>
      </w:r>
      <w:r w:rsidRPr="007E2B8A">
        <w:rPr>
          <w:rFonts w:ascii="Verdana" w:hAnsi="Verdana"/>
          <w:sz w:val="16"/>
          <w:szCs w:val="16"/>
          <w:lang w:val="es-CR"/>
        </w:rPr>
        <w:t xml:space="preserve"> </w:t>
      </w:r>
      <w:r w:rsidRPr="000E08CA">
        <w:rPr>
          <w:rFonts w:ascii="Verdana" w:hAnsi="Verdana"/>
          <w:sz w:val="16"/>
          <w:szCs w:val="16"/>
          <w:lang w:val="es-CR"/>
        </w:rPr>
        <w:t>Oficio de Guía de Casilleros Constitucionales</w:t>
      </w:r>
      <w:r>
        <w:rPr>
          <w:rFonts w:ascii="Verdana" w:hAnsi="Verdana"/>
          <w:sz w:val="16"/>
          <w:szCs w:val="16"/>
          <w:lang w:val="es-CR"/>
        </w:rPr>
        <w:t xml:space="preserve">, </w:t>
      </w:r>
      <w:r w:rsidRPr="00FC3247">
        <w:rPr>
          <w:rFonts w:ascii="Verdana" w:hAnsi="Verdana"/>
          <w:i/>
          <w:sz w:val="16"/>
          <w:szCs w:val="16"/>
          <w:lang w:val="es-CR"/>
        </w:rPr>
        <w:t>supra</w:t>
      </w:r>
      <w:r w:rsidRPr="007E2B8A">
        <w:rPr>
          <w:rFonts w:ascii="Verdana" w:hAnsi="Verdana"/>
          <w:sz w:val="16"/>
          <w:szCs w:val="16"/>
          <w:lang w:val="es-CR"/>
        </w:rPr>
        <w:t xml:space="preserve"> nota 43.</w:t>
      </w:r>
      <w:r>
        <w:rPr>
          <w:rFonts w:ascii="Verdana" w:hAnsi="Verdana"/>
          <w:sz w:val="16"/>
          <w:szCs w:val="16"/>
          <w:lang w:val="es-CR"/>
        </w:rPr>
        <w:t xml:space="preserve"> </w:t>
      </w:r>
    </w:p>
    <w:p w:rsidR="00D93A8F" w:rsidRPr="002513AB" w:rsidRDefault="00D93A8F" w:rsidP="00610D0B">
      <w:pPr>
        <w:pStyle w:val="Textonotapie"/>
        <w:ind w:right="9"/>
        <w:jc w:val="both"/>
        <w:rPr>
          <w:lang w:val="es-ES"/>
        </w:rPr>
      </w:pPr>
    </w:p>
  </w:footnote>
  <w:footnote w:id="70">
    <w:p w:rsidR="00D93A8F" w:rsidRDefault="00D93A8F" w:rsidP="00610D0B">
      <w:pPr>
        <w:pStyle w:val="Textonotapie"/>
        <w:ind w:right="9"/>
        <w:jc w:val="both"/>
        <w:rPr>
          <w:rFonts w:ascii="Verdana" w:hAnsi="Verdana"/>
          <w:sz w:val="16"/>
          <w:szCs w:val="16"/>
          <w:lang w:val="es-CR"/>
        </w:rPr>
      </w:pPr>
      <w:r w:rsidRPr="0074711B">
        <w:rPr>
          <w:rStyle w:val="Smbolodenotaalpie"/>
          <w:sz w:val="16"/>
          <w:szCs w:val="16"/>
        </w:rPr>
        <w:footnoteRef/>
      </w:r>
      <w:r w:rsidRPr="0074711B">
        <w:rPr>
          <w:rFonts w:ascii="Verdana" w:hAnsi="Verdana"/>
          <w:sz w:val="16"/>
          <w:szCs w:val="16"/>
          <w:lang w:val="es-CR"/>
        </w:rPr>
        <w:tab/>
      </w:r>
      <w:r w:rsidRPr="007E2B8A">
        <w:rPr>
          <w:rFonts w:ascii="Verdana" w:hAnsi="Verdana"/>
          <w:i/>
          <w:sz w:val="16"/>
          <w:szCs w:val="16"/>
          <w:lang w:val="es-CR"/>
        </w:rPr>
        <w:t>Cfr.</w:t>
      </w:r>
      <w:r w:rsidRPr="007E2B8A">
        <w:rPr>
          <w:rFonts w:ascii="Verdana" w:hAnsi="Verdana"/>
          <w:sz w:val="16"/>
          <w:szCs w:val="16"/>
          <w:lang w:val="es-CR"/>
        </w:rPr>
        <w:t xml:space="preserve"> </w:t>
      </w:r>
      <w:r w:rsidRPr="0074711B">
        <w:rPr>
          <w:rFonts w:ascii="Verdana" w:hAnsi="Verdana"/>
          <w:sz w:val="16"/>
          <w:szCs w:val="16"/>
          <w:lang w:val="es-CR"/>
        </w:rPr>
        <w:t>Artículo  278</w:t>
      </w:r>
      <w:r>
        <w:rPr>
          <w:rFonts w:ascii="Verdana" w:hAnsi="Verdana"/>
          <w:sz w:val="16"/>
          <w:szCs w:val="16"/>
          <w:lang w:val="es-CR"/>
        </w:rPr>
        <w:t xml:space="preserve"> de la Constitución Política del Ecuador, </w:t>
      </w:r>
      <w:r w:rsidRPr="00C432C4">
        <w:rPr>
          <w:rFonts w:ascii="Verdana" w:hAnsi="Verdana"/>
          <w:i/>
          <w:sz w:val="16"/>
          <w:szCs w:val="16"/>
          <w:lang w:val="es-CR"/>
        </w:rPr>
        <w:t xml:space="preserve">supra </w:t>
      </w:r>
      <w:r>
        <w:rPr>
          <w:rFonts w:ascii="Verdana" w:hAnsi="Verdana"/>
          <w:sz w:val="16"/>
          <w:szCs w:val="16"/>
          <w:lang w:val="es-CR"/>
        </w:rPr>
        <w:t>nota 45.</w:t>
      </w:r>
    </w:p>
    <w:p w:rsidR="00D93A8F" w:rsidRPr="002513AB" w:rsidRDefault="00D93A8F" w:rsidP="00610D0B">
      <w:pPr>
        <w:pStyle w:val="Textonotapie"/>
        <w:ind w:right="9"/>
        <w:jc w:val="both"/>
        <w:rPr>
          <w:lang w:val="es-ES"/>
        </w:rPr>
      </w:pPr>
    </w:p>
  </w:footnote>
  <w:footnote w:id="71">
    <w:p w:rsidR="00D93A8F" w:rsidRDefault="00D93A8F" w:rsidP="00610D0B">
      <w:pPr>
        <w:pStyle w:val="Textonotapie"/>
        <w:ind w:right="9"/>
        <w:jc w:val="both"/>
        <w:rPr>
          <w:rFonts w:ascii="Verdana" w:hAnsi="Verdana"/>
          <w:sz w:val="16"/>
          <w:szCs w:val="16"/>
          <w:lang w:val="es-CR"/>
        </w:rPr>
      </w:pPr>
      <w:r w:rsidRPr="0074711B">
        <w:rPr>
          <w:rStyle w:val="Smbolodenotaalpie"/>
          <w:sz w:val="16"/>
          <w:szCs w:val="16"/>
        </w:rPr>
        <w:footnoteRef/>
      </w:r>
      <w:r w:rsidRPr="0074711B">
        <w:rPr>
          <w:rFonts w:ascii="Verdana" w:hAnsi="Verdana"/>
          <w:sz w:val="16"/>
          <w:szCs w:val="16"/>
          <w:lang w:val="es-CR"/>
        </w:rPr>
        <w:tab/>
        <w:t xml:space="preserve"> Artículo 67 dispone que: “Ejecución de las resoluciones Pleno.- las resoluciones por el Pleno serán Ejecutadas por el Presidente del Tribunal.</w:t>
      </w:r>
    </w:p>
    <w:p w:rsidR="00D93A8F" w:rsidRPr="002513AB" w:rsidRDefault="00D93A8F" w:rsidP="00610D0B">
      <w:pPr>
        <w:pStyle w:val="Textonotapie"/>
        <w:ind w:right="9"/>
        <w:jc w:val="both"/>
        <w:rPr>
          <w:lang w:val="es-ES"/>
        </w:rPr>
      </w:pPr>
    </w:p>
  </w:footnote>
  <w:footnote w:id="72">
    <w:p w:rsidR="00D93A8F" w:rsidRDefault="00D93A8F" w:rsidP="00610D0B">
      <w:pPr>
        <w:pStyle w:val="Textonotapie"/>
        <w:ind w:right="9"/>
        <w:jc w:val="both"/>
        <w:rPr>
          <w:rFonts w:ascii="Verdana" w:hAnsi="Verdana"/>
          <w:sz w:val="16"/>
          <w:szCs w:val="16"/>
          <w:lang w:val="es-CR"/>
        </w:rPr>
      </w:pPr>
      <w:r w:rsidRPr="0074711B">
        <w:rPr>
          <w:rStyle w:val="Smbolodenotaalpie"/>
          <w:sz w:val="16"/>
          <w:szCs w:val="16"/>
        </w:rPr>
        <w:footnoteRef/>
      </w:r>
      <w:r w:rsidRPr="0074711B">
        <w:rPr>
          <w:rFonts w:ascii="Verdana" w:hAnsi="Verdana"/>
          <w:sz w:val="16"/>
          <w:szCs w:val="16"/>
          <w:lang w:val="es-CR"/>
        </w:rPr>
        <w:tab/>
        <w:t>Artículo 285 dispone que:  “El juez que dictó sentencia, no puede revocarla ni alterar su sentido en ningún caso; pero podrá aclararla o ampliarla, si alguna de las partes lo solicitare dentro de tres días”.</w:t>
      </w:r>
    </w:p>
    <w:p w:rsidR="00D93A8F" w:rsidRPr="002513AB" w:rsidRDefault="00D93A8F" w:rsidP="00610D0B">
      <w:pPr>
        <w:pStyle w:val="Textonotapie"/>
        <w:ind w:right="9"/>
        <w:jc w:val="both"/>
        <w:rPr>
          <w:lang w:val="es-ES"/>
        </w:rPr>
      </w:pPr>
    </w:p>
  </w:footnote>
  <w:footnote w:id="73">
    <w:p w:rsidR="00D93A8F" w:rsidRPr="002513AB" w:rsidRDefault="00D93A8F" w:rsidP="00AA55C9">
      <w:pPr>
        <w:ind w:right="9"/>
        <w:jc w:val="both"/>
        <w:rPr>
          <w:lang w:val="es-ES"/>
        </w:rPr>
      </w:pPr>
      <w:r w:rsidRPr="0074711B">
        <w:rPr>
          <w:rStyle w:val="Smbolodenotaalpie"/>
          <w:sz w:val="16"/>
          <w:szCs w:val="16"/>
        </w:rPr>
        <w:footnoteRef/>
      </w:r>
      <w:r w:rsidRPr="0074711B">
        <w:rPr>
          <w:rFonts w:ascii="Verdana" w:hAnsi="Verdana"/>
          <w:sz w:val="16"/>
          <w:szCs w:val="16"/>
          <w:lang w:val="es-CR"/>
        </w:rPr>
        <w:tab/>
        <w:t>Artículo 286 dispone que: “la aclaración tendrá lugar si la sentencia fuere obscura; y la ampliación, cuando no se hubiere  resuelto alguno de los puntos controvertidos, o se hubiere omitido decidir sobre frutos, intereses o costas. Para la aclaración o la ampliación se oirá previamente a la otra parte.”</w:t>
      </w:r>
    </w:p>
  </w:footnote>
  <w:footnote w:id="74">
    <w:p w:rsidR="00D93A8F" w:rsidRPr="002513AB" w:rsidRDefault="00D93A8F" w:rsidP="00610D0B">
      <w:pPr>
        <w:pStyle w:val="Textonotapie"/>
        <w:spacing w:before="120" w:after="120"/>
        <w:ind w:right="9"/>
        <w:jc w:val="both"/>
        <w:rPr>
          <w:lang w:val="es-ES"/>
        </w:rPr>
      </w:pPr>
      <w:r w:rsidRPr="0074711B">
        <w:rPr>
          <w:rStyle w:val="Smbolodenotaalpie"/>
          <w:sz w:val="16"/>
          <w:szCs w:val="16"/>
        </w:rPr>
        <w:footnoteRef/>
      </w:r>
      <w:r w:rsidRPr="0074711B">
        <w:rPr>
          <w:rFonts w:ascii="Verdana" w:hAnsi="Verdana"/>
          <w:sz w:val="16"/>
          <w:szCs w:val="16"/>
          <w:lang w:val="es-CR"/>
        </w:rPr>
        <w:tab/>
      </w:r>
      <w:r w:rsidRPr="0074711B">
        <w:rPr>
          <w:rFonts w:ascii="Verdana" w:hAnsi="Verdana"/>
          <w:i/>
          <w:iCs/>
          <w:sz w:val="16"/>
          <w:szCs w:val="16"/>
          <w:lang w:val="es-CR"/>
        </w:rPr>
        <w:t>Cfr. Caso Castillo Petruzzi y otros Vs. Perú. Fondo, Reparaciones y Costas</w:t>
      </w:r>
      <w:r w:rsidRPr="0074711B">
        <w:rPr>
          <w:rFonts w:ascii="Verdana" w:hAnsi="Verdana"/>
          <w:sz w:val="16"/>
          <w:szCs w:val="16"/>
          <w:lang w:val="es-CR"/>
        </w:rPr>
        <w:t xml:space="preserve">. Sentencia de 30 de mayo de 1999. Serie C No. 52, párr. 129; </w:t>
      </w:r>
      <w:r w:rsidRPr="0074711B">
        <w:rPr>
          <w:rFonts w:ascii="Verdana" w:hAnsi="Verdana"/>
          <w:i/>
          <w:iCs/>
          <w:sz w:val="16"/>
          <w:szCs w:val="16"/>
          <w:lang w:val="es-CR"/>
        </w:rPr>
        <w:t>Caso Ivcher Bronstein Vs. Perú. Fondo, Reparaciones y Costas.</w:t>
      </w:r>
      <w:r w:rsidRPr="0074711B">
        <w:rPr>
          <w:rFonts w:ascii="Verdana" w:hAnsi="Verdana"/>
          <w:sz w:val="16"/>
          <w:szCs w:val="16"/>
          <w:lang w:val="es-CR"/>
        </w:rPr>
        <w:t xml:space="preserve"> Sentencia de 6 de febrero de 2001. Serie C No. 74, párr. 112, y </w:t>
      </w:r>
      <w:r w:rsidRPr="0074711B">
        <w:rPr>
          <w:rFonts w:ascii="Verdana" w:hAnsi="Verdana"/>
          <w:i/>
          <w:iCs/>
          <w:sz w:val="16"/>
          <w:szCs w:val="16"/>
          <w:lang w:val="es-CR"/>
        </w:rPr>
        <w:t>Caso del Tribunal Constitucional Vs. Perú.</w:t>
      </w:r>
      <w:r w:rsidRPr="0074711B">
        <w:rPr>
          <w:rFonts w:ascii="Verdana" w:hAnsi="Verdana"/>
          <w:sz w:val="16"/>
          <w:szCs w:val="16"/>
          <w:lang w:val="es-CR"/>
        </w:rPr>
        <w:t xml:space="preserve"> </w:t>
      </w:r>
      <w:r w:rsidRPr="0074711B">
        <w:rPr>
          <w:rFonts w:ascii="Verdana" w:hAnsi="Verdana"/>
          <w:i/>
          <w:sz w:val="16"/>
          <w:szCs w:val="16"/>
          <w:lang w:val="es-CR"/>
        </w:rPr>
        <w:t>Fondo, Reparaciones y Costas.</w:t>
      </w:r>
      <w:r w:rsidRPr="0074711B">
        <w:rPr>
          <w:rFonts w:ascii="Verdana" w:hAnsi="Verdana"/>
          <w:i/>
          <w:iCs/>
          <w:sz w:val="16"/>
          <w:szCs w:val="16"/>
          <w:lang w:val="es-CR"/>
        </w:rPr>
        <w:t xml:space="preserve"> </w:t>
      </w:r>
      <w:r w:rsidRPr="0074711B">
        <w:rPr>
          <w:rFonts w:ascii="Verdana" w:hAnsi="Verdana"/>
          <w:sz w:val="16"/>
          <w:szCs w:val="16"/>
          <w:lang w:val="es-CR"/>
        </w:rPr>
        <w:t xml:space="preserve">Sentencia de 31 de enero de 2001. Serie C No. 71, párr. 73. </w:t>
      </w:r>
      <w:r w:rsidRPr="00F822BE">
        <w:rPr>
          <w:rFonts w:ascii="Verdana" w:hAnsi="Verdana"/>
          <w:sz w:val="16"/>
          <w:szCs w:val="16"/>
          <w:lang w:val="es-CR"/>
        </w:rPr>
        <w:t xml:space="preserve">Ver también Los Principios Básicos de las Naciones Unidas relativos a la Independencia de la Judicatura. </w:t>
      </w:r>
      <w:r w:rsidRPr="00F822BE">
        <w:rPr>
          <w:rFonts w:ascii="Verdana" w:hAnsi="Verdana"/>
          <w:sz w:val="16"/>
          <w:szCs w:val="16"/>
          <w:lang w:val="es-ES_tradnl"/>
        </w:rPr>
        <w:t>Adoptados por el Séptimo Congreso de las Naciones Unidas sobre Prevención del Delito y Tratamiento del Delincuente, celebrado en Milán del 26 de agosto al 6 de septiembre de 1985, y confirmados por la Asamblea General en sus resoluciones 40/32 de 29 de noviembre de 1985 y 40/146 de 13 de diciembre de 1985.</w:t>
      </w:r>
    </w:p>
  </w:footnote>
  <w:footnote w:id="75">
    <w:p w:rsidR="00D93A8F" w:rsidRPr="002513AB" w:rsidRDefault="00D93A8F" w:rsidP="001055B7">
      <w:pPr>
        <w:jc w:val="both"/>
        <w:rPr>
          <w:lang w:val="es-ES"/>
        </w:rPr>
      </w:pPr>
      <w:r w:rsidRPr="0074711B">
        <w:rPr>
          <w:rStyle w:val="Refdenotaalpie"/>
          <w:rFonts w:ascii="Verdana" w:hAnsi="Verdana" w:cs="Arial"/>
          <w:sz w:val="16"/>
          <w:szCs w:val="16"/>
          <w:lang w:val="es-CR"/>
        </w:rPr>
        <w:footnoteRef/>
      </w:r>
      <w:r w:rsidRPr="0074711B">
        <w:rPr>
          <w:rStyle w:val="Refdenotaalpie"/>
          <w:rFonts w:ascii="Verdana" w:hAnsi="Verdana" w:cs="Arial"/>
          <w:sz w:val="16"/>
          <w:szCs w:val="16"/>
          <w:lang w:val="es-CR"/>
        </w:rPr>
        <w:t xml:space="preserve"> </w:t>
      </w:r>
      <w:r w:rsidRPr="0074711B">
        <w:rPr>
          <w:rFonts w:ascii="Verdana" w:hAnsi="Verdana"/>
          <w:iCs/>
          <w:sz w:val="16"/>
          <w:szCs w:val="16"/>
          <w:lang w:val="es-CR"/>
        </w:rPr>
        <w:tab/>
        <w:t xml:space="preserve">Sin embargo, se hace notar que la decisión del Pleno del Tribunal Constitucional de 20 de mayo de 2003 no realizó un análisis de las irregularidades ocurridas en el procedimiento seguido por el Presidente del Tribunal Constitucional. </w:t>
      </w:r>
    </w:p>
  </w:footnote>
  <w:footnote w:id="76">
    <w:p w:rsidR="00D93A8F" w:rsidRPr="00351016" w:rsidRDefault="00D93A8F" w:rsidP="00CD04D8">
      <w:pPr>
        <w:pStyle w:val="Textonotapie"/>
        <w:jc w:val="both"/>
        <w:rPr>
          <w:rFonts w:ascii="Verdana" w:hAnsi="Verdana"/>
          <w:b/>
          <w:sz w:val="16"/>
          <w:szCs w:val="16"/>
          <w:lang w:val="es-ES"/>
        </w:rPr>
      </w:pPr>
      <w:r w:rsidRPr="0074711B">
        <w:rPr>
          <w:rStyle w:val="Refdenotaalpie"/>
          <w:rFonts w:ascii="Verdana" w:hAnsi="Verdana"/>
          <w:sz w:val="16"/>
          <w:szCs w:val="16"/>
          <w:lang w:val="es-ES"/>
        </w:rPr>
        <w:footnoteRef/>
      </w:r>
      <w:r w:rsidRPr="0074711B">
        <w:rPr>
          <w:rFonts w:ascii="Verdana" w:hAnsi="Verdana"/>
          <w:sz w:val="16"/>
          <w:szCs w:val="16"/>
          <w:lang w:val="es-ES"/>
        </w:rPr>
        <w:t xml:space="preserve"> </w:t>
      </w:r>
      <w:r w:rsidRPr="0074711B">
        <w:rPr>
          <w:rFonts w:ascii="Verdana" w:hAnsi="Verdana"/>
          <w:sz w:val="16"/>
          <w:szCs w:val="16"/>
          <w:lang w:val="es-ES"/>
        </w:rPr>
        <w:tab/>
        <w:t>Es irretroactiva cuando su pronunciamiento versa sobre normas de carácter general -leyes, reglamentos, ordenanzas,</w:t>
      </w:r>
      <w:r>
        <w:rPr>
          <w:rFonts w:ascii="Verdana" w:hAnsi="Verdana"/>
          <w:sz w:val="16"/>
          <w:szCs w:val="16"/>
          <w:lang w:val="es-ES"/>
        </w:rPr>
        <w:t xml:space="preserve"> </w:t>
      </w:r>
      <w:r w:rsidRPr="0074711B">
        <w:rPr>
          <w:rFonts w:ascii="Verdana" w:hAnsi="Verdana"/>
          <w:sz w:val="16"/>
          <w:szCs w:val="16"/>
          <w:lang w:val="es-ES"/>
        </w:rPr>
        <w:t xml:space="preserve">estatutos- pero cuando la decisión versa sobre derechos subjetivos de carácter particular entonces en una correcta aplicación del numeral 2 de la referida norma constitucional, el acto declarado inconstitucional deja de tener efectos jurídicos, retrotrayéndose la resolución al momento del </w:t>
      </w:r>
      <w:r w:rsidRPr="009C221D">
        <w:rPr>
          <w:rFonts w:ascii="Verdana" w:hAnsi="Verdana"/>
          <w:sz w:val="16"/>
          <w:szCs w:val="16"/>
          <w:lang w:val="es-ES"/>
        </w:rPr>
        <w:t xml:space="preserve">sometimiento del acto. </w:t>
      </w:r>
      <w:r w:rsidRPr="009C221D">
        <w:rPr>
          <w:rFonts w:ascii="Verdana" w:hAnsi="Verdana"/>
          <w:i/>
          <w:sz w:val="16"/>
          <w:szCs w:val="16"/>
          <w:lang w:val="es-ES"/>
        </w:rPr>
        <w:t xml:space="preserve">Cfr. </w:t>
      </w:r>
      <w:r w:rsidRPr="009C221D">
        <w:rPr>
          <w:rFonts w:ascii="Verdana" w:hAnsi="Verdana"/>
          <w:sz w:val="16"/>
          <w:szCs w:val="16"/>
          <w:lang w:val="es-ES"/>
        </w:rPr>
        <w:t>Sentencia</w:t>
      </w:r>
      <w:r w:rsidRPr="009C221D">
        <w:rPr>
          <w:rFonts w:ascii="Verdana" w:hAnsi="Verdana"/>
          <w:i/>
          <w:sz w:val="16"/>
          <w:szCs w:val="16"/>
          <w:lang w:val="es-ES"/>
        </w:rPr>
        <w:t xml:space="preserve"> </w:t>
      </w:r>
      <w:r w:rsidRPr="009C221D">
        <w:rPr>
          <w:rFonts w:ascii="Verdana" w:hAnsi="Verdana"/>
          <w:sz w:val="16"/>
          <w:szCs w:val="16"/>
          <w:lang w:val="es-ES"/>
        </w:rPr>
        <w:t>del Tribunal Constitucional de 12 de marzo de 2002 (</w:t>
      </w:r>
      <w:r w:rsidRPr="009C221D">
        <w:rPr>
          <w:rFonts w:ascii="Verdana" w:hAnsi="Verdana"/>
          <w:i/>
          <w:sz w:val="16"/>
          <w:szCs w:val="16"/>
          <w:lang w:val="es-ES"/>
        </w:rPr>
        <w:t xml:space="preserve">supra </w:t>
      </w:r>
      <w:r w:rsidRPr="009C221D">
        <w:rPr>
          <w:rFonts w:ascii="Verdana" w:hAnsi="Verdana"/>
          <w:sz w:val="16"/>
          <w:szCs w:val="16"/>
          <w:lang w:val="es-ES"/>
        </w:rPr>
        <w:t>nota 42).</w:t>
      </w:r>
      <w:r w:rsidRPr="0074711B">
        <w:rPr>
          <w:rFonts w:ascii="Verdana" w:hAnsi="Verdana"/>
          <w:sz w:val="16"/>
          <w:szCs w:val="16"/>
          <w:lang w:val="es-ES"/>
        </w:rPr>
        <w:t xml:space="preserve"> </w:t>
      </w:r>
    </w:p>
    <w:p w:rsidR="00D93A8F" w:rsidRPr="002513AB" w:rsidRDefault="00D93A8F" w:rsidP="00CD04D8">
      <w:pPr>
        <w:pStyle w:val="Textonotapie"/>
        <w:jc w:val="both"/>
        <w:rPr>
          <w:lang w:val="es-ES"/>
        </w:rPr>
      </w:pPr>
    </w:p>
  </w:footnote>
  <w:footnote w:id="77">
    <w:p w:rsidR="00D93A8F" w:rsidRPr="0074711B" w:rsidRDefault="00D93A8F" w:rsidP="00B8316C">
      <w:pPr>
        <w:jc w:val="both"/>
        <w:rPr>
          <w:rFonts w:ascii="Verdana" w:hAnsi="Verdana"/>
          <w:sz w:val="16"/>
          <w:szCs w:val="16"/>
          <w:lang w:val="es-CR"/>
        </w:rPr>
      </w:pPr>
      <w:r w:rsidRPr="0074711B">
        <w:rPr>
          <w:rStyle w:val="Refdenotaalpie"/>
          <w:rFonts w:ascii="Verdana" w:hAnsi="Verdana"/>
          <w:sz w:val="16"/>
          <w:szCs w:val="16"/>
          <w:lang w:val="es-ES"/>
        </w:rPr>
        <w:footnoteRef/>
      </w:r>
      <w:r w:rsidRPr="0074711B">
        <w:rPr>
          <w:rFonts w:ascii="Verdana" w:hAnsi="Verdana"/>
          <w:sz w:val="16"/>
          <w:szCs w:val="16"/>
          <w:lang w:val="es-ES"/>
        </w:rPr>
        <w:tab/>
      </w:r>
      <w:r w:rsidRPr="0074711B">
        <w:rPr>
          <w:rFonts w:ascii="Verdana" w:hAnsi="Verdana"/>
          <w:bCs/>
          <w:i/>
          <w:color w:val="000000"/>
          <w:sz w:val="16"/>
          <w:szCs w:val="16"/>
          <w:lang w:val="es-ES"/>
        </w:rPr>
        <w:t xml:space="preserve"> </w:t>
      </w:r>
      <w:r w:rsidRPr="0074711B">
        <w:rPr>
          <w:rFonts w:ascii="Verdana" w:hAnsi="Verdana" w:cs="Verdana"/>
          <w:bCs/>
          <w:i/>
          <w:sz w:val="16"/>
          <w:szCs w:val="16"/>
          <w:lang w:val="es-ES"/>
        </w:rPr>
        <w:t xml:space="preserve">Cfr. </w:t>
      </w:r>
      <w:r w:rsidRPr="007E2B8A">
        <w:rPr>
          <w:rFonts w:ascii="Verdana" w:hAnsi="Verdana" w:cs="Verdana"/>
          <w:bCs/>
          <w:i/>
          <w:sz w:val="16"/>
          <w:szCs w:val="16"/>
          <w:lang w:val="es-ES"/>
        </w:rPr>
        <w:t>Caso Velásquez Rodríguez Vs. Honduras.</w:t>
      </w:r>
      <w:r w:rsidRPr="007E2B8A">
        <w:rPr>
          <w:rFonts w:ascii="Verdana" w:hAnsi="Verdana" w:cs="Verdana"/>
          <w:sz w:val="16"/>
          <w:szCs w:val="16"/>
          <w:lang w:val="es-ES"/>
        </w:rPr>
        <w:t xml:space="preserve"> Fondo,</w:t>
      </w:r>
      <w:r w:rsidRPr="007E2B8A">
        <w:rPr>
          <w:rFonts w:ascii="Verdana" w:hAnsi="Verdana" w:cs="Verdana"/>
          <w:bCs/>
          <w:i/>
          <w:sz w:val="16"/>
          <w:szCs w:val="16"/>
          <w:lang w:val="es-ES"/>
        </w:rPr>
        <w:t xml:space="preserve"> supra </w:t>
      </w:r>
      <w:r w:rsidRPr="007E2B8A">
        <w:rPr>
          <w:rFonts w:ascii="Verdana" w:hAnsi="Verdana" w:cs="Verdana"/>
          <w:bCs/>
          <w:sz w:val="16"/>
          <w:szCs w:val="16"/>
          <w:lang w:val="es-ES"/>
        </w:rPr>
        <w:t xml:space="preserve">nota 6, párr. 63; </w:t>
      </w:r>
      <w:r w:rsidRPr="007E2B8A">
        <w:rPr>
          <w:rFonts w:ascii="Verdana" w:hAnsi="Verdana" w:cs="Verdana"/>
          <w:bCs/>
          <w:i/>
          <w:sz w:val="16"/>
          <w:szCs w:val="16"/>
          <w:lang w:val="es-ES"/>
        </w:rPr>
        <w:t xml:space="preserve">Caso Vélez Loor Vs. Panamá, supra </w:t>
      </w:r>
      <w:r w:rsidRPr="007E2B8A">
        <w:rPr>
          <w:rFonts w:ascii="Verdana" w:hAnsi="Verdana" w:cs="Verdana"/>
          <w:bCs/>
          <w:sz w:val="16"/>
          <w:szCs w:val="16"/>
          <w:lang w:val="es-ES"/>
        </w:rPr>
        <w:t xml:space="preserve">nota 14, párr. 19, y </w:t>
      </w:r>
      <w:r w:rsidRPr="007E2B8A">
        <w:rPr>
          <w:rFonts w:ascii="Verdana" w:hAnsi="Verdana" w:cs="Verdana"/>
          <w:bCs/>
          <w:i/>
          <w:sz w:val="16"/>
          <w:szCs w:val="16"/>
          <w:lang w:val="es-ES"/>
        </w:rPr>
        <w:t xml:space="preserve">Caso Vera Vera y otra Vs. Ecuador, supra </w:t>
      </w:r>
      <w:r w:rsidRPr="007E2B8A">
        <w:rPr>
          <w:rFonts w:ascii="Verdana" w:hAnsi="Verdana" w:cs="Verdana"/>
          <w:bCs/>
          <w:sz w:val="16"/>
          <w:szCs w:val="16"/>
          <w:lang w:val="es-ES"/>
        </w:rPr>
        <w:t>nota 12, párr. 13.</w:t>
      </w:r>
      <w:r w:rsidRPr="0074711B">
        <w:rPr>
          <w:rFonts w:ascii="Verdana" w:hAnsi="Verdana"/>
          <w:sz w:val="16"/>
          <w:szCs w:val="16"/>
          <w:lang w:val="es-CR"/>
        </w:rPr>
        <w:t xml:space="preserve"> </w:t>
      </w:r>
    </w:p>
    <w:p w:rsidR="00D93A8F" w:rsidRPr="00854CE8" w:rsidRDefault="00D93A8F" w:rsidP="00B8316C">
      <w:pPr>
        <w:jc w:val="both"/>
        <w:rPr>
          <w:lang w:val="es-ES"/>
        </w:rPr>
      </w:pPr>
      <w:r w:rsidRPr="0074711B">
        <w:rPr>
          <w:rFonts w:ascii="Verdana" w:hAnsi="Verdana"/>
          <w:sz w:val="16"/>
          <w:szCs w:val="16"/>
          <w:lang w:val="es-ES"/>
        </w:rPr>
        <w:t xml:space="preserve"> </w:t>
      </w:r>
    </w:p>
  </w:footnote>
  <w:footnote w:id="78">
    <w:p w:rsidR="00D93A8F" w:rsidRPr="00854CE8" w:rsidRDefault="00D93A8F" w:rsidP="00D10839">
      <w:pPr>
        <w:spacing w:before="120" w:after="120"/>
        <w:jc w:val="both"/>
        <w:rPr>
          <w:lang w:val="es-ES"/>
        </w:rPr>
      </w:pPr>
      <w:r w:rsidRPr="0074711B">
        <w:rPr>
          <w:rStyle w:val="Refdenotaalpie"/>
          <w:rFonts w:ascii="Verdana" w:hAnsi="Verdana"/>
          <w:sz w:val="16"/>
          <w:szCs w:val="16"/>
        </w:rPr>
        <w:footnoteRef/>
      </w:r>
      <w:r w:rsidRPr="0074711B">
        <w:rPr>
          <w:rFonts w:ascii="Verdana" w:hAnsi="Verdana"/>
          <w:sz w:val="16"/>
          <w:szCs w:val="16"/>
          <w:lang w:val="es-CR"/>
        </w:rPr>
        <w:t xml:space="preserve">  </w:t>
      </w:r>
      <w:r w:rsidRPr="0074711B">
        <w:rPr>
          <w:rFonts w:ascii="Verdana" w:hAnsi="Verdana"/>
          <w:sz w:val="16"/>
          <w:szCs w:val="16"/>
          <w:lang w:val="es-CR"/>
        </w:rPr>
        <w:tab/>
      </w:r>
      <w:r w:rsidRPr="007E2B8A">
        <w:rPr>
          <w:rFonts w:ascii="Verdana" w:hAnsi="Verdana"/>
          <w:i/>
          <w:sz w:val="16"/>
          <w:szCs w:val="16"/>
          <w:lang w:val="es-CR"/>
        </w:rPr>
        <w:t xml:space="preserve">Cfr. </w:t>
      </w:r>
      <w:r w:rsidRPr="007E2B8A">
        <w:rPr>
          <w:rFonts w:ascii="Verdana" w:hAnsi="Verdana"/>
          <w:bCs/>
          <w:i/>
          <w:sz w:val="16"/>
          <w:szCs w:val="16"/>
          <w:lang w:val="es-ES"/>
        </w:rPr>
        <w:t>Caso Velásquez Rodríguez Vs. Honduras</w:t>
      </w:r>
      <w:r>
        <w:rPr>
          <w:rFonts w:ascii="Verdana" w:hAnsi="Verdana"/>
          <w:bCs/>
          <w:i/>
          <w:sz w:val="16"/>
          <w:szCs w:val="16"/>
          <w:lang w:val="es-ES"/>
        </w:rPr>
        <w:t>.</w:t>
      </w:r>
      <w:r w:rsidRPr="007E2B8A">
        <w:rPr>
          <w:rFonts w:ascii="Verdana" w:hAnsi="Verdana"/>
          <w:bCs/>
          <w:i/>
          <w:sz w:val="16"/>
          <w:szCs w:val="16"/>
          <w:lang w:val="es-ES"/>
        </w:rPr>
        <w:t xml:space="preserve"> </w:t>
      </w:r>
      <w:r w:rsidRPr="007E2B8A">
        <w:rPr>
          <w:rFonts w:ascii="Verdana" w:hAnsi="Verdana" w:cs="Verdana"/>
          <w:sz w:val="16"/>
          <w:szCs w:val="16"/>
          <w:lang w:val="es-ES"/>
        </w:rPr>
        <w:t>Excepciones Preliminares</w:t>
      </w:r>
      <w:r w:rsidRPr="007E2B8A">
        <w:rPr>
          <w:rFonts w:ascii="Verdana" w:hAnsi="Verdana"/>
          <w:bCs/>
          <w:i/>
          <w:sz w:val="16"/>
          <w:szCs w:val="16"/>
          <w:lang w:val="es-ES"/>
        </w:rPr>
        <w:t xml:space="preserve">, supra </w:t>
      </w:r>
      <w:r w:rsidRPr="007E2B8A">
        <w:rPr>
          <w:rFonts w:ascii="Verdana" w:hAnsi="Verdana"/>
          <w:bCs/>
          <w:sz w:val="16"/>
          <w:szCs w:val="16"/>
          <w:lang w:val="es-ES"/>
        </w:rPr>
        <w:t>nota 12, párr.</w:t>
      </w:r>
      <w:r>
        <w:rPr>
          <w:rFonts w:ascii="Verdana" w:hAnsi="Verdana"/>
          <w:bCs/>
          <w:sz w:val="16"/>
          <w:szCs w:val="16"/>
          <w:lang w:val="es-ES"/>
        </w:rPr>
        <w:t xml:space="preserve"> </w:t>
      </w:r>
      <w:r w:rsidRPr="007E2B8A">
        <w:rPr>
          <w:rFonts w:ascii="Verdana" w:hAnsi="Verdana"/>
          <w:bCs/>
          <w:sz w:val="16"/>
          <w:szCs w:val="16"/>
          <w:lang w:val="es-ES"/>
        </w:rPr>
        <w:t>93;</w:t>
      </w:r>
      <w:r w:rsidRPr="007E2B8A">
        <w:rPr>
          <w:rFonts w:ascii="Verdana" w:hAnsi="Verdana"/>
          <w:bCs/>
          <w:i/>
          <w:sz w:val="16"/>
          <w:szCs w:val="16"/>
          <w:lang w:val="es-ES"/>
        </w:rPr>
        <w:t xml:space="preserve"> Caso Comunidad Indígena Xákmok Kásek Vs. Paraguay. Fondo, Reparaciones y Costas. </w:t>
      </w:r>
      <w:r w:rsidRPr="007E2B8A">
        <w:rPr>
          <w:rFonts w:ascii="Verdana" w:hAnsi="Verdana"/>
          <w:bCs/>
          <w:sz w:val="16"/>
          <w:szCs w:val="16"/>
          <w:lang w:val="es-ES"/>
        </w:rPr>
        <w:t>Sentencia de 24 de agosto de 2010. Serie C No. 214, párr. 140,</w:t>
      </w:r>
      <w:r w:rsidRPr="007E2B8A">
        <w:rPr>
          <w:rFonts w:ascii="Verdana" w:hAnsi="Verdana"/>
          <w:bCs/>
          <w:i/>
          <w:sz w:val="16"/>
          <w:szCs w:val="16"/>
          <w:lang w:val="es-ES"/>
        </w:rPr>
        <w:t xml:space="preserve"> </w:t>
      </w:r>
      <w:r w:rsidRPr="007E2B8A">
        <w:rPr>
          <w:rFonts w:ascii="Verdana" w:hAnsi="Verdana"/>
          <w:bCs/>
          <w:sz w:val="16"/>
          <w:szCs w:val="16"/>
          <w:lang w:val="es-ES"/>
        </w:rPr>
        <w:t>y</w:t>
      </w:r>
      <w:r w:rsidRPr="007E2B8A">
        <w:rPr>
          <w:rFonts w:ascii="Verdana" w:hAnsi="Verdana"/>
          <w:bCs/>
          <w:i/>
          <w:sz w:val="16"/>
          <w:szCs w:val="16"/>
          <w:lang w:val="es-ES"/>
        </w:rPr>
        <w:t xml:space="preserve"> Caso Abrill Alosilla y otros Vs. Perú, supra </w:t>
      </w:r>
      <w:r w:rsidRPr="007E2B8A">
        <w:rPr>
          <w:rFonts w:ascii="Verdana" w:hAnsi="Verdana"/>
          <w:bCs/>
          <w:sz w:val="16"/>
          <w:szCs w:val="16"/>
          <w:lang w:val="es-ES"/>
        </w:rPr>
        <w:t>nota 19, párr. 75.</w:t>
      </w:r>
    </w:p>
  </w:footnote>
  <w:footnote w:id="79">
    <w:p w:rsidR="00D93A8F" w:rsidRDefault="00D93A8F" w:rsidP="00E31FA4">
      <w:pPr>
        <w:jc w:val="both"/>
        <w:rPr>
          <w:rFonts w:ascii="Verdana" w:hAnsi="Verdana"/>
          <w:sz w:val="16"/>
          <w:szCs w:val="16"/>
          <w:lang w:val="es-ES"/>
        </w:rPr>
      </w:pPr>
      <w:r w:rsidRPr="0074711B">
        <w:rPr>
          <w:rStyle w:val="Refdenotaalpie"/>
          <w:rFonts w:ascii="Verdana" w:hAnsi="Verdana"/>
          <w:sz w:val="16"/>
          <w:szCs w:val="16"/>
          <w:lang w:val="es-ES"/>
        </w:rPr>
        <w:footnoteRef/>
      </w:r>
      <w:r w:rsidRPr="0074711B">
        <w:rPr>
          <w:rFonts w:ascii="Verdana" w:hAnsi="Verdana"/>
          <w:sz w:val="16"/>
          <w:szCs w:val="16"/>
          <w:lang w:val="es-ES"/>
        </w:rPr>
        <w:t xml:space="preserve"> </w:t>
      </w:r>
      <w:r w:rsidRPr="0074711B">
        <w:rPr>
          <w:rFonts w:ascii="Verdana" w:hAnsi="Verdana"/>
          <w:sz w:val="16"/>
          <w:szCs w:val="16"/>
          <w:lang w:val="es-ES"/>
        </w:rPr>
        <w:tab/>
      </w:r>
      <w:r w:rsidRPr="0074711B">
        <w:rPr>
          <w:rFonts w:ascii="Verdana" w:hAnsi="Verdana"/>
          <w:i/>
          <w:sz w:val="16"/>
          <w:szCs w:val="16"/>
          <w:lang w:val="es-CR"/>
        </w:rPr>
        <w:t xml:space="preserve">Cfr. Caso Baena Ricardo y otros Vs. Panamá. Competencia. </w:t>
      </w:r>
      <w:r w:rsidRPr="0074711B">
        <w:rPr>
          <w:rFonts w:ascii="Verdana" w:hAnsi="Verdana"/>
          <w:sz w:val="16"/>
          <w:szCs w:val="16"/>
          <w:lang w:val="es-ES"/>
        </w:rPr>
        <w:t xml:space="preserve">Sentencia de 28 de noviembre de 2003. Serie C No 104. párr. 73; </w:t>
      </w:r>
      <w:r w:rsidRPr="0074711B">
        <w:rPr>
          <w:rFonts w:ascii="Verdana" w:hAnsi="Verdana"/>
          <w:i/>
          <w:sz w:val="16"/>
          <w:szCs w:val="16"/>
          <w:lang w:val="es-ES"/>
        </w:rPr>
        <w:t>Caso Acevedo Buendía y otros (“Cesantes y Jubilados de la Contraloría”) Vs. Perú. Excepción Preliminar, Fondo, Reparaciones y Costas.</w:t>
      </w:r>
      <w:r w:rsidRPr="0074711B">
        <w:rPr>
          <w:rFonts w:ascii="Verdana" w:hAnsi="Verdana"/>
          <w:sz w:val="16"/>
          <w:szCs w:val="16"/>
          <w:lang w:val="es-ES"/>
        </w:rPr>
        <w:t xml:space="preserve"> Sentencia de 1 de julio de 2009. Serie C No. 198</w:t>
      </w:r>
      <w:r>
        <w:rPr>
          <w:rFonts w:ascii="Verdana" w:hAnsi="Verdana"/>
          <w:sz w:val="16"/>
          <w:szCs w:val="16"/>
          <w:lang w:val="es-ES"/>
        </w:rPr>
        <w:t xml:space="preserve">, </w:t>
      </w:r>
      <w:r w:rsidRPr="0074711B">
        <w:rPr>
          <w:rFonts w:ascii="Verdana" w:hAnsi="Verdana"/>
          <w:sz w:val="16"/>
          <w:szCs w:val="16"/>
          <w:lang w:val="es-ES"/>
        </w:rPr>
        <w:t xml:space="preserve">párr. 66, y </w:t>
      </w:r>
      <w:r w:rsidRPr="0074711B">
        <w:rPr>
          <w:rFonts w:ascii="Verdana" w:hAnsi="Verdana"/>
          <w:i/>
          <w:sz w:val="16"/>
          <w:szCs w:val="16"/>
          <w:lang w:val="es-ES"/>
        </w:rPr>
        <w:t xml:space="preserve">Caso Abrill Alosilla y otros Vs. Perú, supra </w:t>
      </w:r>
      <w:r w:rsidRPr="0074711B">
        <w:rPr>
          <w:rFonts w:ascii="Verdana" w:hAnsi="Verdana"/>
          <w:sz w:val="16"/>
          <w:szCs w:val="16"/>
          <w:lang w:val="es-ES"/>
        </w:rPr>
        <w:t xml:space="preserve">nota </w:t>
      </w:r>
      <w:r>
        <w:rPr>
          <w:rFonts w:ascii="Verdana" w:hAnsi="Verdana"/>
          <w:sz w:val="16"/>
          <w:szCs w:val="16"/>
          <w:lang w:val="es-ES"/>
        </w:rPr>
        <w:t>19</w:t>
      </w:r>
      <w:r w:rsidRPr="0074711B">
        <w:rPr>
          <w:rFonts w:ascii="Verdana" w:hAnsi="Verdana"/>
          <w:sz w:val="16"/>
          <w:szCs w:val="16"/>
          <w:lang w:val="es-ES"/>
        </w:rPr>
        <w:t>, párr. 75.</w:t>
      </w:r>
    </w:p>
    <w:p w:rsidR="00D93A8F" w:rsidRPr="00854CE8" w:rsidRDefault="00D93A8F" w:rsidP="00E31FA4">
      <w:pPr>
        <w:jc w:val="both"/>
        <w:rPr>
          <w:lang w:val="es-ES"/>
        </w:rPr>
      </w:pPr>
    </w:p>
  </w:footnote>
  <w:footnote w:id="80">
    <w:p w:rsidR="00D93A8F" w:rsidRPr="0074711B" w:rsidRDefault="00D93A8F" w:rsidP="00193982">
      <w:pPr>
        <w:pStyle w:val="Textonotapie"/>
        <w:jc w:val="both"/>
        <w:rPr>
          <w:rFonts w:ascii="Verdana" w:hAnsi="Verdana"/>
          <w:sz w:val="16"/>
          <w:szCs w:val="16"/>
          <w:lang w:val="es-ES"/>
        </w:rPr>
      </w:pPr>
      <w:r w:rsidRPr="001A299E">
        <w:rPr>
          <w:rStyle w:val="Refdenotaalpie"/>
          <w:rFonts w:ascii="Verdana" w:hAnsi="Verdana"/>
          <w:sz w:val="16"/>
          <w:szCs w:val="16"/>
          <w:lang w:val="es-ES"/>
        </w:rPr>
        <w:footnoteRef/>
      </w:r>
      <w:r w:rsidRPr="001A299E">
        <w:rPr>
          <w:rFonts w:ascii="Verdana" w:hAnsi="Verdana"/>
          <w:sz w:val="16"/>
          <w:szCs w:val="16"/>
          <w:lang w:val="es-ES"/>
        </w:rPr>
        <w:t xml:space="preserve"> </w:t>
      </w:r>
      <w:r w:rsidRPr="001A299E">
        <w:rPr>
          <w:rFonts w:ascii="Verdana" w:hAnsi="Verdana"/>
          <w:sz w:val="16"/>
          <w:szCs w:val="16"/>
          <w:lang w:val="es-ES"/>
        </w:rPr>
        <w:tab/>
      </w:r>
      <w:r w:rsidRPr="001A299E">
        <w:rPr>
          <w:rFonts w:ascii="Verdana" w:hAnsi="Verdana"/>
          <w:i/>
          <w:sz w:val="16"/>
          <w:szCs w:val="16"/>
          <w:lang w:val="es-ES"/>
        </w:rPr>
        <w:t>Cfr.</w:t>
      </w:r>
      <w:r w:rsidRPr="001A299E">
        <w:rPr>
          <w:rFonts w:ascii="Verdana" w:hAnsi="Verdana"/>
          <w:sz w:val="16"/>
          <w:szCs w:val="16"/>
          <w:lang w:val="es-ES"/>
        </w:rPr>
        <w:t xml:space="preserve"> </w:t>
      </w:r>
      <w:r w:rsidRPr="001A299E">
        <w:rPr>
          <w:rFonts w:ascii="Verdana" w:hAnsi="Verdana"/>
          <w:i/>
          <w:sz w:val="16"/>
          <w:szCs w:val="16"/>
          <w:lang w:val="es-ES"/>
        </w:rPr>
        <w:t>Caso Velásquez Rodríguez Vs. Honduras. Reparaciones y Costas</w:t>
      </w:r>
      <w:r w:rsidRPr="00FC3247">
        <w:rPr>
          <w:rFonts w:ascii="Verdana" w:hAnsi="Verdana"/>
          <w:sz w:val="16"/>
          <w:szCs w:val="16"/>
          <w:lang w:val="es-ES"/>
        </w:rPr>
        <w:t>. Sentencia de 21 de julio de 1989. Serie C No. 7</w:t>
      </w:r>
      <w:r w:rsidRPr="001A299E">
        <w:rPr>
          <w:rFonts w:ascii="Verdana" w:hAnsi="Verdana"/>
          <w:i/>
          <w:sz w:val="16"/>
          <w:szCs w:val="16"/>
          <w:lang w:val="es-ES"/>
        </w:rPr>
        <w:t>,</w:t>
      </w:r>
      <w:r w:rsidRPr="001A299E">
        <w:rPr>
          <w:rFonts w:ascii="Verdana" w:hAnsi="Verdana"/>
          <w:sz w:val="16"/>
          <w:szCs w:val="16"/>
          <w:lang w:val="es-ES"/>
        </w:rPr>
        <w:t xml:space="preserve"> párr</w:t>
      </w:r>
      <w:r w:rsidRPr="00FC3247">
        <w:rPr>
          <w:rFonts w:ascii="Verdana" w:hAnsi="Verdana"/>
          <w:sz w:val="16"/>
          <w:szCs w:val="16"/>
          <w:lang w:val="es-ES"/>
        </w:rPr>
        <w:t>s</w:t>
      </w:r>
      <w:r w:rsidRPr="001A299E">
        <w:rPr>
          <w:rFonts w:ascii="Verdana" w:hAnsi="Verdana"/>
          <w:sz w:val="16"/>
          <w:szCs w:val="16"/>
          <w:lang w:val="es-ES"/>
        </w:rPr>
        <w:t xml:space="preserve">. </w:t>
      </w:r>
      <w:r>
        <w:rPr>
          <w:rFonts w:ascii="Verdana" w:hAnsi="Verdana"/>
          <w:sz w:val="16"/>
          <w:szCs w:val="16"/>
          <w:lang w:val="es-ES"/>
        </w:rPr>
        <w:t>25</w:t>
      </w:r>
      <w:r w:rsidRPr="00FC3247">
        <w:rPr>
          <w:rFonts w:ascii="Verdana" w:hAnsi="Verdana"/>
          <w:sz w:val="16"/>
          <w:szCs w:val="16"/>
          <w:lang w:val="es-ES"/>
        </w:rPr>
        <w:t xml:space="preserve"> y </w:t>
      </w:r>
      <w:r w:rsidRPr="001A299E">
        <w:rPr>
          <w:rFonts w:ascii="Verdana" w:hAnsi="Verdana"/>
          <w:sz w:val="16"/>
          <w:szCs w:val="16"/>
          <w:lang w:val="es-ES"/>
        </w:rPr>
        <w:t>26</w:t>
      </w:r>
      <w:r w:rsidRPr="001A299E">
        <w:rPr>
          <w:rFonts w:ascii="Verdana" w:hAnsi="Verdana"/>
          <w:i/>
          <w:sz w:val="16"/>
          <w:szCs w:val="16"/>
          <w:lang w:val="es-ES"/>
        </w:rPr>
        <w:t>; Caso González y otras (“Campo Algodonero”) Vs. México. Excepción Preliminar, Fondo, Reparaciones y Costas. Sentencia</w:t>
      </w:r>
      <w:r w:rsidRPr="001A299E">
        <w:rPr>
          <w:rFonts w:ascii="Verdana" w:hAnsi="Verdana"/>
          <w:sz w:val="16"/>
          <w:szCs w:val="16"/>
          <w:lang w:val="es-ES"/>
        </w:rPr>
        <w:t xml:space="preserve"> de 16 de noviembre de 2009. Serie C No. 205, párr. 450</w:t>
      </w:r>
      <w:r w:rsidRPr="001A299E">
        <w:rPr>
          <w:rFonts w:ascii="Verdana" w:hAnsi="Verdana"/>
          <w:i/>
          <w:sz w:val="16"/>
          <w:szCs w:val="16"/>
          <w:lang w:val="es-ES"/>
        </w:rPr>
        <w:t xml:space="preserve">, </w:t>
      </w:r>
      <w:r w:rsidRPr="007C688C">
        <w:rPr>
          <w:rFonts w:ascii="Verdana" w:hAnsi="Verdana"/>
          <w:sz w:val="16"/>
          <w:szCs w:val="16"/>
          <w:lang w:val="es-ES"/>
        </w:rPr>
        <w:t>y</w:t>
      </w:r>
      <w:r w:rsidRPr="001A299E">
        <w:rPr>
          <w:rFonts w:ascii="Verdana" w:hAnsi="Verdana"/>
          <w:i/>
          <w:sz w:val="16"/>
          <w:szCs w:val="16"/>
          <w:lang w:val="es-ES"/>
        </w:rPr>
        <w:t xml:space="preserve"> Caso Barreto Leiva Vs. Venezuela. Fondo, Reparaciones y Costas. </w:t>
      </w:r>
      <w:r w:rsidRPr="001A299E">
        <w:rPr>
          <w:rFonts w:ascii="Verdana" w:hAnsi="Verdana"/>
          <w:sz w:val="16"/>
          <w:szCs w:val="16"/>
          <w:lang w:val="es-ES"/>
        </w:rPr>
        <w:t>Sentencia de 17 de noviembre de 2009. Serie C No. 206, párr. 128.</w:t>
      </w:r>
    </w:p>
    <w:p w:rsidR="00D93A8F" w:rsidRPr="002513AB" w:rsidRDefault="00D93A8F" w:rsidP="00193982">
      <w:pPr>
        <w:pStyle w:val="Textonotapie"/>
        <w:jc w:val="both"/>
        <w:rPr>
          <w:lang w:val="es-ES"/>
        </w:rPr>
      </w:pPr>
    </w:p>
  </w:footnote>
  <w:footnote w:id="81">
    <w:p w:rsidR="00D93A8F" w:rsidRDefault="00D93A8F" w:rsidP="00CD04D8">
      <w:pPr>
        <w:pStyle w:val="Textonotapie"/>
        <w:jc w:val="both"/>
        <w:rPr>
          <w:rFonts w:ascii="Verdana" w:hAnsi="Verdana"/>
          <w:sz w:val="16"/>
          <w:szCs w:val="16"/>
          <w:lang w:val="es-ES"/>
        </w:rPr>
      </w:pPr>
      <w:r w:rsidRPr="007E2B8A">
        <w:rPr>
          <w:rStyle w:val="Refdenotaalpie"/>
          <w:rFonts w:ascii="Verdana" w:hAnsi="Verdana"/>
          <w:sz w:val="16"/>
          <w:szCs w:val="16"/>
          <w:lang w:val="es-ES"/>
        </w:rPr>
        <w:footnoteRef/>
      </w:r>
      <w:r w:rsidRPr="007E2B8A">
        <w:rPr>
          <w:rFonts w:ascii="Verdana" w:hAnsi="Verdana"/>
          <w:sz w:val="16"/>
          <w:szCs w:val="16"/>
          <w:lang w:val="es-ES"/>
        </w:rPr>
        <w:t xml:space="preserve">  </w:t>
      </w:r>
      <w:r w:rsidRPr="007E2B8A">
        <w:rPr>
          <w:rFonts w:ascii="Verdana" w:hAnsi="Verdana"/>
          <w:sz w:val="16"/>
          <w:szCs w:val="16"/>
          <w:lang w:val="es-ES"/>
        </w:rPr>
        <w:tab/>
      </w:r>
      <w:r w:rsidRPr="007E2B8A">
        <w:rPr>
          <w:rFonts w:ascii="Verdana" w:hAnsi="Verdana"/>
          <w:i/>
          <w:sz w:val="16"/>
          <w:szCs w:val="16"/>
          <w:lang w:val="es-ES"/>
        </w:rPr>
        <w:t>Cfr.</w:t>
      </w:r>
      <w:r w:rsidRPr="007E2B8A">
        <w:rPr>
          <w:rFonts w:ascii="Verdana" w:hAnsi="Verdana"/>
          <w:sz w:val="16"/>
          <w:szCs w:val="16"/>
          <w:lang w:val="es-ES"/>
        </w:rPr>
        <w:t xml:space="preserve"> </w:t>
      </w:r>
      <w:r w:rsidRPr="007E2B8A">
        <w:rPr>
          <w:rFonts w:ascii="Verdana" w:hAnsi="Verdana"/>
          <w:bCs/>
          <w:i/>
          <w:sz w:val="16"/>
          <w:szCs w:val="16"/>
          <w:lang w:val="es-CR"/>
        </w:rPr>
        <w:t>Caso De la Masacre de las Dos Erres Vs. Guatemala.</w:t>
      </w:r>
      <w:r w:rsidRPr="007E2B8A">
        <w:rPr>
          <w:rFonts w:ascii="Verdana" w:hAnsi="Verdana"/>
          <w:b/>
          <w:bCs/>
          <w:i/>
          <w:sz w:val="16"/>
          <w:szCs w:val="16"/>
          <w:lang w:val="es-CR"/>
        </w:rPr>
        <w:t xml:space="preserve"> </w:t>
      </w:r>
      <w:r w:rsidRPr="007E2B8A">
        <w:rPr>
          <w:rFonts w:ascii="Verdana" w:hAnsi="Verdana"/>
          <w:i/>
          <w:sz w:val="16"/>
          <w:szCs w:val="16"/>
          <w:lang w:val="es-CR"/>
        </w:rPr>
        <w:t>Excepción Preliminar, Fondo, Reparaciones y Costas.</w:t>
      </w:r>
      <w:r w:rsidRPr="007E2B8A">
        <w:rPr>
          <w:rFonts w:ascii="Verdana" w:hAnsi="Verdana"/>
          <w:sz w:val="16"/>
          <w:szCs w:val="16"/>
          <w:lang w:val="es-CR"/>
        </w:rPr>
        <w:t xml:space="preserve"> Sentencia de 24 de noviembre de 2009. Serie C No. 211,</w:t>
      </w:r>
      <w:r w:rsidRPr="007E2B8A">
        <w:rPr>
          <w:rFonts w:ascii="Verdana" w:hAnsi="Verdana"/>
          <w:sz w:val="16"/>
          <w:szCs w:val="16"/>
          <w:lang w:val="es-ES"/>
        </w:rPr>
        <w:t xml:space="preserve"> párr. 121.</w:t>
      </w:r>
      <w:r w:rsidRPr="0074711B">
        <w:rPr>
          <w:rFonts w:ascii="Verdana" w:hAnsi="Verdana"/>
          <w:sz w:val="16"/>
          <w:szCs w:val="16"/>
          <w:lang w:val="es-ES"/>
        </w:rPr>
        <w:t xml:space="preserve"> </w:t>
      </w:r>
    </w:p>
    <w:p w:rsidR="00D93A8F" w:rsidRPr="002513AB" w:rsidRDefault="00D93A8F" w:rsidP="00CD04D8">
      <w:pPr>
        <w:pStyle w:val="Textonotapie"/>
        <w:jc w:val="both"/>
        <w:rPr>
          <w:lang w:val="es-ES"/>
        </w:rPr>
      </w:pPr>
    </w:p>
  </w:footnote>
  <w:footnote w:id="82">
    <w:p w:rsidR="00D93A8F" w:rsidRPr="0074711B" w:rsidRDefault="00D93A8F" w:rsidP="005A3625">
      <w:pPr>
        <w:pStyle w:val="Textonotapie"/>
        <w:ind w:right="9"/>
        <w:jc w:val="both"/>
        <w:rPr>
          <w:rFonts w:ascii="Verdana" w:hAnsi="Verdana"/>
          <w:sz w:val="16"/>
          <w:szCs w:val="16"/>
          <w:lang w:val="es-ES"/>
        </w:rPr>
      </w:pPr>
      <w:r w:rsidRPr="0074711B">
        <w:rPr>
          <w:rStyle w:val="Refdenotaalpie"/>
          <w:rFonts w:ascii="Verdana" w:hAnsi="Verdana"/>
          <w:sz w:val="16"/>
          <w:szCs w:val="16"/>
          <w:lang w:val="es-ES"/>
        </w:rPr>
        <w:footnoteRef/>
      </w:r>
      <w:r w:rsidRPr="0074711B">
        <w:rPr>
          <w:rFonts w:ascii="Verdana" w:hAnsi="Verdana"/>
          <w:sz w:val="16"/>
          <w:szCs w:val="16"/>
          <w:lang w:val="es-ES"/>
        </w:rPr>
        <w:t xml:space="preserve">  </w:t>
      </w:r>
      <w:r w:rsidRPr="0074711B">
        <w:rPr>
          <w:rFonts w:ascii="Verdana" w:hAnsi="Verdana"/>
          <w:sz w:val="16"/>
          <w:szCs w:val="16"/>
          <w:lang w:val="es-ES"/>
        </w:rPr>
        <w:tab/>
      </w:r>
      <w:r w:rsidRPr="007E2B8A">
        <w:rPr>
          <w:rFonts w:ascii="Verdana" w:hAnsi="Verdana"/>
          <w:sz w:val="16"/>
          <w:szCs w:val="16"/>
          <w:lang w:val="es-ES"/>
        </w:rPr>
        <w:t xml:space="preserve">Sentencia de Aclaración y Ampliación </w:t>
      </w:r>
      <w:r>
        <w:rPr>
          <w:rFonts w:ascii="Verdana" w:hAnsi="Verdana"/>
          <w:sz w:val="16"/>
          <w:szCs w:val="16"/>
          <w:lang w:val="es-ES"/>
        </w:rPr>
        <w:t xml:space="preserve">de la Corte Constitucional de 11 de marzo de 2010, </w:t>
      </w:r>
      <w:r w:rsidRPr="00FC3247">
        <w:rPr>
          <w:rFonts w:ascii="Verdana" w:hAnsi="Verdana"/>
          <w:i/>
          <w:sz w:val="16"/>
          <w:szCs w:val="16"/>
          <w:lang w:val="es-ES"/>
        </w:rPr>
        <w:t>supra</w:t>
      </w:r>
      <w:r>
        <w:rPr>
          <w:rFonts w:ascii="Verdana" w:hAnsi="Verdana"/>
          <w:sz w:val="16"/>
          <w:szCs w:val="16"/>
          <w:lang w:val="es-ES"/>
        </w:rPr>
        <w:t xml:space="preserve"> nota 58,</w:t>
      </w:r>
      <w:r w:rsidRPr="007E2B8A">
        <w:rPr>
          <w:rFonts w:ascii="Verdana" w:hAnsi="Verdana"/>
          <w:sz w:val="16"/>
          <w:szCs w:val="16"/>
          <w:lang w:val="es-ES"/>
        </w:rPr>
        <w:t xml:space="preserve"> fs. 777 a</w:t>
      </w:r>
      <w:r>
        <w:rPr>
          <w:rFonts w:ascii="Verdana" w:hAnsi="Verdana"/>
          <w:sz w:val="16"/>
          <w:szCs w:val="16"/>
          <w:lang w:val="es-ES"/>
        </w:rPr>
        <w:t>l</w:t>
      </w:r>
      <w:r w:rsidRPr="007E2B8A">
        <w:rPr>
          <w:rFonts w:ascii="Verdana" w:hAnsi="Verdana"/>
          <w:sz w:val="16"/>
          <w:szCs w:val="16"/>
          <w:lang w:val="es-ES"/>
        </w:rPr>
        <w:t xml:space="preserve"> 779.</w:t>
      </w:r>
      <w:r w:rsidRPr="0074711B">
        <w:rPr>
          <w:rFonts w:ascii="Verdana" w:hAnsi="Verdana"/>
          <w:strike/>
          <w:sz w:val="16"/>
          <w:szCs w:val="16"/>
          <w:lang w:val="es-ES"/>
        </w:rPr>
        <w:t xml:space="preserve"> </w:t>
      </w:r>
    </w:p>
    <w:p w:rsidR="00D93A8F" w:rsidRPr="002513AB" w:rsidRDefault="00D93A8F" w:rsidP="005A3625">
      <w:pPr>
        <w:pStyle w:val="Textonotapie"/>
        <w:ind w:right="9"/>
        <w:jc w:val="both"/>
        <w:rPr>
          <w:lang w:val="es-ES"/>
        </w:rPr>
      </w:pPr>
    </w:p>
  </w:footnote>
  <w:footnote w:id="83">
    <w:p w:rsidR="00D93A8F" w:rsidRPr="0074711B" w:rsidRDefault="00D93A8F" w:rsidP="00CD04D8">
      <w:pPr>
        <w:pStyle w:val="Textonotapie"/>
        <w:jc w:val="both"/>
        <w:rPr>
          <w:rFonts w:ascii="Verdana" w:hAnsi="Verdana"/>
          <w:sz w:val="16"/>
          <w:szCs w:val="16"/>
          <w:lang w:val="es-ES"/>
        </w:rPr>
      </w:pPr>
      <w:r w:rsidRPr="007E2B8A">
        <w:rPr>
          <w:rStyle w:val="Refdenotaalpie"/>
          <w:rFonts w:ascii="Verdana" w:hAnsi="Verdana"/>
          <w:sz w:val="16"/>
          <w:szCs w:val="16"/>
          <w:lang w:val="es-ES"/>
        </w:rPr>
        <w:footnoteRef/>
      </w:r>
      <w:r w:rsidRPr="007E2B8A">
        <w:rPr>
          <w:rFonts w:ascii="Verdana" w:hAnsi="Verdana"/>
          <w:sz w:val="16"/>
          <w:szCs w:val="16"/>
          <w:lang w:val="es-ES"/>
        </w:rPr>
        <w:t xml:space="preserve"> </w:t>
      </w:r>
      <w:r w:rsidRPr="007E2B8A">
        <w:rPr>
          <w:rFonts w:ascii="Verdana" w:hAnsi="Verdana"/>
          <w:sz w:val="16"/>
          <w:szCs w:val="16"/>
          <w:lang w:val="es-ES"/>
        </w:rPr>
        <w:tab/>
        <w:t xml:space="preserve">Asimismo, la Corte ha declarado violaciones al artículo 25 con motivo de la falta de debida diligencia y la tolerancia por parte de los tribunales al momento de tramitar [… recursos], así como la falta de tutela judicial efectiva, han permitido el uso abusivo […] como práctica dilatoria en el proceso.  </w:t>
      </w:r>
      <w:r w:rsidRPr="007E2B8A">
        <w:rPr>
          <w:rFonts w:ascii="Verdana" w:hAnsi="Verdana"/>
          <w:i/>
          <w:sz w:val="16"/>
          <w:szCs w:val="16"/>
          <w:lang w:val="es-ES"/>
        </w:rPr>
        <w:t>Cfr.</w:t>
      </w:r>
      <w:r w:rsidRPr="007E2B8A">
        <w:rPr>
          <w:rFonts w:ascii="Verdana" w:hAnsi="Verdana"/>
          <w:sz w:val="16"/>
          <w:szCs w:val="16"/>
          <w:lang w:val="es-ES"/>
        </w:rPr>
        <w:t xml:space="preserve"> </w:t>
      </w:r>
      <w:r w:rsidRPr="007E2B8A">
        <w:rPr>
          <w:rFonts w:ascii="Verdana" w:hAnsi="Verdana"/>
          <w:bCs/>
          <w:i/>
          <w:sz w:val="16"/>
          <w:szCs w:val="16"/>
          <w:lang w:val="es-CR"/>
        </w:rPr>
        <w:t>Caso De la Masacre de las Dos Erres Vs. Guatemala</w:t>
      </w:r>
      <w:r w:rsidRPr="007E2B8A">
        <w:rPr>
          <w:rFonts w:ascii="Verdana" w:hAnsi="Verdana"/>
          <w:bCs/>
          <w:sz w:val="16"/>
          <w:szCs w:val="16"/>
          <w:lang w:val="es-CR"/>
        </w:rPr>
        <w:t xml:space="preserve">, </w:t>
      </w:r>
      <w:r w:rsidRPr="007E2B8A">
        <w:rPr>
          <w:rFonts w:ascii="Verdana" w:hAnsi="Verdana"/>
          <w:bCs/>
          <w:i/>
          <w:sz w:val="16"/>
          <w:szCs w:val="16"/>
          <w:lang w:val="es-CR"/>
        </w:rPr>
        <w:t>supra</w:t>
      </w:r>
      <w:r w:rsidRPr="007E2B8A">
        <w:rPr>
          <w:rFonts w:ascii="Verdana" w:hAnsi="Verdana"/>
          <w:bCs/>
          <w:sz w:val="16"/>
          <w:szCs w:val="16"/>
          <w:lang w:val="es-CR"/>
        </w:rPr>
        <w:t xml:space="preserve"> nota 78,</w:t>
      </w:r>
      <w:r w:rsidRPr="007E2B8A">
        <w:rPr>
          <w:rFonts w:ascii="Verdana" w:hAnsi="Verdana"/>
          <w:sz w:val="16"/>
          <w:szCs w:val="16"/>
          <w:lang w:val="es-ES"/>
        </w:rPr>
        <w:t xml:space="preserve"> párr. 120.</w:t>
      </w:r>
    </w:p>
    <w:p w:rsidR="00D93A8F" w:rsidRPr="00854CE8" w:rsidRDefault="00D93A8F" w:rsidP="00CD04D8">
      <w:pPr>
        <w:pStyle w:val="Textonotapie"/>
        <w:jc w:val="both"/>
        <w:rPr>
          <w:lang w:val="es-ES"/>
        </w:rPr>
      </w:pPr>
      <w:r w:rsidRPr="0074711B">
        <w:rPr>
          <w:rFonts w:ascii="Verdana" w:hAnsi="Verdana"/>
          <w:sz w:val="16"/>
          <w:szCs w:val="16"/>
          <w:lang w:val="es-ES"/>
        </w:rPr>
        <w:tab/>
      </w:r>
    </w:p>
  </w:footnote>
  <w:footnote w:id="84">
    <w:p w:rsidR="00D93A8F" w:rsidRPr="0074711B" w:rsidRDefault="00D93A8F" w:rsidP="00B77FEF">
      <w:pPr>
        <w:pStyle w:val="Textonotapie"/>
        <w:jc w:val="both"/>
        <w:rPr>
          <w:rFonts w:ascii="Verdana" w:hAnsi="Verdana"/>
          <w:bCs/>
          <w:sz w:val="16"/>
          <w:szCs w:val="16"/>
          <w:lang w:val="es-ES"/>
        </w:rPr>
      </w:pPr>
      <w:r w:rsidRPr="0074711B">
        <w:rPr>
          <w:rStyle w:val="Refdenotaalpie"/>
          <w:rFonts w:ascii="Verdana" w:hAnsi="Verdana"/>
          <w:sz w:val="16"/>
          <w:szCs w:val="16"/>
          <w:lang w:val="es-ES"/>
        </w:rPr>
        <w:footnoteRef/>
      </w:r>
      <w:r w:rsidRPr="0074711B">
        <w:rPr>
          <w:rFonts w:ascii="Verdana" w:hAnsi="Verdana"/>
          <w:sz w:val="16"/>
          <w:szCs w:val="16"/>
          <w:lang w:val="es-ES"/>
        </w:rPr>
        <w:t xml:space="preserve"> </w:t>
      </w:r>
      <w:r w:rsidRPr="0074711B">
        <w:rPr>
          <w:rFonts w:ascii="Verdana" w:hAnsi="Verdana"/>
          <w:sz w:val="16"/>
          <w:szCs w:val="16"/>
          <w:lang w:val="es-ES"/>
        </w:rPr>
        <w:tab/>
      </w:r>
      <w:r w:rsidRPr="0074711B">
        <w:rPr>
          <w:rFonts w:ascii="Verdana" w:hAnsi="Verdana"/>
          <w:i/>
          <w:sz w:val="16"/>
          <w:szCs w:val="16"/>
          <w:lang w:val="es-ES"/>
        </w:rPr>
        <w:t xml:space="preserve">Cfr. </w:t>
      </w:r>
      <w:r w:rsidRPr="0074711B">
        <w:rPr>
          <w:rFonts w:ascii="Verdana" w:hAnsi="Verdana"/>
          <w:bCs/>
          <w:i/>
          <w:sz w:val="16"/>
          <w:szCs w:val="16"/>
          <w:lang w:val="es-ES"/>
        </w:rPr>
        <w:t>Caso Suárez Rosero</w:t>
      </w:r>
      <w:r>
        <w:rPr>
          <w:rFonts w:ascii="Verdana" w:hAnsi="Verdana"/>
          <w:bCs/>
          <w:i/>
          <w:sz w:val="16"/>
          <w:szCs w:val="16"/>
          <w:lang w:val="es-ES"/>
        </w:rPr>
        <w:t xml:space="preserve"> Vs. Ecuador. </w:t>
      </w:r>
      <w:r w:rsidRPr="0074711B">
        <w:rPr>
          <w:rFonts w:ascii="Verdana" w:hAnsi="Verdana"/>
          <w:bCs/>
          <w:i/>
          <w:sz w:val="16"/>
          <w:szCs w:val="16"/>
          <w:lang w:val="es-ES"/>
        </w:rPr>
        <w:t xml:space="preserve">Fondo. </w:t>
      </w:r>
      <w:r w:rsidRPr="00D75FA1">
        <w:rPr>
          <w:rFonts w:ascii="Verdana" w:hAnsi="Verdana"/>
          <w:bCs/>
          <w:sz w:val="16"/>
          <w:szCs w:val="16"/>
          <w:lang w:val="es-ES"/>
        </w:rPr>
        <w:t>Sentencia de 12 de noviembre de 1997.</w:t>
      </w:r>
      <w:r w:rsidRPr="0074711B">
        <w:rPr>
          <w:rFonts w:ascii="Verdana" w:hAnsi="Verdana"/>
          <w:bCs/>
          <w:i/>
          <w:sz w:val="16"/>
          <w:szCs w:val="16"/>
          <w:lang w:val="es-ES"/>
        </w:rPr>
        <w:t xml:space="preserve"> </w:t>
      </w:r>
      <w:r w:rsidRPr="0074711B">
        <w:rPr>
          <w:rFonts w:ascii="Verdana" w:hAnsi="Verdana"/>
          <w:bCs/>
          <w:sz w:val="16"/>
          <w:szCs w:val="16"/>
          <w:lang w:val="es-ES"/>
        </w:rPr>
        <w:t>Serie C No. 35, párr.</w:t>
      </w:r>
      <w:r w:rsidRPr="0074711B">
        <w:rPr>
          <w:rFonts w:ascii="Verdana" w:hAnsi="Verdana"/>
          <w:bCs/>
          <w:i/>
          <w:sz w:val="16"/>
          <w:szCs w:val="16"/>
          <w:lang w:val="es-ES"/>
        </w:rPr>
        <w:t xml:space="preserve"> </w:t>
      </w:r>
      <w:r w:rsidRPr="0074711B">
        <w:rPr>
          <w:rFonts w:ascii="Verdana" w:hAnsi="Verdana"/>
          <w:bCs/>
          <w:sz w:val="16"/>
          <w:szCs w:val="16"/>
          <w:lang w:val="es-ES"/>
        </w:rPr>
        <w:t>65;</w:t>
      </w:r>
      <w:r w:rsidRPr="0074711B">
        <w:rPr>
          <w:rFonts w:ascii="Verdana" w:hAnsi="Verdana"/>
          <w:i/>
          <w:sz w:val="16"/>
          <w:szCs w:val="16"/>
          <w:lang w:val="es-EC"/>
        </w:rPr>
        <w:t xml:space="preserve"> </w:t>
      </w:r>
      <w:r w:rsidRPr="0074711B">
        <w:rPr>
          <w:rFonts w:ascii="Verdana" w:hAnsi="Verdana"/>
          <w:bCs/>
          <w:i/>
          <w:sz w:val="16"/>
          <w:szCs w:val="16"/>
          <w:lang w:val="es-ES"/>
        </w:rPr>
        <w:t xml:space="preserve">Caso Rosendo Cantú y otra Vs. México. Excepción Preliminar, Fondo, Reparaciones y Costas. </w:t>
      </w:r>
      <w:r w:rsidRPr="0074711B">
        <w:rPr>
          <w:rFonts w:ascii="Verdana" w:hAnsi="Verdana"/>
          <w:bCs/>
          <w:sz w:val="16"/>
          <w:szCs w:val="16"/>
          <w:lang w:val="es-ES"/>
        </w:rPr>
        <w:t>Sentencia de 31 de agosto de 2010. Serie C No. 216, párr. 166</w:t>
      </w:r>
      <w:r w:rsidRPr="0074711B">
        <w:rPr>
          <w:rFonts w:ascii="Verdana" w:hAnsi="Verdana"/>
          <w:bCs/>
          <w:i/>
          <w:sz w:val="16"/>
          <w:szCs w:val="16"/>
          <w:lang w:val="es-ES"/>
        </w:rPr>
        <w:t xml:space="preserve">, </w:t>
      </w:r>
      <w:r w:rsidRPr="0074711B">
        <w:rPr>
          <w:rFonts w:ascii="Verdana" w:hAnsi="Verdana"/>
          <w:bCs/>
          <w:sz w:val="16"/>
          <w:szCs w:val="16"/>
          <w:lang w:val="es-ES"/>
        </w:rPr>
        <w:t>y</w:t>
      </w:r>
      <w:r w:rsidRPr="0074711B">
        <w:rPr>
          <w:rFonts w:ascii="Verdana" w:hAnsi="Verdana"/>
          <w:bCs/>
          <w:i/>
          <w:sz w:val="16"/>
          <w:szCs w:val="16"/>
          <w:lang w:val="es-ES"/>
        </w:rPr>
        <w:t xml:space="preserve"> Caso Cabrera García y Montiel Flores Vs. México, supra </w:t>
      </w:r>
      <w:r w:rsidRPr="0074711B">
        <w:rPr>
          <w:rFonts w:ascii="Verdana" w:hAnsi="Verdana"/>
          <w:bCs/>
          <w:sz w:val="16"/>
          <w:szCs w:val="16"/>
          <w:lang w:val="es-ES"/>
        </w:rPr>
        <w:t>nota 5, párr. 142.</w:t>
      </w:r>
    </w:p>
    <w:p w:rsidR="00D93A8F" w:rsidRPr="00854CE8" w:rsidRDefault="00D93A8F" w:rsidP="00B77FEF">
      <w:pPr>
        <w:pStyle w:val="Textonotapie"/>
        <w:jc w:val="both"/>
        <w:rPr>
          <w:lang w:val="es-ES"/>
        </w:rPr>
      </w:pPr>
    </w:p>
  </w:footnote>
  <w:footnote w:id="85">
    <w:p w:rsidR="00D93A8F" w:rsidRPr="0074711B" w:rsidRDefault="00D93A8F" w:rsidP="00647933">
      <w:pPr>
        <w:jc w:val="both"/>
        <w:rPr>
          <w:rFonts w:ascii="Verdana" w:hAnsi="Verdana"/>
          <w:sz w:val="16"/>
          <w:szCs w:val="16"/>
          <w:lang w:val="es-ES"/>
        </w:rPr>
      </w:pPr>
      <w:r w:rsidRPr="007E2B8A">
        <w:rPr>
          <w:rStyle w:val="Refdenotaalpie"/>
          <w:rFonts w:ascii="Verdana" w:hAnsi="Verdana"/>
          <w:sz w:val="16"/>
          <w:szCs w:val="16"/>
          <w:lang w:val="es-ES"/>
        </w:rPr>
        <w:footnoteRef/>
      </w:r>
      <w:r w:rsidRPr="007E2B8A">
        <w:rPr>
          <w:rFonts w:ascii="Verdana" w:hAnsi="Verdana"/>
          <w:sz w:val="16"/>
          <w:szCs w:val="16"/>
          <w:lang w:val="es-ES"/>
        </w:rPr>
        <w:t xml:space="preserve"> </w:t>
      </w:r>
      <w:r w:rsidRPr="007E2B8A">
        <w:rPr>
          <w:rFonts w:ascii="Verdana" w:hAnsi="Verdana"/>
          <w:sz w:val="16"/>
          <w:szCs w:val="16"/>
          <w:lang w:val="es-ES"/>
        </w:rPr>
        <w:tab/>
      </w:r>
      <w:r w:rsidRPr="007E2B8A">
        <w:rPr>
          <w:rFonts w:ascii="Verdana" w:hAnsi="Verdana"/>
          <w:i/>
          <w:sz w:val="16"/>
          <w:szCs w:val="16"/>
          <w:lang w:val="es-ES"/>
        </w:rPr>
        <w:t xml:space="preserve">Cfr. </w:t>
      </w:r>
      <w:r w:rsidRPr="007E2B8A">
        <w:rPr>
          <w:rFonts w:ascii="Verdana" w:hAnsi="Verdana"/>
          <w:i/>
          <w:sz w:val="16"/>
          <w:szCs w:val="16"/>
          <w:lang w:val="es-CR"/>
        </w:rPr>
        <w:t xml:space="preserve">Caso Baena Ricardo y otros Vs. Panamá. Competencia, </w:t>
      </w:r>
      <w:r w:rsidRPr="007E2B8A">
        <w:rPr>
          <w:rFonts w:ascii="Verdana" w:hAnsi="Verdana"/>
          <w:i/>
          <w:sz w:val="16"/>
          <w:szCs w:val="16"/>
          <w:lang w:val="es-ES"/>
        </w:rPr>
        <w:t xml:space="preserve">supra </w:t>
      </w:r>
      <w:r w:rsidRPr="007E2B8A">
        <w:rPr>
          <w:rFonts w:ascii="Verdana" w:hAnsi="Verdana"/>
          <w:sz w:val="16"/>
          <w:szCs w:val="16"/>
          <w:lang w:val="es-ES"/>
        </w:rPr>
        <w:t xml:space="preserve">nota 76, párr. 73; </w:t>
      </w:r>
      <w:r w:rsidRPr="007E2B8A">
        <w:rPr>
          <w:rFonts w:ascii="Verdana" w:hAnsi="Verdana"/>
          <w:i/>
          <w:sz w:val="16"/>
          <w:szCs w:val="16"/>
          <w:lang w:val="es-ES"/>
        </w:rPr>
        <w:t>Caso Acevedo Buendía y otros (“Cesantes y Jubilados de la Contraloría”) Vs. Perú</w:t>
      </w:r>
      <w:r>
        <w:rPr>
          <w:rFonts w:ascii="Verdana" w:hAnsi="Verdana"/>
          <w:i/>
          <w:sz w:val="16"/>
          <w:szCs w:val="16"/>
          <w:lang w:val="es-ES"/>
        </w:rPr>
        <w:t xml:space="preserve">, </w:t>
      </w:r>
      <w:r w:rsidRPr="007E2B8A">
        <w:rPr>
          <w:rFonts w:ascii="Verdana" w:hAnsi="Verdana"/>
          <w:i/>
          <w:sz w:val="16"/>
          <w:szCs w:val="16"/>
          <w:lang w:val="es-ES"/>
        </w:rPr>
        <w:t xml:space="preserve">supra </w:t>
      </w:r>
      <w:r w:rsidRPr="007E2B8A">
        <w:rPr>
          <w:rFonts w:ascii="Verdana" w:hAnsi="Verdana"/>
          <w:sz w:val="16"/>
          <w:szCs w:val="16"/>
          <w:lang w:val="es-ES"/>
        </w:rPr>
        <w:t xml:space="preserve">nota 76, párr. 66, y </w:t>
      </w:r>
      <w:r w:rsidRPr="007E2B8A">
        <w:rPr>
          <w:rFonts w:ascii="Verdana" w:hAnsi="Verdana"/>
          <w:i/>
          <w:sz w:val="16"/>
          <w:szCs w:val="16"/>
          <w:lang w:val="es-ES"/>
        </w:rPr>
        <w:t xml:space="preserve">Caso Abrill Alosilla y otros Vs. Perú, supra </w:t>
      </w:r>
      <w:r w:rsidRPr="007E2B8A">
        <w:rPr>
          <w:rFonts w:ascii="Verdana" w:hAnsi="Verdana"/>
          <w:sz w:val="16"/>
          <w:szCs w:val="16"/>
          <w:lang w:val="es-ES"/>
        </w:rPr>
        <w:t>nota 19, párr. 75.</w:t>
      </w:r>
      <w:r w:rsidRPr="0074711B">
        <w:rPr>
          <w:rFonts w:ascii="Verdana" w:hAnsi="Verdana"/>
          <w:sz w:val="16"/>
          <w:szCs w:val="16"/>
          <w:lang w:val="es-ES"/>
        </w:rPr>
        <w:t xml:space="preserve"> </w:t>
      </w:r>
    </w:p>
    <w:p w:rsidR="00D93A8F" w:rsidRPr="00854CE8" w:rsidRDefault="00D93A8F" w:rsidP="00647933">
      <w:pPr>
        <w:jc w:val="both"/>
        <w:rPr>
          <w:lang w:val="es-ES"/>
        </w:rPr>
      </w:pPr>
    </w:p>
  </w:footnote>
  <w:footnote w:id="86">
    <w:p w:rsidR="00D93A8F" w:rsidRPr="002513AB" w:rsidRDefault="00D93A8F" w:rsidP="00B77FEF">
      <w:pPr>
        <w:pStyle w:val="Textonotapie"/>
        <w:jc w:val="both"/>
        <w:rPr>
          <w:lang w:val="es-ES"/>
        </w:rPr>
      </w:pPr>
      <w:r w:rsidRPr="0074711B">
        <w:rPr>
          <w:rStyle w:val="Refdenotaalpie"/>
          <w:rFonts w:ascii="Verdana" w:hAnsi="Verdana"/>
          <w:sz w:val="16"/>
          <w:szCs w:val="16"/>
          <w:lang w:val="es-ES"/>
        </w:rPr>
        <w:footnoteRef/>
      </w:r>
      <w:r w:rsidRPr="0074711B">
        <w:rPr>
          <w:rFonts w:ascii="Verdana" w:hAnsi="Verdana"/>
          <w:sz w:val="16"/>
          <w:szCs w:val="16"/>
          <w:lang w:val="es-ES"/>
        </w:rPr>
        <w:t xml:space="preserve"> </w:t>
      </w:r>
      <w:r w:rsidRPr="0074711B">
        <w:rPr>
          <w:rFonts w:ascii="Verdana" w:hAnsi="Verdana"/>
          <w:sz w:val="16"/>
          <w:szCs w:val="16"/>
          <w:lang w:val="es-ES"/>
        </w:rPr>
        <w:tab/>
      </w:r>
      <w:r w:rsidRPr="009979B7">
        <w:rPr>
          <w:rFonts w:ascii="Verdana" w:hAnsi="Verdana"/>
          <w:i/>
          <w:sz w:val="16"/>
          <w:szCs w:val="16"/>
          <w:lang w:val="es-ES"/>
        </w:rPr>
        <w:t>Cfr. Caso Baena Ricardo y otros Vs. Panamá</w:t>
      </w:r>
      <w:r>
        <w:rPr>
          <w:rFonts w:ascii="Verdana" w:hAnsi="Verdana"/>
          <w:i/>
          <w:sz w:val="16"/>
          <w:szCs w:val="16"/>
          <w:lang w:val="es-ES"/>
        </w:rPr>
        <w:t>. Competencia,</w:t>
      </w:r>
      <w:r w:rsidRPr="009979B7">
        <w:rPr>
          <w:rFonts w:ascii="Verdana" w:hAnsi="Verdana"/>
          <w:i/>
          <w:sz w:val="16"/>
          <w:szCs w:val="16"/>
          <w:lang w:val="es-ES"/>
        </w:rPr>
        <w:t xml:space="preserve"> supra </w:t>
      </w:r>
      <w:r w:rsidRPr="009979B7">
        <w:rPr>
          <w:rFonts w:ascii="Verdana" w:hAnsi="Verdana"/>
          <w:sz w:val="16"/>
          <w:szCs w:val="16"/>
          <w:lang w:val="es-ES"/>
        </w:rPr>
        <w:t xml:space="preserve">nota </w:t>
      </w:r>
      <w:r>
        <w:rPr>
          <w:rFonts w:ascii="Verdana" w:hAnsi="Verdana"/>
          <w:sz w:val="16"/>
          <w:szCs w:val="16"/>
          <w:lang w:val="es-ES"/>
        </w:rPr>
        <w:t>76</w:t>
      </w:r>
      <w:r w:rsidRPr="009979B7">
        <w:rPr>
          <w:rFonts w:ascii="Verdana" w:hAnsi="Verdana"/>
          <w:sz w:val="16"/>
          <w:szCs w:val="16"/>
          <w:lang w:val="es-ES"/>
        </w:rPr>
        <w:t xml:space="preserve">, párr. 82; </w:t>
      </w:r>
      <w:r w:rsidRPr="009979B7">
        <w:rPr>
          <w:rFonts w:ascii="Verdana" w:hAnsi="Verdana"/>
          <w:i/>
          <w:sz w:val="16"/>
          <w:szCs w:val="16"/>
          <w:lang w:val="es-ES"/>
        </w:rPr>
        <w:t>Caso Acevedo Jaramillo Vs. Per</w:t>
      </w:r>
      <w:r w:rsidRPr="009979B7">
        <w:rPr>
          <w:rFonts w:ascii="Verdana" w:hAnsi="Verdana"/>
          <w:i/>
          <w:sz w:val="16"/>
          <w:szCs w:val="16"/>
          <w:lang w:val="es-CR"/>
        </w:rPr>
        <w:t>ú</w:t>
      </w:r>
      <w:r>
        <w:rPr>
          <w:rFonts w:ascii="Verdana" w:hAnsi="Verdana"/>
          <w:i/>
          <w:sz w:val="16"/>
          <w:szCs w:val="16"/>
          <w:lang w:val="es-ES"/>
        </w:rPr>
        <w:t>, Excepciones Preliminares, Fondo, Reparaciones y Costas.</w:t>
      </w:r>
      <w:r>
        <w:rPr>
          <w:rFonts w:ascii="Verdana" w:hAnsi="Verdana"/>
          <w:sz w:val="16"/>
          <w:szCs w:val="16"/>
          <w:lang w:val="es-ES"/>
        </w:rPr>
        <w:t xml:space="preserve"> Sentencia de 7 de febrero de 2006</w:t>
      </w:r>
      <w:r w:rsidRPr="00CB1691">
        <w:rPr>
          <w:rFonts w:ascii="Verdana" w:hAnsi="Verdana"/>
          <w:sz w:val="16"/>
          <w:szCs w:val="16"/>
          <w:lang w:val="es-ES"/>
        </w:rPr>
        <w:t>,</w:t>
      </w:r>
      <w:r>
        <w:rPr>
          <w:rFonts w:ascii="Verdana" w:hAnsi="Verdana"/>
          <w:sz w:val="16"/>
          <w:szCs w:val="16"/>
          <w:lang w:val="es-ES"/>
        </w:rPr>
        <w:t xml:space="preserve"> párr. 220, </w:t>
      </w:r>
      <w:r w:rsidRPr="009979B7">
        <w:rPr>
          <w:rFonts w:ascii="Verdana" w:hAnsi="Verdana"/>
          <w:i/>
          <w:sz w:val="16"/>
          <w:szCs w:val="16"/>
          <w:lang w:val="es-ES"/>
        </w:rPr>
        <w:t>y Caso Acevedo Buendía y otros (“Cesantes y Jubilados de la Contraloría”) Vs. Perú</w:t>
      </w:r>
      <w:r>
        <w:rPr>
          <w:rFonts w:ascii="Verdana" w:hAnsi="Verdana"/>
          <w:i/>
          <w:sz w:val="16"/>
          <w:szCs w:val="16"/>
          <w:lang w:val="es-ES"/>
        </w:rPr>
        <w:t>,</w:t>
      </w:r>
      <w:r w:rsidRPr="009979B7">
        <w:rPr>
          <w:rFonts w:ascii="Verdana" w:hAnsi="Verdana"/>
          <w:i/>
          <w:sz w:val="16"/>
          <w:szCs w:val="16"/>
          <w:lang w:val="es-ES"/>
        </w:rPr>
        <w:t xml:space="preserve"> supra </w:t>
      </w:r>
      <w:r w:rsidRPr="009979B7">
        <w:rPr>
          <w:rFonts w:ascii="Verdana" w:hAnsi="Verdana"/>
          <w:sz w:val="16"/>
          <w:szCs w:val="16"/>
          <w:lang w:val="es-ES"/>
        </w:rPr>
        <w:t xml:space="preserve">nota </w:t>
      </w:r>
      <w:r>
        <w:rPr>
          <w:rFonts w:ascii="Verdana" w:hAnsi="Verdana"/>
          <w:sz w:val="16"/>
          <w:szCs w:val="16"/>
          <w:lang w:val="es-ES"/>
        </w:rPr>
        <w:t>76</w:t>
      </w:r>
      <w:r w:rsidRPr="009979B7">
        <w:rPr>
          <w:rFonts w:ascii="Verdana" w:hAnsi="Verdana"/>
          <w:sz w:val="16"/>
          <w:szCs w:val="16"/>
          <w:lang w:val="es-ES"/>
        </w:rPr>
        <w:t>, párr. 72.</w:t>
      </w:r>
    </w:p>
  </w:footnote>
  <w:footnote w:id="87">
    <w:p w:rsidR="00D93A8F" w:rsidRPr="0074711B" w:rsidRDefault="00D93A8F" w:rsidP="00B77FEF">
      <w:pPr>
        <w:pStyle w:val="Textonotapie"/>
        <w:jc w:val="both"/>
        <w:rPr>
          <w:rFonts w:ascii="Verdana" w:hAnsi="Verdana"/>
          <w:sz w:val="16"/>
          <w:szCs w:val="16"/>
          <w:lang w:val="es-ES"/>
        </w:rPr>
      </w:pPr>
      <w:r w:rsidRPr="0074711B">
        <w:rPr>
          <w:rStyle w:val="Refdenotaalpie"/>
          <w:rFonts w:ascii="Verdana" w:hAnsi="Verdana" w:cs="Times"/>
          <w:sz w:val="16"/>
          <w:szCs w:val="16"/>
          <w:lang w:val="es-ES"/>
        </w:rPr>
        <w:footnoteRef/>
      </w:r>
      <w:r w:rsidRPr="0074711B">
        <w:rPr>
          <w:rFonts w:ascii="Verdana" w:hAnsi="Verdana"/>
          <w:i/>
          <w:sz w:val="16"/>
          <w:szCs w:val="16"/>
          <w:lang w:val="es-ES"/>
        </w:rPr>
        <w:t xml:space="preserve"> </w:t>
      </w:r>
      <w:r w:rsidRPr="0074711B">
        <w:rPr>
          <w:rFonts w:ascii="Verdana" w:hAnsi="Verdana"/>
          <w:i/>
          <w:sz w:val="16"/>
          <w:szCs w:val="16"/>
          <w:lang w:val="es-ES"/>
        </w:rPr>
        <w:tab/>
        <w:t>Cfr.</w:t>
      </w:r>
      <w:r w:rsidRPr="0074711B">
        <w:rPr>
          <w:rFonts w:ascii="Verdana" w:hAnsi="Verdana"/>
          <w:sz w:val="16"/>
          <w:szCs w:val="16"/>
          <w:lang w:val="es-ES"/>
        </w:rPr>
        <w:t xml:space="preserve"> </w:t>
      </w:r>
      <w:r w:rsidRPr="00FC3247">
        <w:rPr>
          <w:rFonts w:ascii="Verdana" w:hAnsi="Verdana" w:cs="TimesNewRomanPS-ItalicMT"/>
          <w:iCs/>
          <w:sz w:val="16"/>
          <w:szCs w:val="16"/>
          <w:lang w:val="es-CR"/>
        </w:rPr>
        <w:t xml:space="preserve">T.E.D.H., </w:t>
      </w:r>
      <w:r w:rsidRPr="0074711B">
        <w:rPr>
          <w:rFonts w:ascii="Verdana" w:hAnsi="Verdana"/>
          <w:i/>
          <w:sz w:val="16"/>
          <w:szCs w:val="16"/>
          <w:lang w:val="es-ES"/>
        </w:rPr>
        <w:t xml:space="preserve">Caso </w:t>
      </w:r>
      <w:r w:rsidRPr="0074711B">
        <w:rPr>
          <w:rFonts w:ascii="Verdana" w:hAnsi="Verdana"/>
          <w:i/>
          <w:iCs/>
          <w:sz w:val="16"/>
          <w:szCs w:val="16"/>
          <w:lang w:val="es-ES"/>
        </w:rPr>
        <w:t>Matheus versus Francia</w:t>
      </w:r>
      <w:r w:rsidRPr="0074711B">
        <w:rPr>
          <w:rFonts w:ascii="Verdana" w:hAnsi="Verdana"/>
          <w:sz w:val="16"/>
          <w:szCs w:val="16"/>
          <w:lang w:val="es-ES"/>
        </w:rPr>
        <w:t xml:space="preserve">, n° </w:t>
      </w:r>
      <w:r w:rsidRPr="0074711B">
        <w:rPr>
          <w:rFonts w:ascii="Verdana" w:hAnsi="Verdana"/>
          <w:iCs/>
          <w:sz w:val="16"/>
          <w:szCs w:val="16"/>
          <w:lang w:val="es-ES"/>
        </w:rPr>
        <w:t>62740/01,</w:t>
      </w:r>
      <w:r w:rsidRPr="0074711B">
        <w:rPr>
          <w:rFonts w:ascii="Verdana" w:hAnsi="Verdana"/>
          <w:sz w:val="16"/>
          <w:szCs w:val="16"/>
          <w:lang w:val="es-ES"/>
        </w:rPr>
        <w:t xml:space="preserve"> Sentencia del 31.03.2005, p</w:t>
      </w:r>
      <w:r>
        <w:rPr>
          <w:rFonts w:ascii="Verdana" w:hAnsi="Verdana"/>
          <w:sz w:val="16"/>
          <w:szCs w:val="16"/>
          <w:lang w:val="es-ES"/>
        </w:rPr>
        <w:t>árr</w:t>
      </w:r>
      <w:r w:rsidRPr="0074711B">
        <w:rPr>
          <w:rFonts w:ascii="Verdana" w:hAnsi="Verdana"/>
          <w:sz w:val="16"/>
          <w:szCs w:val="16"/>
          <w:lang w:val="es-ES"/>
        </w:rPr>
        <w:t xml:space="preserve">. 58; </w:t>
      </w:r>
      <w:r>
        <w:rPr>
          <w:rFonts w:ascii="Verdana" w:hAnsi="Verdana"/>
          <w:sz w:val="16"/>
          <w:szCs w:val="16"/>
          <w:lang w:val="es-ES"/>
        </w:rPr>
        <w:t>y</w:t>
      </w:r>
      <w:r w:rsidRPr="0074711B">
        <w:rPr>
          <w:rFonts w:ascii="Verdana" w:hAnsi="Verdana"/>
          <w:sz w:val="16"/>
          <w:szCs w:val="16"/>
          <w:lang w:val="es-ES"/>
        </w:rPr>
        <w:t xml:space="preserve"> </w:t>
      </w:r>
      <w:r w:rsidRPr="00FC3247">
        <w:rPr>
          <w:rFonts w:ascii="Verdana" w:hAnsi="Verdana" w:cs="TimesNewRomanPS-ItalicMT"/>
          <w:iCs/>
          <w:sz w:val="16"/>
          <w:szCs w:val="16"/>
          <w:lang w:val="es-CR"/>
        </w:rPr>
        <w:t xml:space="preserve">T.E.D.H., </w:t>
      </w:r>
      <w:r w:rsidRPr="0080155B">
        <w:rPr>
          <w:rFonts w:ascii="Verdana" w:hAnsi="Verdana"/>
          <w:i/>
          <w:sz w:val="16"/>
          <w:szCs w:val="16"/>
          <w:lang w:val="es-ES"/>
        </w:rPr>
        <w:t>Caso Sabin</w:t>
      </w:r>
      <w:r w:rsidRPr="0074711B">
        <w:rPr>
          <w:rFonts w:ascii="Verdana" w:hAnsi="Verdana"/>
          <w:sz w:val="16"/>
          <w:szCs w:val="16"/>
          <w:lang w:val="es-ES"/>
        </w:rPr>
        <w:t xml:space="preserve"> </w:t>
      </w:r>
      <w:r w:rsidRPr="0074711B">
        <w:rPr>
          <w:rFonts w:ascii="Verdana" w:hAnsi="Verdana"/>
          <w:i/>
          <w:iCs/>
          <w:sz w:val="16"/>
          <w:szCs w:val="16"/>
          <w:lang w:val="es-ES"/>
        </w:rPr>
        <w:t>Popescu versus Romania</w:t>
      </w:r>
      <w:r w:rsidRPr="0074711B">
        <w:rPr>
          <w:rFonts w:ascii="Verdana" w:hAnsi="Verdana"/>
          <w:sz w:val="16"/>
          <w:szCs w:val="16"/>
          <w:lang w:val="es-ES"/>
        </w:rPr>
        <w:t>, n° 48102/99, Sentencia del 2.03.2004, p</w:t>
      </w:r>
      <w:r>
        <w:rPr>
          <w:rFonts w:ascii="Verdana" w:hAnsi="Verdana"/>
          <w:sz w:val="16"/>
          <w:szCs w:val="16"/>
          <w:lang w:val="es-ES"/>
        </w:rPr>
        <w:t>árrs</w:t>
      </w:r>
      <w:r w:rsidRPr="0074711B">
        <w:rPr>
          <w:rFonts w:ascii="Verdana" w:hAnsi="Verdana"/>
          <w:sz w:val="16"/>
          <w:szCs w:val="16"/>
          <w:lang w:val="es-ES"/>
        </w:rPr>
        <w:t>. 68 y ss. Según los estándares elaborados por el Comité Consultivo de Jueces Europeos (CCJE), un Órgano Consultivo del Comité de Ministros del Consejo de Europa en las materias relativas a la independencia, la imparcialidad, y la competencia profesional de los jueces, “la ejecución de las decisiones de justicia debe ser equitativa, rápida, efectiva y proporcionada” (</w:t>
      </w:r>
      <w:r w:rsidRPr="0074711B">
        <w:rPr>
          <w:rFonts w:ascii="Verdana" w:hAnsi="Verdana"/>
          <w:i/>
          <w:sz w:val="16"/>
          <w:szCs w:val="16"/>
          <w:lang w:val="es-ES"/>
        </w:rPr>
        <w:t xml:space="preserve">Cfr. </w:t>
      </w:r>
      <w:r>
        <w:rPr>
          <w:rFonts w:ascii="Verdana" w:hAnsi="Verdana"/>
          <w:bCs/>
          <w:sz w:val="16"/>
          <w:szCs w:val="16"/>
          <w:lang w:val="es-ES"/>
        </w:rPr>
        <w:t>Opini</w:t>
      </w:r>
      <w:r>
        <w:rPr>
          <w:rFonts w:ascii="Verdana" w:hAnsi="Verdana"/>
          <w:bCs/>
          <w:sz w:val="16"/>
          <w:szCs w:val="16"/>
          <w:lang w:val="es-CR"/>
        </w:rPr>
        <w:t>ó</w:t>
      </w:r>
      <w:r w:rsidRPr="0074711B">
        <w:rPr>
          <w:rFonts w:ascii="Verdana" w:hAnsi="Verdana"/>
          <w:bCs/>
          <w:sz w:val="16"/>
          <w:szCs w:val="16"/>
          <w:lang w:val="es-ES"/>
        </w:rPr>
        <w:t>n no.</w:t>
      </w:r>
      <w:r>
        <w:rPr>
          <w:rFonts w:ascii="Verdana" w:hAnsi="Verdana"/>
          <w:bCs/>
          <w:sz w:val="16"/>
          <w:szCs w:val="16"/>
          <w:lang w:val="es-ES"/>
        </w:rPr>
        <w:t xml:space="preserve"> </w:t>
      </w:r>
      <w:r w:rsidRPr="0074711B">
        <w:rPr>
          <w:rFonts w:ascii="Verdana" w:hAnsi="Verdana"/>
          <w:bCs/>
          <w:sz w:val="16"/>
          <w:szCs w:val="16"/>
          <w:lang w:val="es-ES"/>
        </w:rPr>
        <w:t xml:space="preserve">13 (2010) </w:t>
      </w:r>
      <w:r w:rsidRPr="0074711B">
        <w:rPr>
          <w:rFonts w:ascii="Verdana" w:hAnsi="Verdana"/>
          <w:bCs/>
          <w:i/>
          <w:sz w:val="16"/>
          <w:szCs w:val="16"/>
          <w:lang w:val="es-ES"/>
        </w:rPr>
        <w:t>on the role of judges in the enforcement of judicial decisions</w:t>
      </w:r>
      <w:r w:rsidRPr="0074711B">
        <w:rPr>
          <w:rFonts w:ascii="Verdana" w:hAnsi="Verdana"/>
          <w:bCs/>
          <w:sz w:val="16"/>
          <w:szCs w:val="16"/>
          <w:lang w:val="es-ES"/>
        </w:rPr>
        <w:t xml:space="preserve">, </w:t>
      </w:r>
      <w:r w:rsidRPr="0074711B">
        <w:rPr>
          <w:rFonts w:ascii="Verdana" w:hAnsi="Verdana"/>
          <w:sz w:val="16"/>
          <w:szCs w:val="16"/>
          <w:lang w:val="es-ES"/>
        </w:rPr>
        <w:t xml:space="preserve">disponible en inglés, francés y polonés al siguiente enlace: </w:t>
      </w:r>
      <w:hyperlink r:id="rId1" w:history="1">
        <w:r w:rsidRPr="001E2AF6">
          <w:rPr>
            <w:rStyle w:val="Hipervnculo"/>
            <w:rFonts w:ascii="Verdana" w:hAnsi="Verdana"/>
            <w:sz w:val="16"/>
            <w:szCs w:val="16"/>
            <w:u w:val="none"/>
            <w:lang w:val="es-ES"/>
          </w:rPr>
          <w:t>https://wcd.coe.int/wcd/ViewDoc.jsp?Ref=CCJE(2010)2&amp;Language=lanEnglish&amp;Ver=original&amp;BackColorInternet=DBDCF2&amp;BackColorIntranet=FDC864&amp;BackColorLogged</w:t>
        </w:r>
        <w:r>
          <w:rPr>
            <w:rStyle w:val="Hipervnculo"/>
            <w:rFonts w:ascii="Verdana" w:hAnsi="Verdana"/>
            <w:sz w:val="16"/>
            <w:szCs w:val="16"/>
            <w:lang w:val="es-ES"/>
          </w:rPr>
          <w:t>=FDC864</w:t>
        </w:r>
      </w:hyperlink>
      <w:r w:rsidRPr="00FC3247">
        <w:rPr>
          <w:rFonts w:ascii="Verdana" w:hAnsi="Verdana"/>
          <w:sz w:val="16"/>
          <w:szCs w:val="16"/>
          <w:u w:val="single"/>
          <w:lang w:val="es-ES"/>
        </w:rPr>
        <w:t>,</w:t>
      </w:r>
      <w:r w:rsidRPr="0074711B">
        <w:rPr>
          <w:rFonts w:ascii="Verdana" w:hAnsi="Verdana"/>
          <w:sz w:val="16"/>
          <w:szCs w:val="16"/>
          <w:lang w:val="es-ES"/>
        </w:rPr>
        <w:t xml:space="preserve"> </w:t>
      </w:r>
      <w:r w:rsidRPr="00351016">
        <w:rPr>
          <w:rFonts w:ascii="Verdana" w:hAnsi="Verdana"/>
          <w:sz w:val="16"/>
          <w:szCs w:val="16"/>
          <w:lang w:val="es-ES"/>
        </w:rPr>
        <w:t xml:space="preserve">último </w:t>
      </w:r>
      <w:r w:rsidRPr="00480556">
        <w:rPr>
          <w:rFonts w:ascii="Verdana" w:hAnsi="Verdana"/>
          <w:sz w:val="16"/>
          <w:szCs w:val="16"/>
          <w:lang w:val="es-ES"/>
        </w:rPr>
        <w:t xml:space="preserve">acceso </w:t>
      </w:r>
      <w:r>
        <w:rPr>
          <w:rFonts w:ascii="Verdana" w:hAnsi="Verdana"/>
          <w:sz w:val="16"/>
          <w:szCs w:val="16"/>
          <w:lang w:val="es-ES"/>
        </w:rPr>
        <w:t>1</w:t>
      </w:r>
      <w:r w:rsidRPr="00351016">
        <w:rPr>
          <w:rFonts w:ascii="Verdana" w:hAnsi="Verdana"/>
          <w:sz w:val="16"/>
          <w:szCs w:val="16"/>
          <w:lang w:val="es-ES"/>
        </w:rPr>
        <w:t xml:space="preserve"> de julio de 2011.</w:t>
      </w:r>
    </w:p>
    <w:p w:rsidR="00D93A8F" w:rsidRPr="002513AB" w:rsidRDefault="00D93A8F" w:rsidP="00B77FEF">
      <w:pPr>
        <w:pStyle w:val="Textonotapie"/>
        <w:jc w:val="both"/>
        <w:rPr>
          <w:lang w:val="es-ES"/>
        </w:rPr>
      </w:pPr>
    </w:p>
  </w:footnote>
  <w:footnote w:id="88">
    <w:p w:rsidR="00D93A8F" w:rsidRPr="00D84976" w:rsidRDefault="00D93A8F" w:rsidP="00B77FEF">
      <w:pPr>
        <w:pStyle w:val="Textonotapie"/>
        <w:jc w:val="both"/>
        <w:rPr>
          <w:rFonts w:ascii="Verdana" w:hAnsi="Verdana"/>
          <w:sz w:val="16"/>
          <w:szCs w:val="16"/>
        </w:rPr>
      </w:pPr>
      <w:r w:rsidRPr="0074711B">
        <w:rPr>
          <w:rStyle w:val="Refdenotaalpie"/>
          <w:rFonts w:ascii="Verdana" w:hAnsi="Verdana" w:cs="Times"/>
          <w:sz w:val="16"/>
          <w:szCs w:val="16"/>
          <w:lang w:val="es-ES"/>
        </w:rPr>
        <w:footnoteRef/>
      </w:r>
      <w:r w:rsidRPr="0074711B">
        <w:rPr>
          <w:rFonts w:ascii="Verdana" w:hAnsi="Verdana"/>
          <w:i/>
          <w:sz w:val="16"/>
          <w:szCs w:val="16"/>
          <w:lang w:val="es-ES"/>
        </w:rPr>
        <w:t xml:space="preserve"> </w:t>
      </w:r>
      <w:r w:rsidRPr="0074711B">
        <w:rPr>
          <w:rFonts w:ascii="Verdana" w:hAnsi="Verdana"/>
          <w:i/>
          <w:sz w:val="16"/>
          <w:szCs w:val="16"/>
          <w:lang w:val="es-ES"/>
        </w:rPr>
        <w:tab/>
        <w:t xml:space="preserve">Cfr. </w:t>
      </w:r>
      <w:r w:rsidRPr="00FC3247">
        <w:rPr>
          <w:rFonts w:ascii="Verdana" w:hAnsi="Verdana" w:cs="TimesNewRomanPS-ItalicMT"/>
          <w:iCs/>
          <w:sz w:val="16"/>
          <w:szCs w:val="16"/>
          <w:lang w:val="es-CR"/>
        </w:rPr>
        <w:t xml:space="preserve">T.E.D.H., </w:t>
      </w:r>
      <w:r w:rsidRPr="0074711B">
        <w:rPr>
          <w:rFonts w:ascii="Verdana" w:hAnsi="Verdana"/>
          <w:i/>
          <w:sz w:val="16"/>
          <w:szCs w:val="16"/>
          <w:lang w:val="es-ES"/>
        </w:rPr>
        <w:t xml:space="preserve">Caso Cocchiarella </w:t>
      </w:r>
      <w:r w:rsidRPr="0074711B">
        <w:rPr>
          <w:rFonts w:ascii="Verdana" w:hAnsi="Verdana"/>
          <w:i/>
          <w:iCs/>
          <w:sz w:val="16"/>
          <w:szCs w:val="16"/>
          <w:lang w:val="es-ES"/>
        </w:rPr>
        <w:t xml:space="preserve">versus Italia </w:t>
      </w:r>
      <w:r w:rsidRPr="0074711B">
        <w:rPr>
          <w:rFonts w:ascii="Verdana" w:hAnsi="Verdana"/>
          <w:iCs/>
          <w:sz w:val="16"/>
          <w:szCs w:val="16"/>
          <w:lang w:val="es-ES"/>
        </w:rPr>
        <w:t>(GC)</w:t>
      </w:r>
      <w:r w:rsidRPr="0074711B">
        <w:rPr>
          <w:rFonts w:ascii="Verdana" w:hAnsi="Verdana"/>
          <w:sz w:val="16"/>
          <w:szCs w:val="16"/>
          <w:lang w:val="es-ES"/>
        </w:rPr>
        <w:t>, n° 64886/01</w:t>
      </w:r>
      <w:r w:rsidRPr="0074711B">
        <w:rPr>
          <w:rFonts w:ascii="Verdana" w:hAnsi="Verdana"/>
          <w:iCs/>
          <w:sz w:val="16"/>
          <w:szCs w:val="16"/>
          <w:lang w:val="es-ES"/>
        </w:rPr>
        <w:t>,</w:t>
      </w:r>
      <w:r w:rsidRPr="0074711B">
        <w:rPr>
          <w:rFonts w:ascii="Verdana" w:hAnsi="Verdana"/>
          <w:sz w:val="16"/>
          <w:szCs w:val="16"/>
          <w:lang w:val="es-ES"/>
        </w:rPr>
        <w:t xml:space="preserve"> Sentencia del 29.03.2006, p</w:t>
      </w:r>
      <w:r>
        <w:rPr>
          <w:rFonts w:ascii="Verdana" w:hAnsi="Verdana"/>
          <w:sz w:val="16"/>
          <w:szCs w:val="16"/>
          <w:lang w:val="es-ES"/>
        </w:rPr>
        <w:t>árr</w:t>
      </w:r>
      <w:r w:rsidRPr="0074711B">
        <w:rPr>
          <w:rFonts w:ascii="Verdana" w:hAnsi="Verdana"/>
          <w:sz w:val="16"/>
          <w:szCs w:val="16"/>
          <w:lang w:val="es-ES"/>
        </w:rPr>
        <w:t>. 89;</w:t>
      </w:r>
      <w:r>
        <w:rPr>
          <w:rFonts w:ascii="Verdana" w:hAnsi="Verdana"/>
          <w:sz w:val="16"/>
          <w:szCs w:val="16"/>
          <w:lang w:val="es-ES"/>
        </w:rPr>
        <w:t xml:space="preserve"> y</w:t>
      </w:r>
      <w:r w:rsidRPr="0074711B">
        <w:rPr>
          <w:rFonts w:ascii="Verdana" w:hAnsi="Verdana"/>
          <w:sz w:val="16"/>
          <w:szCs w:val="16"/>
          <w:lang w:val="es-ES"/>
        </w:rPr>
        <w:t xml:space="preserve"> </w:t>
      </w:r>
      <w:r w:rsidRPr="00FC3247">
        <w:rPr>
          <w:rFonts w:ascii="Verdana" w:hAnsi="Verdana" w:cs="TimesNewRomanPS-ItalicMT"/>
          <w:iCs/>
          <w:sz w:val="16"/>
          <w:szCs w:val="16"/>
          <w:lang w:val="es-CR"/>
        </w:rPr>
        <w:t xml:space="preserve">T.E.D.H., </w:t>
      </w:r>
      <w:r w:rsidRPr="0074711B">
        <w:rPr>
          <w:rFonts w:ascii="Verdana" w:hAnsi="Verdana"/>
          <w:sz w:val="16"/>
          <w:szCs w:val="16"/>
          <w:lang w:val="es-ES"/>
        </w:rPr>
        <w:t xml:space="preserve">Caso </w:t>
      </w:r>
      <w:r w:rsidRPr="0074711B">
        <w:rPr>
          <w:rFonts w:ascii="Verdana" w:hAnsi="Verdana"/>
          <w:i/>
          <w:iCs/>
          <w:sz w:val="16"/>
          <w:szCs w:val="16"/>
          <w:lang w:val="es-ES"/>
        </w:rPr>
        <w:t>Gaglione versus Italia</w:t>
      </w:r>
      <w:r w:rsidRPr="0074711B">
        <w:rPr>
          <w:rFonts w:ascii="Verdana" w:hAnsi="Verdana"/>
          <w:sz w:val="16"/>
          <w:szCs w:val="16"/>
          <w:lang w:val="es-ES"/>
        </w:rPr>
        <w:t>, n° 45867/07, Sentencia del 21.12.2010, p</w:t>
      </w:r>
      <w:r>
        <w:rPr>
          <w:rFonts w:ascii="Verdana" w:hAnsi="Verdana"/>
          <w:sz w:val="16"/>
          <w:szCs w:val="16"/>
          <w:lang w:val="es-ES"/>
        </w:rPr>
        <w:t>árr</w:t>
      </w:r>
      <w:r w:rsidRPr="0074711B">
        <w:rPr>
          <w:rFonts w:ascii="Verdana" w:hAnsi="Verdana"/>
          <w:sz w:val="16"/>
          <w:szCs w:val="16"/>
          <w:lang w:val="es-ES"/>
        </w:rPr>
        <w:t xml:space="preserve">. 34. A la luz de la jurisprudencia consolidada de la </w:t>
      </w:r>
      <w:r w:rsidRPr="00FC3247">
        <w:rPr>
          <w:rFonts w:ascii="Verdana" w:hAnsi="Verdana" w:cs="TimesNewRomanPS-ItalicMT"/>
          <w:iCs/>
          <w:sz w:val="16"/>
          <w:szCs w:val="16"/>
          <w:lang w:val="es-CR"/>
        </w:rPr>
        <w:t xml:space="preserve">T.E.D.H., </w:t>
      </w:r>
      <w:r w:rsidRPr="0074711B">
        <w:rPr>
          <w:rFonts w:ascii="Verdana" w:hAnsi="Verdana"/>
          <w:sz w:val="16"/>
          <w:szCs w:val="16"/>
          <w:lang w:val="es-ES"/>
        </w:rPr>
        <w:t xml:space="preserve">el retraso en la ejecución de la decisión de justicia puede constituir una violación del derecho a ser juzgado dentro un plazo razonable protegido por el artículo 6 párr. 1 de la CEDH ya que dicha ejecución “debe ser considerada parte integrante del proceso a los fines del artículo 6 (traducción de esta Corte)”. </w:t>
      </w:r>
      <w:r w:rsidRPr="0074711B">
        <w:rPr>
          <w:rFonts w:ascii="Verdana" w:hAnsi="Verdana"/>
          <w:i/>
          <w:sz w:val="16"/>
          <w:szCs w:val="16"/>
          <w:lang w:val="es-ES"/>
        </w:rPr>
        <w:t xml:space="preserve">Cfr. </w:t>
      </w:r>
      <w:r w:rsidRPr="00FC3247">
        <w:rPr>
          <w:rFonts w:ascii="Verdana" w:hAnsi="Verdana" w:cs="TimesNewRomanPS-ItalicMT"/>
          <w:iCs/>
          <w:sz w:val="16"/>
          <w:szCs w:val="16"/>
          <w:lang w:val="es-CR"/>
        </w:rPr>
        <w:t xml:space="preserve">T.E.D.H., </w:t>
      </w:r>
      <w:r w:rsidRPr="0074711B">
        <w:rPr>
          <w:rFonts w:ascii="Verdana" w:hAnsi="Verdana"/>
          <w:i/>
          <w:sz w:val="16"/>
          <w:szCs w:val="16"/>
          <w:lang w:val="es-ES"/>
        </w:rPr>
        <w:t xml:space="preserve">Caso Hornsby versus </w:t>
      </w:r>
      <w:r w:rsidRPr="0074711B">
        <w:rPr>
          <w:rFonts w:ascii="Verdana" w:hAnsi="Verdana"/>
          <w:i/>
          <w:iCs/>
          <w:sz w:val="16"/>
          <w:szCs w:val="16"/>
          <w:lang w:val="es-ES"/>
        </w:rPr>
        <w:t>Greece</w:t>
      </w:r>
      <w:r w:rsidRPr="0074711B">
        <w:rPr>
          <w:rFonts w:ascii="Verdana" w:hAnsi="Verdana"/>
          <w:sz w:val="16"/>
          <w:szCs w:val="16"/>
          <w:lang w:val="es-ES"/>
        </w:rPr>
        <w:t xml:space="preserve">, n° </w:t>
      </w:r>
      <w:r w:rsidRPr="0074711B">
        <w:rPr>
          <w:rFonts w:ascii="Verdana" w:hAnsi="Verdana"/>
          <w:iCs/>
          <w:sz w:val="16"/>
          <w:szCs w:val="16"/>
          <w:lang w:val="es-ES"/>
        </w:rPr>
        <w:t>18357/91,</w:t>
      </w:r>
      <w:r w:rsidRPr="0074711B">
        <w:rPr>
          <w:rFonts w:ascii="Verdana" w:hAnsi="Verdana"/>
          <w:sz w:val="16"/>
          <w:szCs w:val="16"/>
          <w:lang w:val="es-ES"/>
        </w:rPr>
        <w:t xml:space="preserve"> Sentencia del 19.03.1997, p</w:t>
      </w:r>
      <w:r>
        <w:rPr>
          <w:rFonts w:ascii="Verdana" w:hAnsi="Verdana"/>
          <w:sz w:val="16"/>
          <w:szCs w:val="16"/>
          <w:lang w:val="es-ES"/>
        </w:rPr>
        <w:t>árr</w:t>
      </w:r>
      <w:r w:rsidRPr="0074711B">
        <w:rPr>
          <w:rFonts w:ascii="Verdana" w:hAnsi="Verdana"/>
          <w:sz w:val="16"/>
          <w:szCs w:val="16"/>
          <w:lang w:val="es-ES"/>
        </w:rPr>
        <w:t xml:space="preserve">. 40; </w:t>
      </w:r>
      <w:r>
        <w:rPr>
          <w:rFonts w:ascii="Verdana" w:hAnsi="Verdana"/>
          <w:sz w:val="16"/>
          <w:szCs w:val="16"/>
          <w:lang w:val="es-ES"/>
        </w:rPr>
        <w:t xml:space="preserve">y </w:t>
      </w:r>
      <w:r w:rsidRPr="00FC3247">
        <w:rPr>
          <w:rFonts w:ascii="Verdana" w:hAnsi="Verdana" w:cs="TimesNewRomanPS-ItalicMT"/>
          <w:iCs/>
          <w:sz w:val="16"/>
          <w:szCs w:val="16"/>
          <w:lang w:val="es-CR"/>
        </w:rPr>
        <w:t xml:space="preserve">T.E.D.H., </w:t>
      </w:r>
      <w:r w:rsidRPr="0074711B">
        <w:rPr>
          <w:rFonts w:ascii="Verdana" w:hAnsi="Verdana"/>
          <w:i/>
          <w:sz w:val="16"/>
          <w:szCs w:val="16"/>
          <w:lang w:val="es-ES"/>
        </w:rPr>
        <w:t xml:space="preserve">Casos Di Pede versus </w:t>
      </w:r>
      <w:r w:rsidRPr="0074711B">
        <w:rPr>
          <w:rFonts w:ascii="Verdana" w:hAnsi="Verdana"/>
          <w:i/>
          <w:iCs/>
          <w:sz w:val="16"/>
          <w:szCs w:val="16"/>
          <w:lang w:val="es-ES"/>
        </w:rPr>
        <w:t>Italia y Zappia versus Italia</w:t>
      </w:r>
      <w:r w:rsidRPr="0074711B">
        <w:rPr>
          <w:rFonts w:ascii="Verdana" w:hAnsi="Verdana"/>
          <w:sz w:val="16"/>
          <w:szCs w:val="16"/>
          <w:lang w:val="es-ES"/>
        </w:rPr>
        <w:t>, n°</w:t>
      </w:r>
      <w:r w:rsidRPr="0074711B">
        <w:rPr>
          <w:rFonts w:ascii="Verdana" w:hAnsi="Verdana"/>
          <w:sz w:val="16"/>
          <w:szCs w:val="16"/>
          <w:vertAlign w:val="superscript"/>
          <w:lang w:val="es-ES"/>
        </w:rPr>
        <w:t xml:space="preserve"> </w:t>
      </w:r>
      <w:r w:rsidRPr="0074711B">
        <w:rPr>
          <w:rFonts w:ascii="Verdana" w:hAnsi="Verdana"/>
          <w:sz w:val="16"/>
          <w:szCs w:val="16"/>
          <w:lang w:val="es-ES"/>
        </w:rPr>
        <w:t>15797/89</w:t>
      </w:r>
      <w:r w:rsidRPr="0074711B">
        <w:rPr>
          <w:rFonts w:ascii="Verdana" w:hAnsi="Verdana"/>
          <w:iCs/>
          <w:sz w:val="16"/>
          <w:szCs w:val="16"/>
          <w:lang w:val="es-ES"/>
        </w:rPr>
        <w:t xml:space="preserve"> y 24295/94, Sentencia </w:t>
      </w:r>
      <w:r w:rsidRPr="0074711B">
        <w:rPr>
          <w:rFonts w:ascii="Verdana" w:hAnsi="Verdana"/>
          <w:sz w:val="16"/>
          <w:szCs w:val="16"/>
          <w:lang w:val="es-ES"/>
        </w:rPr>
        <w:t>del 26.09.1996, p</w:t>
      </w:r>
      <w:r>
        <w:rPr>
          <w:rFonts w:ascii="Verdana" w:hAnsi="Verdana"/>
          <w:sz w:val="16"/>
          <w:szCs w:val="16"/>
          <w:lang w:val="es-ES"/>
        </w:rPr>
        <w:t>árr</w:t>
      </w:r>
      <w:r w:rsidRPr="0074711B">
        <w:rPr>
          <w:rFonts w:ascii="Verdana" w:hAnsi="Verdana"/>
          <w:sz w:val="16"/>
          <w:szCs w:val="16"/>
          <w:lang w:val="es-ES"/>
        </w:rPr>
        <w:t>. 16 y 20 respectivamente. “Un retraso en la ejecución de una decisión puede ser justificado en circunstancias particulares. Sin embargo, en ningún caso este retraso podrá  comprometer la esencia del derecho protegido por el artículo 6</w:t>
      </w:r>
      <w:r>
        <w:rPr>
          <w:rFonts w:ascii="Verdana" w:hAnsi="Verdana"/>
          <w:sz w:val="16"/>
          <w:szCs w:val="16"/>
          <w:lang w:val="es-ES"/>
        </w:rPr>
        <w:t xml:space="preserve">” </w:t>
      </w:r>
      <w:r w:rsidRPr="0074711B">
        <w:rPr>
          <w:rFonts w:ascii="Verdana" w:hAnsi="Verdana"/>
          <w:sz w:val="16"/>
          <w:szCs w:val="16"/>
          <w:lang w:val="es-ES"/>
        </w:rPr>
        <w:t xml:space="preserve"> </w:t>
      </w:r>
      <w:r w:rsidRPr="00351016">
        <w:rPr>
          <w:rFonts w:ascii="Verdana" w:hAnsi="Verdana"/>
          <w:sz w:val="16"/>
          <w:szCs w:val="16"/>
          <w:lang w:val="es-ES"/>
        </w:rPr>
        <w:t xml:space="preserve">(traducción libre de la Secretaría de la Corte). </w:t>
      </w:r>
      <w:r w:rsidRPr="00351016">
        <w:rPr>
          <w:rFonts w:ascii="Verdana" w:hAnsi="Verdana"/>
          <w:i/>
          <w:sz w:val="16"/>
          <w:szCs w:val="16"/>
          <w:lang w:val="es-ES"/>
        </w:rPr>
        <w:t xml:space="preserve">Cfr. </w:t>
      </w:r>
      <w:r w:rsidRPr="00FC3247">
        <w:rPr>
          <w:rFonts w:ascii="Verdana" w:hAnsi="Verdana" w:cs="TimesNewRomanPS-ItalicMT"/>
          <w:iCs/>
          <w:sz w:val="16"/>
          <w:szCs w:val="16"/>
          <w:lang w:val="es-CR"/>
        </w:rPr>
        <w:t xml:space="preserve">T.E.D.H., </w:t>
      </w:r>
      <w:r w:rsidRPr="00351016">
        <w:rPr>
          <w:rFonts w:ascii="Verdana" w:hAnsi="Verdana"/>
          <w:i/>
          <w:sz w:val="16"/>
          <w:szCs w:val="16"/>
          <w:lang w:val="es-ES"/>
        </w:rPr>
        <w:t xml:space="preserve">Caso </w:t>
      </w:r>
      <w:r w:rsidRPr="00351016">
        <w:rPr>
          <w:rFonts w:ascii="Verdana" w:hAnsi="Verdana"/>
          <w:bCs/>
          <w:i/>
          <w:sz w:val="16"/>
          <w:szCs w:val="16"/>
          <w:lang w:val="es-ES"/>
        </w:rPr>
        <w:t xml:space="preserve">Jasiūnienė </w:t>
      </w:r>
      <w:r w:rsidRPr="00351016">
        <w:rPr>
          <w:rFonts w:ascii="Verdana" w:hAnsi="Verdana"/>
          <w:i/>
          <w:iCs/>
          <w:sz w:val="16"/>
          <w:szCs w:val="16"/>
          <w:lang w:val="es-ES"/>
        </w:rPr>
        <w:t>versus Lithuania</w:t>
      </w:r>
      <w:r w:rsidRPr="00351016">
        <w:rPr>
          <w:rFonts w:ascii="Verdana" w:hAnsi="Verdana"/>
          <w:sz w:val="16"/>
          <w:szCs w:val="16"/>
          <w:lang w:val="es-ES"/>
        </w:rPr>
        <w:t xml:space="preserve">, n° </w:t>
      </w:r>
      <w:r w:rsidRPr="00351016">
        <w:rPr>
          <w:rFonts w:ascii="Verdana" w:hAnsi="Verdana" w:cs="Arial"/>
          <w:color w:val="252525"/>
          <w:sz w:val="16"/>
          <w:szCs w:val="16"/>
          <w:lang w:val="es-ES"/>
        </w:rPr>
        <w:t>41510/98</w:t>
      </w:r>
      <w:r w:rsidRPr="00351016">
        <w:rPr>
          <w:rFonts w:ascii="Verdana" w:hAnsi="Verdana"/>
          <w:iCs/>
          <w:sz w:val="16"/>
          <w:szCs w:val="16"/>
          <w:lang w:val="es-ES"/>
        </w:rPr>
        <w:t>,</w:t>
      </w:r>
      <w:r w:rsidRPr="0074711B">
        <w:rPr>
          <w:rFonts w:ascii="Verdana" w:hAnsi="Verdana"/>
          <w:sz w:val="16"/>
          <w:szCs w:val="16"/>
          <w:lang w:val="es-ES"/>
        </w:rPr>
        <w:t xml:space="preserve"> Sentencia del 6.03.2003, p</w:t>
      </w:r>
      <w:r>
        <w:rPr>
          <w:rFonts w:ascii="Verdana" w:hAnsi="Verdana"/>
          <w:sz w:val="16"/>
          <w:szCs w:val="16"/>
          <w:lang w:val="es-ES"/>
        </w:rPr>
        <w:t>árr</w:t>
      </w:r>
      <w:r w:rsidRPr="0074711B">
        <w:rPr>
          <w:rFonts w:ascii="Verdana" w:hAnsi="Verdana"/>
          <w:sz w:val="16"/>
          <w:szCs w:val="16"/>
          <w:lang w:val="es-ES"/>
        </w:rPr>
        <w:t xml:space="preserve">. </w:t>
      </w:r>
      <w:r w:rsidRPr="00D84976">
        <w:rPr>
          <w:rFonts w:ascii="Verdana" w:hAnsi="Verdana"/>
          <w:sz w:val="16"/>
          <w:szCs w:val="16"/>
        </w:rPr>
        <w:t xml:space="preserve">27. </w:t>
      </w:r>
    </w:p>
    <w:p w:rsidR="00D93A8F" w:rsidRDefault="00D93A8F" w:rsidP="00B77FEF">
      <w:pPr>
        <w:pStyle w:val="Textonotapie"/>
        <w:jc w:val="both"/>
      </w:pPr>
    </w:p>
  </w:footnote>
  <w:footnote w:id="89">
    <w:p w:rsidR="00D93A8F" w:rsidRDefault="00D93A8F" w:rsidP="00B77FEF">
      <w:pPr>
        <w:pStyle w:val="Textonotapie"/>
        <w:jc w:val="both"/>
        <w:rPr>
          <w:rFonts w:ascii="Verdana" w:hAnsi="Verdana"/>
          <w:bCs/>
          <w:sz w:val="16"/>
          <w:szCs w:val="16"/>
        </w:rPr>
      </w:pPr>
      <w:r w:rsidRPr="0074711B">
        <w:rPr>
          <w:rStyle w:val="Refdenotaalpie"/>
          <w:rFonts w:ascii="Verdana" w:hAnsi="Verdana" w:cs="Times"/>
          <w:sz w:val="16"/>
          <w:szCs w:val="16"/>
          <w:lang w:val="es-ES"/>
        </w:rPr>
        <w:footnoteRef/>
      </w:r>
      <w:r w:rsidRPr="0074711B">
        <w:rPr>
          <w:rFonts w:ascii="Verdana" w:hAnsi="Verdana"/>
          <w:sz w:val="16"/>
          <w:szCs w:val="16"/>
        </w:rPr>
        <w:t xml:space="preserve"> </w:t>
      </w:r>
      <w:r w:rsidRPr="0074711B">
        <w:rPr>
          <w:rFonts w:ascii="Verdana" w:hAnsi="Verdana"/>
          <w:sz w:val="16"/>
          <w:szCs w:val="16"/>
        </w:rPr>
        <w:tab/>
      </w:r>
      <w:r w:rsidRPr="0074711B">
        <w:rPr>
          <w:rFonts w:ascii="Verdana" w:hAnsi="Verdana"/>
          <w:i/>
          <w:sz w:val="16"/>
          <w:szCs w:val="16"/>
        </w:rPr>
        <w:t>Cfr.</w:t>
      </w:r>
      <w:r w:rsidRPr="0074711B">
        <w:rPr>
          <w:rFonts w:ascii="Verdana" w:hAnsi="Verdana"/>
          <w:sz w:val="16"/>
          <w:szCs w:val="16"/>
        </w:rPr>
        <w:t xml:space="preserve"> </w:t>
      </w:r>
      <w:r w:rsidRPr="0074711B">
        <w:rPr>
          <w:rFonts w:ascii="Verdana" w:hAnsi="Verdana"/>
          <w:bCs/>
          <w:sz w:val="16"/>
          <w:szCs w:val="16"/>
        </w:rPr>
        <w:t xml:space="preserve">Opinion no. 13 (2010) </w:t>
      </w:r>
      <w:r w:rsidRPr="0074711B">
        <w:rPr>
          <w:rFonts w:ascii="Verdana" w:hAnsi="Verdana"/>
          <w:bCs/>
          <w:i/>
          <w:sz w:val="16"/>
          <w:szCs w:val="16"/>
        </w:rPr>
        <w:t>on the role of judges in the enforcement of judicial decisions</w:t>
      </w:r>
      <w:r w:rsidRPr="0074711B">
        <w:rPr>
          <w:rFonts w:ascii="Verdana" w:hAnsi="Verdana"/>
          <w:bCs/>
          <w:sz w:val="16"/>
          <w:szCs w:val="16"/>
        </w:rPr>
        <w:t>, cit., conclusiones, H)</w:t>
      </w:r>
      <w:r>
        <w:rPr>
          <w:rFonts w:ascii="Verdana" w:hAnsi="Verdana"/>
          <w:bCs/>
          <w:sz w:val="16"/>
          <w:szCs w:val="16"/>
        </w:rPr>
        <w:t xml:space="preserve">, </w:t>
      </w:r>
      <w:r w:rsidRPr="00480556">
        <w:rPr>
          <w:rFonts w:ascii="Verdana" w:hAnsi="Verdana"/>
          <w:bCs/>
          <w:i/>
          <w:sz w:val="16"/>
          <w:szCs w:val="16"/>
        </w:rPr>
        <w:t>supra</w:t>
      </w:r>
      <w:r>
        <w:rPr>
          <w:rFonts w:ascii="Verdana" w:hAnsi="Verdana"/>
          <w:bCs/>
          <w:sz w:val="16"/>
          <w:szCs w:val="16"/>
        </w:rPr>
        <w:t xml:space="preserve"> nota 84. </w:t>
      </w:r>
    </w:p>
    <w:p w:rsidR="00D93A8F" w:rsidRDefault="00D93A8F" w:rsidP="00B77FEF">
      <w:pPr>
        <w:pStyle w:val="Textonotapie"/>
        <w:jc w:val="both"/>
      </w:pPr>
    </w:p>
  </w:footnote>
  <w:footnote w:id="90">
    <w:p w:rsidR="00D93A8F" w:rsidRPr="0074711B" w:rsidRDefault="00D93A8F" w:rsidP="00B77FEF">
      <w:pPr>
        <w:pStyle w:val="Textonotapie"/>
        <w:jc w:val="both"/>
        <w:rPr>
          <w:rFonts w:ascii="Verdana" w:hAnsi="Verdana"/>
          <w:sz w:val="16"/>
          <w:szCs w:val="16"/>
          <w:lang w:val="es-ES"/>
        </w:rPr>
      </w:pPr>
      <w:r w:rsidRPr="0074711B">
        <w:rPr>
          <w:rStyle w:val="Refdenotaalpie"/>
          <w:rFonts w:ascii="Verdana" w:hAnsi="Verdana" w:cs="Times"/>
          <w:sz w:val="16"/>
          <w:szCs w:val="16"/>
          <w:lang w:val="es-ES"/>
        </w:rPr>
        <w:footnoteRef/>
      </w:r>
      <w:r w:rsidRPr="0074711B">
        <w:rPr>
          <w:rFonts w:ascii="Verdana" w:hAnsi="Verdana"/>
          <w:i/>
          <w:sz w:val="16"/>
          <w:szCs w:val="16"/>
        </w:rPr>
        <w:t xml:space="preserve"> </w:t>
      </w:r>
      <w:r w:rsidRPr="0074711B">
        <w:rPr>
          <w:rFonts w:ascii="Verdana" w:hAnsi="Verdana"/>
          <w:i/>
          <w:sz w:val="16"/>
          <w:szCs w:val="16"/>
        </w:rPr>
        <w:tab/>
        <w:t>Cfr.</w:t>
      </w:r>
      <w:r w:rsidRPr="0074711B">
        <w:rPr>
          <w:rFonts w:ascii="Verdana" w:hAnsi="Verdana"/>
          <w:sz w:val="16"/>
          <w:szCs w:val="16"/>
        </w:rPr>
        <w:t xml:space="preserve"> </w:t>
      </w:r>
      <w:r w:rsidRPr="0074711B">
        <w:rPr>
          <w:rFonts w:ascii="Verdana" w:hAnsi="Verdana"/>
          <w:bCs/>
          <w:sz w:val="16"/>
          <w:szCs w:val="16"/>
        </w:rPr>
        <w:t xml:space="preserve">Opinion no. 13 (2010) </w:t>
      </w:r>
      <w:r w:rsidRPr="0074711B">
        <w:rPr>
          <w:rFonts w:ascii="Verdana" w:hAnsi="Verdana"/>
          <w:bCs/>
          <w:i/>
          <w:sz w:val="16"/>
          <w:szCs w:val="16"/>
        </w:rPr>
        <w:t>on the role of judges in the enforcement of judicial decisions</w:t>
      </w:r>
      <w:r w:rsidRPr="0074711B">
        <w:rPr>
          <w:rFonts w:ascii="Verdana" w:hAnsi="Verdana"/>
          <w:bCs/>
          <w:sz w:val="16"/>
          <w:szCs w:val="16"/>
        </w:rPr>
        <w:t>, cit., conclusiones, F)</w:t>
      </w:r>
      <w:r>
        <w:rPr>
          <w:rFonts w:ascii="Verdana" w:hAnsi="Verdana"/>
          <w:bCs/>
          <w:sz w:val="16"/>
          <w:szCs w:val="16"/>
        </w:rPr>
        <w:t xml:space="preserve">, </w:t>
      </w:r>
      <w:r w:rsidRPr="00480556">
        <w:rPr>
          <w:rFonts w:ascii="Verdana" w:hAnsi="Verdana"/>
          <w:bCs/>
          <w:i/>
          <w:sz w:val="16"/>
          <w:szCs w:val="16"/>
        </w:rPr>
        <w:t>supra</w:t>
      </w:r>
      <w:r>
        <w:rPr>
          <w:rFonts w:ascii="Verdana" w:hAnsi="Verdana"/>
          <w:bCs/>
          <w:sz w:val="16"/>
          <w:szCs w:val="16"/>
        </w:rPr>
        <w:t xml:space="preserve"> nota 84. </w:t>
      </w:r>
      <w:r>
        <w:rPr>
          <w:rFonts w:ascii="Verdana" w:hAnsi="Verdana"/>
          <w:i/>
          <w:sz w:val="16"/>
          <w:szCs w:val="16"/>
          <w:lang w:val="es-CR"/>
        </w:rPr>
        <w:t>Ver</w:t>
      </w:r>
      <w:r w:rsidRPr="00674A51">
        <w:rPr>
          <w:rFonts w:ascii="Verdana" w:hAnsi="Verdana"/>
          <w:sz w:val="16"/>
          <w:szCs w:val="16"/>
          <w:lang w:val="es-CR"/>
        </w:rPr>
        <w:t xml:space="preserve"> también </w:t>
      </w:r>
      <w:r w:rsidRPr="00674A51">
        <w:rPr>
          <w:rFonts w:ascii="Verdana" w:hAnsi="Verdana"/>
          <w:i/>
          <w:iCs/>
          <w:sz w:val="16"/>
          <w:szCs w:val="16"/>
          <w:lang w:val="es-CR"/>
        </w:rPr>
        <w:t>Matheus versus Francia</w:t>
      </w:r>
      <w:r w:rsidRPr="00674A51">
        <w:rPr>
          <w:rFonts w:ascii="Verdana" w:hAnsi="Verdana"/>
          <w:sz w:val="16"/>
          <w:szCs w:val="16"/>
          <w:lang w:val="es-CR"/>
        </w:rPr>
        <w:t>,</w:t>
      </w:r>
      <w:r w:rsidRPr="00674A51">
        <w:rPr>
          <w:rFonts w:ascii="Verdana" w:hAnsi="Verdana"/>
          <w:i/>
          <w:sz w:val="16"/>
          <w:szCs w:val="16"/>
          <w:lang w:val="es-CR"/>
        </w:rPr>
        <w:t xml:space="preserve"> supra</w:t>
      </w:r>
      <w:r w:rsidRPr="00674A51">
        <w:rPr>
          <w:rFonts w:ascii="Verdana" w:hAnsi="Verdana"/>
          <w:sz w:val="16"/>
          <w:szCs w:val="16"/>
          <w:lang w:val="es-CR"/>
        </w:rPr>
        <w:t xml:space="preserve"> nota </w:t>
      </w:r>
      <w:r>
        <w:rPr>
          <w:rFonts w:ascii="Verdana" w:hAnsi="Verdana"/>
          <w:sz w:val="16"/>
          <w:szCs w:val="16"/>
          <w:lang w:val="es-CR"/>
        </w:rPr>
        <w:t>84</w:t>
      </w:r>
      <w:r w:rsidRPr="00674A51">
        <w:rPr>
          <w:rFonts w:ascii="Verdana" w:hAnsi="Verdana"/>
          <w:iCs/>
          <w:sz w:val="16"/>
          <w:szCs w:val="16"/>
          <w:lang w:val="es-CR"/>
        </w:rPr>
        <w:t>, p</w:t>
      </w:r>
      <w:r>
        <w:rPr>
          <w:rFonts w:ascii="Verdana" w:hAnsi="Verdana"/>
          <w:iCs/>
          <w:sz w:val="16"/>
          <w:szCs w:val="16"/>
          <w:lang w:val="es-CR"/>
        </w:rPr>
        <w:t>árrs</w:t>
      </w:r>
      <w:r w:rsidRPr="00674A51">
        <w:rPr>
          <w:rFonts w:ascii="Verdana" w:hAnsi="Verdana"/>
          <w:iCs/>
          <w:sz w:val="16"/>
          <w:szCs w:val="16"/>
          <w:lang w:val="es-CR"/>
        </w:rPr>
        <w:t xml:space="preserve">. </w:t>
      </w:r>
      <w:r w:rsidRPr="0074711B">
        <w:rPr>
          <w:rFonts w:ascii="Verdana" w:hAnsi="Verdana"/>
          <w:iCs/>
          <w:sz w:val="16"/>
          <w:szCs w:val="16"/>
          <w:lang w:val="es-ES"/>
        </w:rPr>
        <w:t xml:space="preserve">58 y ss; </w:t>
      </w:r>
      <w:r>
        <w:rPr>
          <w:rFonts w:ascii="Verdana" w:hAnsi="Verdana"/>
          <w:iCs/>
          <w:sz w:val="16"/>
          <w:szCs w:val="16"/>
          <w:lang w:val="es-ES"/>
        </w:rPr>
        <w:t xml:space="preserve">y </w:t>
      </w:r>
      <w:r w:rsidRPr="0074711B">
        <w:rPr>
          <w:rStyle w:val="nfasis"/>
          <w:rFonts w:ascii="Verdana" w:hAnsi="Verdana" w:cs="Times"/>
          <w:sz w:val="16"/>
          <w:szCs w:val="16"/>
          <w:lang w:val="es-ES"/>
        </w:rPr>
        <w:t>Cabourdin versus</w:t>
      </w:r>
      <w:r w:rsidRPr="0074711B">
        <w:rPr>
          <w:rFonts w:ascii="Verdana" w:hAnsi="Verdana"/>
          <w:sz w:val="16"/>
          <w:szCs w:val="16"/>
          <w:lang w:val="es-ES"/>
        </w:rPr>
        <w:t xml:space="preserve"> </w:t>
      </w:r>
      <w:r w:rsidRPr="0074711B">
        <w:rPr>
          <w:rStyle w:val="nfasis"/>
          <w:rFonts w:ascii="Verdana" w:hAnsi="Verdana" w:cs="Times"/>
          <w:sz w:val="16"/>
          <w:szCs w:val="16"/>
          <w:lang w:val="es-ES"/>
        </w:rPr>
        <w:t>France</w:t>
      </w:r>
      <w:r w:rsidRPr="0074711B">
        <w:rPr>
          <w:rFonts w:ascii="Verdana" w:hAnsi="Verdana"/>
          <w:sz w:val="16"/>
          <w:szCs w:val="16"/>
          <w:lang w:val="es-ES"/>
        </w:rPr>
        <w:t>, nº 60796/00, sentencia del 11 abril 2006, p</w:t>
      </w:r>
      <w:r>
        <w:rPr>
          <w:rFonts w:ascii="Verdana" w:hAnsi="Verdana"/>
          <w:iCs/>
          <w:sz w:val="16"/>
          <w:szCs w:val="16"/>
          <w:lang w:val="es-ES"/>
        </w:rPr>
        <w:t>árrs</w:t>
      </w:r>
      <w:r w:rsidRPr="0074711B">
        <w:rPr>
          <w:rFonts w:ascii="Verdana" w:hAnsi="Verdana"/>
          <w:iCs/>
          <w:sz w:val="16"/>
          <w:szCs w:val="16"/>
          <w:lang w:val="es-ES"/>
        </w:rPr>
        <w:t>. 28-</w:t>
      </w:r>
      <w:r w:rsidRPr="0074711B">
        <w:rPr>
          <w:rFonts w:ascii="Verdana" w:hAnsi="Verdana"/>
          <w:sz w:val="16"/>
          <w:szCs w:val="16"/>
          <w:lang w:val="es-ES"/>
        </w:rPr>
        <w:t>30.</w:t>
      </w:r>
    </w:p>
    <w:p w:rsidR="00D93A8F" w:rsidRPr="002513AB" w:rsidRDefault="00D93A8F" w:rsidP="00B77FEF">
      <w:pPr>
        <w:pStyle w:val="Textonotapie"/>
        <w:jc w:val="both"/>
        <w:rPr>
          <w:lang w:val="es-ES"/>
        </w:rPr>
      </w:pPr>
    </w:p>
  </w:footnote>
  <w:footnote w:id="91">
    <w:p w:rsidR="00D93A8F" w:rsidRPr="0074711B" w:rsidRDefault="00D93A8F" w:rsidP="00B77FEF">
      <w:pPr>
        <w:pStyle w:val="Textonotapie"/>
        <w:jc w:val="both"/>
        <w:rPr>
          <w:rFonts w:ascii="Verdana" w:hAnsi="Verdana"/>
          <w:iCs/>
          <w:sz w:val="16"/>
          <w:szCs w:val="16"/>
          <w:lang w:val="es-ES"/>
        </w:rPr>
      </w:pPr>
      <w:r w:rsidRPr="0074711B">
        <w:rPr>
          <w:rStyle w:val="Refdenotaalpie"/>
          <w:rFonts w:ascii="Verdana" w:hAnsi="Verdana" w:cs="Times"/>
          <w:sz w:val="16"/>
          <w:szCs w:val="16"/>
          <w:lang w:val="es-ES"/>
        </w:rPr>
        <w:footnoteRef/>
      </w:r>
      <w:r w:rsidRPr="0074711B">
        <w:rPr>
          <w:rFonts w:ascii="Verdana" w:hAnsi="Verdana"/>
          <w:iCs/>
          <w:sz w:val="16"/>
          <w:szCs w:val="16"/>
          <w:lang w:val="es-ES"/>
        </w:rPr>
        <w:t xml:space="preserve"> </w:t>
      </w:r>
      <w:r w:rsidRPr="0074711B">
        <w:rPr>
          <w:rFonts w:ascii="Verdana" w:hAnsi="Verdana"/>
          <w:iCs/>
          <w:sz w:val="16"/>
          <w:szCs w:val="16"/>
          <w:lang w:val="es-ES"/>
        </w:rPr>
        <w:tab/>
        <w:t>Es decir que su acatamiento sea forzoso y que en caso de que no sean obedecidas voluntariamente, puedan ser exigibles de manera coactiva.</w:t>
      </w:r>
    </w:p>
    <w:p w:rsidR="00D93A8F" w:rsidRPr="002513AB" w:rsidRDefault="00D93A8F" w:rsidP="00B77FEF">
      <w:pPr>
        <w:pStyle w:val="Textonotapie"/>
        <w:jc w:val="both"/>
        <w:rPr>
          <w:lang w:val="es-ES"/>
        </w:rPr>
      </w:pPr>
    </w:p>
  </w:footnote>
  <w:footnote w:id="92">
    <w:p w:rsidR="00D93A8F" w:rsidRDefault="00D93A8F" w:rsidP="00B77FEF">
      <w:pPr>
        <w:pStyle w:val="Textonotapie"/>
        <w:jc w:val="both"/>
        <w:rPr>
          <w:rFonts w:ascii="Verdana" w:hAnsi="Verdana"/>
          <w:i/>
          <w:sz w:val="16"/>
          <w:szCs w:val="16"/>
          <w:lang w:val="es-ES"/>
        </w:rPr>
      </w:pPr>
      <w:r w:rsidRPr="0074711B">
        <w:rPr>
          <w:rStyle w:val="Refdenotaalpie"/>
          <w:rFonts w:ascii="Verdana" w:hAnsi="Verdana" w:cs="Times"/>
          <w:sz w:val="16"/>
          <w:szCs w:val="16"/>
          <w:lang w:val="es-ES"/>
        </w:rPr>
        <w:footnoteRef/>
      </w:r>
      <w:r w:rsidRPr="0074711B">
        <w:rPr>
          <w:rFonts w:ascii="Verdana" w:hAnsi="Verdana"/>
          <w:sz w:val="16"/>
          <w:szCs w:val="16"/>
          <w:lang w:val="es-ES"/>
        </w:rPr>
        <w:t xml:space="preserve"> </w:t>
      </w:r>
      <w:r w:rsidRPr="0074711B">
        <w:rPr>
          <w:rFonts w:ascii="Verdana" w:hAnsi="Verdana"/>
          <w:sz w:val="16"/>
          <w:szCs w:val="16"/>
          <w:lang w:val="es-ES"/>
        </w:rPr>
        <w:tab/>
        <w:t xml:space="preserve">La Corte Europea ha establecido en el </w:t>
      </w:r>
      <w:r w:rsidRPr="0080155B">
        <w:rPr>
          <w:rFonts w:ascii="Verdana" w:hAnsi="Verdana"/>
          <w:i/>
          <w:sz w:val="16"/>
          <w:szCs w:val="16"/>
          <w:lang w:val="es-ES"/>
        </w:rPr>
        <w:t>Caso</w:t>
      </w:r>
      <w:r w:rsidRPr="0074711B">
        <w:rPr>
          <w:rFonts w:ascii="Verdana" w:hAnsi="Verdana"/>
          <w:sz w:val="16"/>
          <w:szCs w:val="16"/>
          <w:lang w:val="es-ES"/>
        </w:rPr>
        <w:t xml:space="preserve"> </w:t>
      </w:r>
      <w:r w:rsidRPr="0074711B">
        <w:rPr>
          <w:rFonts w:ascii="Verdana" w:hAnsi="Verdana"/>
          <w:i/>
          <w:sz w:val="16"/>
          <w:szCs w:val="16"/>
          <w:lang w:val="es-ES"/>
        </w:rPr>
        <w:t>Inmobiliare Saffi versus Italia</w:t>
      </w:r>
      <w:r w:rsidRPr="0074711B">
        <w:rPr>
          <w:rFonts w:ascii="Verdana" w:hAnsi="Verdana"/>
          <w:sz w:val="16"/>
          <w:szCs w:val="16"/>
          <w:lang w:val="es-ES"/>
        </w:rPr>
        <w:t xml:space="preserve">: “Si se puede admitir en principio que los Estados intervengan en un procedimiento de ejecución de una decisión de justicia, tal intervención no puede tener como consecuencia práctica que se impida, invalide o retrase de manera excesiva la ejecución en cuestión y menos aún que se cuestione el fondo de la decisión” </w:t>
      </w:r>
      <w:r>
        <w:rPr>
          <w:rFonts w:ascii="Verdana" w:hAnsi="Verdana"/>
          <w:sz w:val="16"/>
          <w:szCs w:val="16"/>
          <w:lang w:val="es-ES"/>
        </w:rPr>
        <w:t>(traducción</w:t>
      </w:r>
      <w:r w:rsidRPr="00351016">
        <w:rPr>
          <w:rFonts w:ascii="Verdana" w:hAnsi="Verdana"/>
          <w:sz w:val="16"/>
          <w:szCs w:val="16"/>
          <w:lang w:val="es-ES"/>
        </w:rPr>
        <w:t xml:space="preserve"> libre de la Secretaría de la Corte).</w:t>
      </w:r>
      <w:r w:rsidRPr="0074711B">
        <w:rPr>
          <w:rFonts w:ascii="Verdana" w:hAnsi="Verdana"/>
          <w:sz w:val="16"/>
          <w:szCs w:val="16"/>
          <w:lang w:val="es-ES"/>
        </w:rPr>
        <w:t xml:space="preserve"> </w:t>
      </w:r>
      <w:r w:rsidRPr="0074711B">
        <w:rPr>
          <w:rFonts w:ascii="Verdana" w:hAnsi="Verdana"/>
          <w:i/>
          <w:sz w:val="16"/>
          <w:szCs w:val="16"/>
          <w:lang w:val="es-ES"/>
        </w:rPr>
        <w:t xml:space="preserve">Cfr. </w:t>
      </w:r>
      <w:r w:rsidRPr="00FC3247">
        <w:rPr>
          <w:rFonts w:ascii="Verdana" w:hAnsi="Verdana" w:cs="TimesNewRomanPS-ItalicMT"/>
          <w:iCs/>
          <w:sz w:val="16"/>
          <w:szCs w:val="16"/>
          <w:lang w:val="es-CR"/>
        </w:rPr>
        <w:t xml:space="preserve">T.E.D.H., </w:t>
      </w:r>
      <w:r w:rsidRPr="0074711B">
        <w:rPr>
          <w:rFonts w:ascii="Verdana" w:hAnsi="Verdana"/>
          <w:i/>
          <w:sz w:val="16"/>
          <w:szCs w:val="16"/>
          <w:lang w:val="es-ES"/>
        </w:rPr>
        <w:t xml:space="preserve">Caso Inmobiliare Saffi versus Italia, </w:t>
      </w:r>
      <w:r w:rsidRPr="0074711B">
        <w:rPr>
          <w:rFonts w:ascii="Verdana" w:hAnsi="Verdana"/>
          <w:iCs/>
          <w:sz w:val="16"/>
          <w:szCs w:val="16"/>
          <w:lang w:val="es-ES"/>
        </w:rPr>
        <w:t xml:space="preserve">n° 22774/93, </w:t>
      </w:r>
      <w:r w:rsidRPr="0074711B">
        <w:rPr>
          <w:rFonts w:ascii="Verdana" w:hAnsi="Verdana"/>
          <w:sz w:val="16"/>
          <w:szCs w:val="16"/>
          <w:lang w:val="es-ES"/>
        </w:rPr>
        <w:t>Sentencia del 28.07.1999</w:t>
      </w:r>
      <w:r w:rsidRPr="0074711B">
        <w:rPr>
          <w:rFonts w:ascii="Verdana" w:hAnsi="Verdana"/>
          <w:i/>
          <w:sz w:val="16"/>
          <w:szCs w:val="16"/>
          <w:lang w:val="es-ES"/>
        </w:rPr>
        <w:t xml:space="preserve">, </w:t>
      </w:r>
      <w:r w:rsidRPr="0074711B">
        <w:rPr>
          <w:rFonts w:ascii="Verdana" w:hAnsi="Verdana"/>
          <w:sz w:val="16"/>
          <w:szCs w:val="16"/>
          <w:lang w:val="es-ES"/>
        </w:rPr>
        <w:t>p</w:t>
      </w:r>
      <w:r>
        <w:rPr>
          <w:rFonts w:ascii="Verdana" w:hAnsi="Verdana"/>
          <w:sz w:val="16"/>
          <w:szCs w:val="16"/>
          <w:lang w:val="es-ES"/>
        </w:rPr>
        <w:t>árr</w:t>
      </w:r>
      <w:r w:rsidRPr="0074711B">
        <w:rPr>
          <w:rFonts w:ascii="Verdana" w:hAnsi="Verdana"/>
          <w:sz w:val="16"/>
          <w:szCs w:val="16"/>
          <w:lang w:val="es-ES"/>
        </w:rPr>
        <w:t>. 74.</w:t>
      </w:r>
      <w:r w:rsidRPr="0074711B">
        <w:rPr>
          <w:rFonts w:ascii="Verdana" w:hAnsi="Verdana"/>
          <w:i/>
          <w:sz w:val="16"/>
          <w:szCs w:val="16"/>
          <w:lang w:val="es-ES"/>
        </w:rPr>
        <w:t xml:space="preserve"> </w:t>
      </w:r>
    </w:p>
    <w:p w:rsidR="00D93A8F" w:rsidRPr="002513AB" w:rsidRDefault="00D93A8F" w:rsidP="00B77FEF">
      <w:pPr>
        <w:pStyle w:val="Textonotapie"/>
        <w:jc w:val="both"/>
        <w:rPr>
          <w:lang w:val="es-ES"/>
        </w:rPr>
      </w:pPr>
    </w:p>
  </w:footnote>
  <w:footnote w:id="93">
    <w:p w:rsidR="00D93A8F" w:rsidRPr="0074711B" w:rsidRDefault="00D93A8F" w:rsidP="004D1909">
      <w:pPr>
        <w:pStyle w:val="Textonotapie"/>
        <w:jc w:val="both"/>
        <w:rPr>
          <w:rFonts w:ascii="Verdana" w:hAnsi="Verdana"/>
          <w:sz w:val="16"/>
          <w:szCs w:val="16"/>
          <w:lang w:val="es-CR"/>
        </w:rPr>
      </w:pPr>
      <w:r w:rsidRPr="0074711B">
        <w:rPr>
          <w:rStyle w:val="Refdenotaalpie"/>
          <w:rFonts w:ascii="Verdana" w:hAnsi="Verdana"/>
          <w:sz w:val="16"/>
          <w:szCs w:val="16"/>
        </w:rPr>
        <w:footnoteRef/>
      </w:r>
      <w:r w:rsidRPr="0074711B">
        <w:rPr>
          <w:rFonts w:ascii="Verdana" w:hAnsi="Verdana"/>
          <w:sz w:val="16"/>
          <w:szCs w:val="16"/>
          <w:lang w:val="es-CR"/>
        </w:rPr>
        <w:t xml:space="preserve"> </w:t>
      </w:r>
      <w:r w:rsidRPr="0074711B">
        <w:rPr>
          <w:rFonts w:ascii="Verdana" w:hAnsi="Verdana"/>
          <w:sz w:val="16"/>
          <w:szCs w:val="16"/>
          <w:lang w:val="es-CR"/>
        </w:rPr>
        <w:tab/>
      </w:r>
      <w:r w:rsidRPr="0074711B">
        <w:rPr>
          <w:rFonts w:ascii="Verdana" w:hAnsi="Verdana"/>
          <w:i/>
          <w:sz w:val="16"/>
          <w:szCs w:val="16"/>
          <w:lang w:val="es-CR"/>
        </w:rPr>
        <w:t>Cfr.</w:t>
      </w:r>
      <w:r w:rsidRPr="0074711B">
        <w:rPr>
          <w:rFonts w:ascii="Verdana" w:hAnsi="Verdana"/>
          <w:sz w:val="16"/>
          <w:szCs w:val="16"/>
          <w:lang w:val="es-CR"/>
        </w:rPr>
        <w:t xml:space="preserve"> oficios Nros. 576-TC-P, 573-TC-P, 574-TC-P y 575-TC-P del Secretario General del Tribunal Constitucional de 12 de julio de 2002 dirigidos, respectivamente, al Procurador General de la República, al Presidente Constitucional d</w:t>
      </w:r>
      <w:r w:rsidRPr="00317CE9">
        <w:rPr>
          <w:rFonts w:ascii="Verdana" w:hAnsi="Verdana"/>
          <w:sz w:val="16"/>
          <w:szCs w:val="16"/>
          <w:lang w:val="es-CR"/>
        </w:rPr>
        <w:t>e la República, al Ministro de Defensa Nacional y al Jefe del Comando Conjunto de las Fuerzas Armadas (anexos</w:t>
      </w:r>
      <w:r w:rsidRPr="0074711B">
        <w:rPr>
          <w:rFonts w:ascii="Verdana" w:hAnsi="Verdana"/>
          <w:sz w:val="16"/>
          <w:szCs w:val="16"/>
          <w:lang w:val="es-CR"/>
        </w:rPr>
        <w:t xml:space="preserve"> </w:t>
      </w:r>
      <w:r>
        <w:rPr>
          <w:rFonts w:ascii="Verdana" w:hAnsi="Verdana"/>
          <w:sz w:val="16"/>
          <w:szCs w:val="16"/>
          <w:lang w:val="es-CR"/>
        </w:rPr>
        <w:t xml:space="preserve">a </w:t>
      </w:r>
      <w:r w:rsidRPr="0074711B">
        <w:rPr>
          <w:rFonts w:ascii="Verdana" w:hAnsi="Verdana"/>
          <w:sz w:val="16"/>
          <w:szCs w:val="16"/>
          <w:lang w:val="es-CR"/>
        </w:rPr>
        <w:t>la demanda, apéndice 2, tomo III, fs. 1072, 1073, 1109, y 1110). Al respecto</w:t>
      </w:r>
      <w:r>
        <w:rPr>
          <w:rFonts w:ascii="Verdana" w:hAnsi="Verdana"/>
          <w:sz w:val="16"/>
          <w:szCs w:val="16"/>
          <w:lang w:val="es-CR"/>
        </w:rPr>
        <w:t>,</w:t>
      </w:r>
      <w:r w:rsidRPr="0074711B">
        <w:rPr>
          <w:rFonts w:ascii="Verdana" w:hAnsi="Verdana"/>
          <w:sz w:val="16"/>
          <w:szCs w:val="16"/>
          <w:lang w:val="es-CR"/>
        </w:rPr>
        <w:t xml:space="preserve"> el artículo 60 del Reglamento de Trámite de Expedientes en el Tribunal Constitucional de 7 de enero de 2002, establece: “[e]n caso de incumplimiento de resoluciones del Tribunal Constitucional, el Pleno del Tribunal comunicará el hecho al Ministro Fiscal General  para la aplicación de lo previsto en los artículos 251, 277 y demás aplicables al caso, constantes en el Código Penal”.</w:t>
      </w:r>
    </w:p>
    <w:p w:rsidR="00D93A8F" w:rsidRPr="002513AB" w:rsidRDefault="00D93A8F" w:rsidP="004D1909">
      <w:pPr>
        <w:pStyle w:val="Textonotapie"/>
        <w:jc w:val="both"/>
        <w:rPr>
          <w:lang w:val="es-ES"/>
        </w:rPr>
      </w:pPr>
    </w:p>
  </w:footnote>
  <w:footnote w:id="94">
    <w:p w:rsidR="00D93A8F" w:rsidRPr="0074711B" w:rsidRDefault="00D93A8F" w:rsidP="004D1909">
      <w:pPr>
        <w:pStyle w:val="Textonotapie"/>
        <w:jc w:val="both"/>
        <w:rPr>
          <w:rFonts w:ascii="Verdana" w:hAnsi="Verdana"/>
          <w:sz w:val="16"/>
          <w:szCs w:val="16"/>
          <w:lang w:val="es-CR"/>
        </w:rPr>
      </w:pPr>
      <w:r w:rsidRPr="0074711B">
        <w:rPr>
          <w:rStyle w:val="Refdenotaalpie"/>
          <w:rFonts w:ascii="Verdana" w:hAnsi="Verdana"/>
          <w:sz w:val="16"/>
          <w:szCs w:val="16"/>
        </w:rPr>
        <w:footnoteRef/>
      </w:r>
      <w:r w:rsidRPr="0074711B">
        <w:rPr>
          <w:rFonts w:ascii="Verdana" w:hAnsi="Verdana"/>
          <w:sz w:val="16"/>
          <w:szCs w:val="16"/>
          <w:lang w:val="es-CR"/>
        </w:rPr>
        <w:t xml:space="preserve"> </w:t>
      </w:r>
      <w:r w:rsidRPr="0074711B">
        <w:rPr>
          <w:rFonts w:ascii="Verdana" w:hAnsi="Verdana"/>
          <w:sz w:val="16"/>
          <w:szCs w:val="16"/>
          <w:lang w:val="es-CR"/>
        </w:rPr>
        <w:tab/>
      </w:r>
      <w:r w:rsidRPr="0074711B">
        <w:rPr>
          <w:rFonts w:ascii="Verdana" w:hAnsi="Verdana"/>
          <w:i/>
          <w:sz w:val="16"/>
          <w:szCs w:val="16"/>
          <w:lang w:val="es-CR"/>
        </w:rPr>
        <w:t>Cfr.</w:t>
      </w:r>
      <w:r w:rsidRPr="0074711B">
        <w:rPr>
          <w:rFonts w:ascii="Verdana" w:hAnsi="Verdana"/>
          <w:sz w:val="16"/>
          <w:szCs w:val="16"/>
          <w:lang w:val="es-CR"/>
        </w:rPr>
        <w:t xml:space="preserve"> Oficio Nro. 2002-194-AJ-CCFFAA del Jefe del Comando Conjunto de las FF.AA dirigida al despacho del Tribunal Constitucional el 22 de julio de 2002; Oficio Nro. 021130- MS-7-1 del Ministro de Defensa Nacional dirigida al Secretario General del Tribunal Constitucional el 31 de julio de 2002, y oficio Nro. 2002-213-AJ-CCFFAA del Comando Conjunto de las FF.AA. dirigida al Secretario General del Tribunal Constitucional el 31 de julio de 2002  (anexos de la demanda, apéndice 2, tomo III, fs. 1115, 1117, y 1120).  Además el Oficio Nro. 25152 de la Directora de Patrocinio de la Procuraduría General del Estado dirigida al Secretario General del Tribunal Constitucional el 17 de julio de 2002, en el que informó que la Procuraduría fue parte en el caso, que en virtud de los artículos 2 y 6 de la Ley Orgánica de la Procuraduría General del Estado no tiene nada que cumplir ni informar al respecto Nacional  </w:t>
      </w:r>
      <w:r w:rsidRPr="00317CE9">
        <w:rPr>
          <w:rFonts w:ascii="Verdana" w:hAnsi="Verdana"/>
          <w:sz w:val="16"/>
          <w:szCs w:val="16"/>
          <w:lang w:val="es-CR"/>
        </w:rPr>
        <w:t>(anexos a</w:t>
      </w:r>
      <w:r>
        <w:rPr>
          <w:rFonts w:ascii="Verdana" w:hAnsi="Verdana"/>
          <w:sz w:val="16"/>
          <w:szCs w:val="16"/>
          <w:lang w:val="es-CR"/>
        </w:rPr>
        <w:t xml:space="preserve"> </w:t>
      </w:r>
      <w:r w:rsidRPr="0074711B">
        <w:rPr>
          <w:rFonts w:ascii="Verdana" w:hAnsi="Verdana"/>
          <w:sz w:val="16"/>
          <w:szCs w:val="16"/>
          <w:lang w:val="es-CR"/>
        </w:rPr>
        <w:t>la d</w:t>
      </w:r>
      <w:r>
        <w:rPr>
          <w:rFonts w:ascii="Verdana" w:hAnsi="Verdana"/>
          <w:sz w:val="16"/>
          <w:szCs w:val="16"/>
          <w:lang w:val="es-CR"/>
        </w:rPr>
        <w:t>emanda, apéndice 2, tomo III, f</w:t>
      </w:r>
      <w:r w:rsidRPr="0074711B">
        <w:rPr>
          <w:rFonts w:ascii="Verdana" w:hAnsi="Verdana"/>
          <w:sz w:val="16"/>
          <w:szCs w:val="16"/>
          <w:lang w:val="es-CR"/>
        </w:rPr>
        <w:t>. 1113).</w:t>
      </w:r>
    </w:p>
    <w:p w:rsidR="00D93A8F" w:rsidRPr="002513AB" w:rsidRDefault="00D93A8F" w:rsidP="004D1909">
      <w:pPr>
        <w:pStyle w:val="Textonotapie"/>
        <w:jc w:val="both"/>
        <w:rPr>
          <w:lang w:val="es-ES"/>
        </w:rPr>
      </w:pPr>
    </w:p>
  </w:footnote>
  <w:footnote w:id="95">
    <w:p w:rsidR="00D93A8F" w:rsidRPr="0074711B" w:rsidRDefault="00D93A8F" w:rsidP="0007269E">
      <w:pPr>
        <w:pStyle w:val="Textonotapie"/>
        <w:jc w:val="both"/>
        <w:rPr>
          <w:rFonts w:ascii="Verdana" w:hAnsi="Verdana"/>
          <w:sz w:val="16"/>
          <w:szCs w:val="16"/>
          <w:lang w:val="es-ES"/>
        </w:rPr>
      </w:pPr>
      <w:r w:rsidRPr="0074711B">
        <w:rPr>
          <w:rStyle w:val="Refdenotaalpie"/>
          <w:rFonts w:ascii="Verdana" w:hAnsi="Verdana"/>
          <w:sz w:val="16"/>
          <w:szCs w:val="16"/>
          <w:lang w:val="es-ES"/>
        </w:rPr>
        <w:footnoteRef/>
      </w:r>
      <w:r w:rsidRPr="0074711B">
        <w:rPr>
          <w:rFonts w:ascii="Verdana" w:hAnsi="Verdana"/>
          <w:sz w:val="16"/>
          <w:szCs w:val="16"/>
          <w:lang w:val="es-ES"/>
        </w:rPr>
        <w:t xml:space="preserve">  </w:t>
      </w:r>
      <w:r w:rsidRPr="0074711B">
        <w:rPr>
          <w:rFonts w:ascii="Verdana" w:hAnsi="Verdana"/>
          <w:sz w:val="16"/>
          <w:szCs w:val="16"/>
          <w:lang w:val="es-ES"/>
        </w:rPr>
        <w:tab/>
        <w:t xml:space="preserve">Artículo 93 de la Constitución del Ecuador, 2008.   </w:t>
      </w:r>
      <w:r w:rsidRPr="0074711B">
        <w:rPr>
          <w:rFonts w:ascii="Verdana" w:hAnsi="Verdana"/>
          <w:i/>
          <w:sz w:val="16"/>
          <w:szCs w:val="16"/>
          <w:lang w:val="es-ES"/>
        </w:rPr>
        <w:t>Cfr.</w:t>
      </w:r>
      <w:r w:rsidRPr="0074711B">
        <w:rPr>
          <w:rFonts w:ascii="Verdana" w:hAnsi="Verdana"/>
          <w:sz w:val="16"/>
          <w:szCs w:val="16"/>
          <w:lang w:val="es-ES"/>
        </w:rPr>
        <w:t xml:space="preserve">  La Corte Constitucional admite al respecto en la sentencia de 8 de octubre de 2009:</w:t>
      </w:r>
    </w:p>
    <w:p w:rsidR="00D93A8F" w:rsidRPr="0074711B" w:rsidRDefault="00D93A8F" w:rsidP="0007269E">
      <w:pPr>
        <w:pStyle w:val="Textonotapie"/>
        <w:ind w:left="720" w:right="720"/>
        <w:jc w:val="both"/>
        <w:rPr>
          <w:rFonts w:ascii="Verdana" w:hAnsi="Verdana"/>
          <w:sz w:val="16"/>
          <w:szCs w:val="16"/>
          <w:lang w:val="es-ES"/>
        </w:rPr>
      </w:pPr>
      <w:r w:rsidRPr="0074711B">
        <w:rPr>
          <w:rFonts w:ascii="Verdana" w:hAnsi="Verdana"/>
          <w:sz w:val="16"/>
          <w:szCs w:val="16"/>
          <w:lang w:val="es-ES"/>
        </w:rPr>
        <w:t>Por su parte, la connotación de "garantas jurisdiccionales", siendo una de ellas la acción por incumplimiento de sentencias constitucionales, guarda relación directa con la obligación que tiene el juez constitucional de controlar que los actos públicos no violen derechos constitucionales. En definitiva, dentro de las nuevas garantías jurisdiccionales implementadas en la Constitución ecuatoriana del 2008, se puede identificar como tal a la acción por incumplimiento, que por cierto es una garantía constitucional que no existió en el pasado del constitucionalismo ecuatoriano.</w:t>
      </w:r>
    </w:p>
    <w:p w:rsidR="00D93A8F" w:rsidRPr="002513AB" w:rsidRDefault="00D93A8F" w:rsidP="0007269E">
      <w:pPr>
        <w:pStyle w:val="Textonotapie"/>
        <w:ind w:left="720" w:right="720"/>
        <w:jc w:val="both"/>
        <w:rPr>
          <w:lang w:val="es-ES"/>
        </w:rPr>
      </w:pPr>
    </w:p>
  </w:footnote>
  <w:footnote w:id="96">
    <w:p w:rsidR="00D93A8F" w:rsidRPr="0074711B" w:rsidRDefault="00D93A8F" w:rsidP="007D52B3">
      <w:pPr>
        <w:jc w:val="both"/>
        <w:rPr>
          <w:rFonts w:ascii="Verdana" w:hAnsi="Verdana"/>
          <w:sz w:val="16"/>
          <w:szCs w:val="16"/>
          <w:lang w:val="es-ES"/>
        </w:rPr>
      </w:pPr>
      <w:r w:rsidRPr="0074711B">
        <w:rPr>
          <w:rFonts w:ascii="Verdana" w:hAnsi="Verdana" w:cs="Verdana"/>
          <w:sz w:val="16"/>
          <w:szCs w:val="16"/>
          <w:vertAlign w:val="superscript"/>
          <w:lang w:val="es-ES"/>
        </w:rPr>
        <w:footnoteRef/>
      </w:r>
      <w:r w:rsidRPr="0074711B">
        <w:rPr>
          <w:rFonts w:ascii="Verdana" w:hAnsi="Verdana"/>
          <w:sz w:val="16"/>
          <w:szCs w:val="16"/>
          <w:lang w:val="es-ES"/>
        </w:rPr>
        <w:t xml:space="preserve"> </w:t>
      </w:r>
      <w:r w:rsidRPr="0074711B">
        <w:rPr>
          <w:rFonts w:ascii="Verdana" w:hAnsi="Verdana"/>
          <w:sz w:val="16"/>
          <w:szCs w:val="16"/>
          <w:lang w:val="es-ES"/>
        </w:rPr>
        <w:tab/>
      </w:r>
      <w:r w:rsidRPr="009979B7">
        <w:rPr>
          <w:rFonts w:ascii="Verdana" w:hAnsi="Verdana"/>
          <w:sz w:val="16"/>
          <w:szCs w:val="16"/>
          <w:lang w:val="es-ES"/>
        </w:rPr>
        <w:t>El deber general del Estado de adecuar su derecho interno a las disposiciones de la Convención Americana para garantizar los derechos en ella consagrados, establecido en el artículo 2, implica la adopción de medidas en dos vertientes. Por una parte, la supresión de las normas y prácticas de cualquier naturaleza que entrañen violación a las garantías previstas en la Convención.  Por la otra, la expedición de normas y el desarrollo de prácticas conducentes a la efectiva observancia de dichas garantías</w:t>
      </w:r>
      <w:r>
        <w:rPr>
          <w:rFonts w:ascii="Verdana" w:hAnsi="Verdana"/>
          <w:sz w:val="16"/>
          <w:szCs w:val="16"/>
          <w:lang w:val="es-ES"/>
        </w:rPr>
        <w:t>.</w:t>
      </w:r>
      <w:r w:rsidRPr="009979B7">
        <w:rPr>
          <w:rFonts w:ascii="Verdana" w:hAnsi="Verdana"/>
          <w:sz w:val="16"/>
          <w:szCs w:val="16"/>
          <w:lang w:val="es-ES"/>
        </w:rPr>
        <w:t xml:space="preserve"> </w:t>
      </w:r>
      <w:r w:rsidRPr="009979B7">
        <w:rPr>
          <w:rFonts w:ascii="Verdana" w:hAnsi="Verdana"/>
          <w:i/>
          <w:sz w:val="16"/>
          <w:szCs w:val="16"/>
          <w:lang w:val="es-ES"/>
        </w:rPr>
        <w:t xml:space="preserve">Cfr. Caso Castillo Petruzzi y otros Vs. Perú, supra </w:t>
      </w:r>
      <w:r w:rsidRPr="009979B7">
        <w:rPr>
          <w:rFonts w:ascii="Verdana" w:hAnsi="Verdana"/>
          <w:sz w:val="16"/>
          <w:szCs w:val="16"/>
          <w:lang w:val="es-ES"/>
        </w:rPr>
        <w:t>nota 71, párr. 207;</w:t>
      </w:r>
      <w:r w:rsidRPr="009979B7">
        <w:rPr>
          <w:rFonts w:ascii="Verdana" w:hAnsi="Verdana"/>
          <w:i/>
          <w:sz w:val="16"/>
          <w:szCs w:val="16"/>
          <w:lang w:val="es-ES"/>
        </w:rPr>
        <w:t xml:space="preserve"> Caso Salvador Chiriboga Vs. Ecuador. Excepciones Preliminares y Fondo. </w:t>
      </w:r>
      <w:r w:rsidRPr="009979B7">
        <w:rPr>
          <w:rFonts w:ascii="Verdana" w:hAnsi="Verdana"/>
          <w:sz w:val="16"/>
          <w:szCs w:val="16"/>
          <w:lang w:val="es-ES"/>
        </w:rPr>
        <w:t>Sentencia de 6 de mayo de 2008</w:t>
      </w:r>
      <w:r w:rsidRPr="009979B7">
        <w:rPr>
          <w:rFonts w:ascii="Verdana" w:hAnsi="Verdana"/>
          <w:i/>
          <w:sz w:val="16"/>
          <w:szCs w:val="16"/>
          <w:lang w:val="es-ES"/>
        </w:rPr>
        <w:t xml:space="preserve">, </w:t>
      </w:r>
      <w:r>
        <w:rPr>
          <w:rFonts w:ascii="Verdana" w:hAnsi="Verdana"/>
          <w:sz w:val="16"/>
          <w:szCs w:val="16"/>
          <w:lang w:val="es-ES"/>
        </w:rPr>
        <w:t xml:space="preserve">párr. 122, y </w:t>
      </w:r>
      <w:r w:rsidRPr="009979B7">
        <w:rPr>
          <w:rFonts w:ascii="Verdana" w:hAnsi="Verdana"/>
          <w:i/>
          <w:sz w:val="16"/>
          <w:szCs w:val="16"/>
          <w:lang w:val="es-ES"/>
        </w:rPr>
        <w:t xml:space="preserve">Caso Reverón Trujillo Vs. Venezuela. Excepción Preliminar, Fondo, Reparaciones y Costas. </w:t>
      </w:r>
      <w:r w:rsidRPr="009979B7">
        <w:rPr>
          <w:rFonts w:ascii="Verdana" w:hAnsi="Verdana"/>
          <w:sz w:val="16"/>
          <w:szCs w:val="16"/>
          <w:lang w:val="es-ES"/>
        </w:rPr>
        <w:t>Sentencia de 30 de junio de 2009. Serie C No. 197, párr. 60.</w:t>
      </w:r>
    </w:p>
    <w:p w:rsidR="00D93A8F" w:rsidRPr="002513AB" w:rsidRDefault="00D93A8F" w:rsidP="007D52B3">
      <w:pPr>
        <w:jc w:val="both"/>
        <w:rPr>
          <w:lang w:val="es-ES"/>
        </w:rPr>
      </w:pPr>
    </w:p>
  </w:footnote>
  <w:footnote w:id="97">
    <w:p w:rsidR="00D93A8F" w:rsidRPr="002513AB" w:rsidRDefault="00D93A8F" w:rsidP="00CD04D8">
      <w:pPr>
        <w:pStyle w:val="Textonotapie"/>
        <w:ind w:right="9"/>
        <w:jc w:val="both"/>
        <w:rPr>
          <w:lang w:val="es-ES"/>
        </w:rPr>
      </w:pPr>
      <w:r w:rsidRPr="0074711B">
        <w:rPr>
          <w:rStyle w:val="Smbolodenotaalpie"/>
          <w:sz w:val="16"/>
          <w:szCs w:val="16"/>
        </w:rPr>
        <w:footnoteRef/>
      </w:r>
      <w:r w:rsidRPr="0074711B">
        <w:rPr>
          <w:rFonts w:ascii="Verdana" w:hAnsi="Verdana"/>
          <w:sz w:val="16"/>
          <w:szCs w:val="16"/>
          <w:lang w:val="es-CR"/>
        </w:rPr>
        <w:tab/>
        <w:t xml:space="preserve">En el Informe de Admisibilidad y Fondo No. </w:t>
      </w:r>
      <w:r>
        <w:rPr>
          <w:rFonts w:ascii="Verdana" w:hAnsi="Verdana"/>
          <w:sz w:val="16"/>
          <w:szCs w:val="16"/>
          <w:lang w:val="es-CR"/>
        </w:rPr>
        <w:t>0</w:t>
      </w:r>
      <w:r w:rsidRPr="0074711B">
        <w:rPr>
          <w:rFonts w:ascii="Verdana" w:hAnsi="Verdana"/>
          <w:sz w:val="16"/>
          <w:szCs w:val="16"/>
          <w:lang w:val="es-CR"/>
        </w:rPr>
        <w:t>7/</w:t>
      </w:r>
      <w:r>
        <w:rPr>
          <w:rFonts w:ascii="Verdana" w:hAnsi="Verdana"/>
          <w:sz w:val="16"/>
          <w:szCs w:val="16"/>
          <w:lang w:val="es-CR"/>
        </w:rPr>
        <w:t>0</w:t>
      </w:r>
      <w:r w:rsidRPr="0074711B">
        <w:rPr>
          <w:rFonts w:ascii="Verdana" w:hAnsi="Verdana"/>
          <w:sz w:val="16"/>
          <w:szCs w:val="16"/>
          <w:lang w:val="es-CR"/>
        </w:rPr>
        <w:t>9, la Comisión estimó que no había sido debidamente fundamentado por los peticionarios en el caso particular, y por lo tanto no admitió dicho extremo de la petición.</w:t>
      </w:r>
    </w:p>
  </w:footnote>
  <w:footnote w:id="98">
    <w:p w:rsidR="00D93A8F" w:rsidRPr="0074711B" w:rsidRDefault="00D93A8F" w:rsidP="008C6023">
      <w:pPr>
        <w:adjustRightInd w:val="0"/>
        <w:jc w:val="both"/>
        <w:rPr>
          <w:rFonts w:ascii="Verdana" w:hAnsi="Verdana"/>
          <w:b/>
          <w:sz w:val="16"/>
          <w:szCs w:val="16"/>
          <w:lang w:val="es-CR"/>
        </w:rPr>
      </w:pPr>
      <w:r w:rsidRPr="0074711B">
        <w:rPr>
          <w:rStyle w:val="Refdenotaalpie"/>
          <w:rFonts w:ascii="Verdana" w:hAnsi="Verdana"/>
          <w:sz w:val="16"/>
          <w:szCs w:val="16"/>
        </w:rPr>
        <w:footnoteRef/>
      </w:r>
      <w:r w:rsidRPr="0074711B">
        <w:rPr>
          <w:rFonts w:ascii="Verdana" w:hAnsi="Verdana"/>
          <w:sz w:val="16"/>
          <w:szCs w:val="16"/>
          <w:lang w:val="es-CR"/>
        </w:rPr>
        <w:t xml:space="preserve"> </w:t>
      </w:r>
      <w:r w:rsidRPr="0074711B">
        <w:rPr>
          <w:rFonts w:ascii="Verdana" w:hAnsi="Verdana"/>
          <w:sz w:val="16"/>
          <w:szCs w:val="16"/>
          <w:lang w:val="es-CR"/>
        </w:rPr>
        <w:tab/>
      </w:r>
      <w:r w:rsidRPr="0074711B">
        <w:rPr>
          <w:rFonts w:ascii="Verdana" w:hAnsi="Verdana"/>
          <w:color w:val="000000"/>
          <w:sz w:val="16"/>
          <w:szCs w:val="16"/>
          <w:lang w:val="es-CR"/>
        </w:rPr>
        <w:t xml:space="preserve">El 20 de junio de 2011 el Estado remitió el Oficio No. 2011-0087-SCOGFT de 19 de mayo de 2011, suscrito por el General Patricio Cárdenas Proaño, Comandante General de la Fuerza Terrestre, en relación con el proceso de calificación del coronel Mejía Idrovo. Al respecto la Secretaría transmitió dicho </w:t>
      </w:r>
      <w:r w:rsidRPr="00F822BE">
        <w:rPr>
          <w:rFonts w:ascii="Verdana" w:hAnsi="Verdana"/>
          <w:color w:val="000000"/>
          <w:sz w:val="16"/>
          <w:szCs w:val="16"/>
          <w:lang w:val="es-CR"/>
        </w:rPr>
        <w:t xml:space="preserve">escrito a los representantes y a la Comisión para que presentaran sus observaciones. El 28 de junio de 2011 los representantes remitieron sus observaciones y la </w:t>
      </w:r>
      <w:r>
        <w:rPr>
          <w:rFonts w:ascii="Verdana" w:hAnsi="Verdana"/>
          <w:color w:val="000000"/>
          <w:sz w:val="16"/>
          <w:szCs w:val="16"/>
          <w:lang w:val="es-CR"/>
        </w:rPr>
        <w:t>Comisión señaló que no tenía</w:t>
      </w:r>
      <w:r w:rsidRPr="00F822BE">
        <w:rPr>
          <w:rFonts w:ascii="Verdana" w:hAnsi="Verdana"/>
          <w:color w:val="000000"/>
          <w:sz w:val="16"/>
          <w:szCs w:val="16"/>
          <w:lang w:val="es-CR"/>
        </w:rPr>
        <w:t xml:space="preserve"> observaciones al respecto</w:t>
      </w:r>
      <w:r>
        <w:rPr>
          <w:rFonts w:ascii="Verdana" w:hAnsi="Verdana"/>
          <w:color w:val="000000"/>
          <w:sz w:val="16"/>
          <w:szCs w:val="16"/>
          <w:lang w:val="es-CR"/>
        </w:rPr>
        <w:t xml:space="preserve">, </w:t>
      </w:r>
      <w:r w:rsidRPr="00D17056">
        <w:rPr>
          <w:rFonts w:ascii="Verdana" w:hAnsi="Verdana"/>
          <w:i/>
          <w:color w:val="000000"/>
          <w:sz w:val="16"/>
          <w:szCs w:val="16"/>
          <w:lang w:val="es-CR"/>
        </w:rPr>
        <w:t>supra</w:t>
      </w:r>
      <w:r>
        <w:rPr>
          <w:rFonts w:ascii="Verdana" w:hAnsi="Verdana"/>
          <w:color w:val="000000"/>
          <w:sz w:val="16"/>
          <w:szCs w:val="16"/>
          <w:lang w:val="es-CR"/>
        </w:rPr>
        <w:t xml:space="preserve"> párr</w:t>
      </w:r>
      <w:r w:rsidRPr="00F822BE">
        <w:rPr>
          <w:rFonts w:ascii="Verdana" w:hAnsi="Verdana"/>
          <w:color w:val="000000"/>
          <w:sz w:val="16"/>
          <w:szCs w:val="16"/>
          <w:lang w:val="es-CR"/>
        </w:rPr>
        <w:t>.</w:t>
      </w:r>
      <w:r w:rsidRPr="0074711B">
        <w:rPr>
          <w:rFonts w:ascii="Verdana" w:hAnsi="Verdana"/>
          <w:color w:val="000000"/>
          <w:sz w:val="16"/>
          <w:szCs w:val="16"/>
          <w:lang w:val="es-CR"/>
        </w:rPr>
        <w:t xml:space="preserve"> </w:t>
      </w:r>
      <w:r>
        <w:rPr>
          <w:rFonts w:ascii="Verdana" w:hAnsi="Verdana"/>
          <w:color w:val="000000"/>
          <w:sz w:val="16"/>
          <w:szCs w:val="16"/>
          <w:lang w:val="es-CR"/>
        </w:rPr>
        <w:t>13.</w:t>
      </w:r>
    </w:p>
    <w:p w:rsidR="00D93A8F" w:rsidRPr="002513AB" w:rsidRDefault="00D93A8F" w:rsidP="008C6023">
      <w:pPr>
        <w:adjustRightInd w:val="0"/>
        <w:jc w:val="both"/>
        <w:rPr>
          <w:lang w:val="es-ES"/>
        </w:rPr>
      </w:pPr>
    </w:p>
  </w:footnote>
  <w:footnote w:id="99">
    <w:p w:rsidR="00D93A8F" w:rsidRDefault="00D93A8F" w:rsidP="009D1BE0">
      <w:pPr>
        <w:jc w:val="both"/>
        <w:rPr>
          <w:rFonts w:ascii="Verdana" w:hAnsi="Verdana" w:cs="Verdana"/>
          <w:i/>
          <w:sz w:val="16"/>
          <w:szCs w:val="16"/>
          <w:lang w:val="es-CR"/>
        </w:rPr>
      </w:pPr>
      <w:r w:rsidRPr="00ED4819">
        <w:rPr>
          <w:rStyle w:val="Refdenotaalpie"/>
          <w:rFonts w:ascii="Verdana" w:hAnsi="Verdana"/>
          <w:sz w:val="16"/>
          <w:szCs w:val="16"/>
        </w:rPr>
        <w:footnoteRef/>
      </w:r>
      <w:r w:rsidRPr="00ED4819">
        <w:rPr>
          <w:rFonts w:ascii="Verdana" w:hAnsi="Verdana"/>
          <w:sz w:val="16"/>
          <w:szCs w:val="16"/>
          <w:lang w:val="es-ES"/>
        </w:rPr>
        <w:t xml:space="preserve"> </w:t>
      </w:r>
      <w:r w:rsidRPr="00ED4819">
        <w:rPr>
          <w:rFonts w:ascii="Verdana" w:hAnsi="Verdana"/>
          <w:sz w:val="16"/>
          <w:szCs w:val="16"/>
          <w:lang w:val="es-ES"/>
        </w:rPr>
        <w:tab/>
        <w:t xml:space="preserve"> </w:t>
      </w:r>
      <w:r w:rsidRPr="00ED4819">
        <w:rPr>
          <w:rFonts w:ascii="Verdana" w:hAnsi="Verdana" w:cs="Verdana"/>
          <w:i/>
          <w:sz w:val="16"/>
          <w:szCs w:val="16"/>
          <w:lang w:val="es-CR"/>
        </w:rPr>
        <w:t xml:space="preserve">Cfr. Condición Jurídica y Derechos de los Migrantes Indocumentados. Opinión Consultiva OC-18/03 del 17 de septiembre de 2003. Serie A No. 18, </w:t>
      </w:r>
      <w:r w:rsidRPr="00ED4819">
        <w:rPr>
          <w:rFonts w:ascii="Verdana" w:hAnsi="Verdana" w:cs="Verdana"/>
          <w:sz w:val="16"/>
          <w:szCs w:val="16"/>
          <w:lang w:val="es-CR"/>
        </w:rPr>
        <w:t>párrs. 56 y 57.</w:t>
      </w:r>
      <w:r w:rsidRPr="00ED4819">
        <w:rPr>
          <w:rFonts w:ascii="Verdana" w:hAnsi="Verdana" w:cs="Verdana"/>
          <w:i/>
          <w:sz w:val="16"/>
          <w:szCs w:val="16"/>
          <w:lang w:val="es-CR"/>
        </w:rPr>
        <w:t xml:space="preserve"> </w:t>
      </w:r>
    </w:p>
    <w:p w:rsidR="00D93A8F" w:rsidRPr="002513AB" w:rsidRDefault="00D93A8F" w:rsidP="009D1BE0">
      <w:pPr>
        <w:jc w:val="both"/>
        <w:rPr>
          <w:lang w:val="es-ES"/>
        </w:rPr>
      </w:pPr>
    </w:p>
  </w:footnote>
  <w:footnote w:id="100">
    <w:p w:rsidR="00D93A8F" w:rsidRPr="009979B7" w:rsidRDefault="00D93A8F">
      <w:pPr>
        <w:pStyle w:val="Textonotapie"/>
        <w:rPr>
          <w:rFonts w:ascii="Verdana" w:hAnsi="Verdana"/>
          <w:sz w:val="16"/>
          <w:szCs w:val="16"/>
          <w:lang w:val="es-CR"/>
        </w:rPr>
      </w:pPr>
      <w:r w:rsidRPr="009979B7">
        <w:rPr>
          <w:rStyle w:val="Refdenotaalpie"/>
          <w:rFonts w:ascii="Verdana" w:hAnsi="Verdana"/>
          <w:sz w:val="16"/>
          <w:szCs w:val="16"/>
        </w:rPr>
        <w:footnoteRef/>
      </w:r>
      <w:r w:rsidRPr="009979B7">
        <w:rPr>
          <w:rFonts w:ascii="Verdana" w:hAnsi="Verdana"/>
          <w:sz w:val="16"/>
          <w:szCs w:val="16"/>
          <w:lang w:val="es-CR"/>
        </w:rPr>
        <w:t xml:space="preserve"> </w:t>
      </w:r>
      <w:r w:rsidRPr="009979B7">
        <w:rPr>
          <w:rFonts w:ascii="Verdana" w:hAnsi="Verdana"/>
          <w:sz w:val="16"/>
          <w:szCs w:val="16"/>
          <w:lang w:val="es-CR"/>
        </w:rPr>
        <w:tab/>
        <w:t xml:space="preserve">Cfr. </w:t>
      </w:r>
      <w:r w:rsidRPr="009979B7">
        <w:rPr>
          <w:rFonts w:ascii="Verdana" w:hAnsi="Verdana"/>
          <w:i/>
          <w:sz w:val="16"/>
          <w:szCs w:val="16"/>
          <w:lang w:val="es-CR"/>
        </w:rPr>
        <w:t>Caso Salvador Chiriboga Vs. Ecuador. Excepciones Preliminares</w:t>
      </w:r>
      <w:r>
        <w:rPr>
          <w:rFonts w:ascii="Verdana" w:hAnsi="Verdana"/>
          <w:i/>
          <w:sz w:val="16"/>
          <w:szCs w:val="16"/>
          <w:lang w:val="es-CR"/>
        </w:rPr>
        <w:t xml:space="preserve"> y Fondo</w:t>
      </w:r>
      <w:r>
        <w:rPr>
          <w:rFonts w:ascii="Verdana" w:hAnsi="Verdana"/>
          <w:sz w:val="16"/>
          <w:szCs w:val="16"/>
          <w:lang w:val="es-CR"/>
        </w:rPr>
        <w:t xml:space="preserve">, </w:t>
      </w:r>
      <w:r w:rsidRPr="00FC3247">
        <w:rPr>
          <w:rFonts w:ascii="Verdana" w:hAnsi="Verdana"/>
          <w:i/>
          <w:sz w:val="16"/>
          <w:szCs w:val="16"/>
          <w:lang w:val="es-CR"/>
        </w:rPr>
        <w:t xml:space="preserve">supra </w:t>
      </w:r>
      <w:r>
        <w:rPr>
          <w:rFonts w:ascii="Verdana" w:hAnsi="Verdana"/>
          <w:sz w:val="16"/>
          <w:szCs w:val="16"/>
          <w:lang w:val="es-CR"/>
        </w:rPr>
        <w:t>nota 93, párr.</w:t>
      </w:r>
      <w:r w:rsidRPr="009979B7">
        <w:rPr>
          <w:rFonts w:ascii="Verdana" w:hAnsi="Verdana"/>
          <w:sz w:val="16"/>
          <w:szCs w:val="16"/>
          <w:lang w:val="es-CR"/>
        </w:rPr>
        <w:t xml:space="preserve"> 93, y </w:t>
      </w:r>
      <w:r w:rsidRPr="009979B7">
        <w:rPr>
          <w:rFonts w:ascii="Verdana" w:hAnsi="Verdana"/>
          <w:i/>
          <w:sz w:val="16"/>
          <w:szCs w:val="16"/>
          <w:lang w:val="es-CR"/>
        </w:rPr>
        <w:t>Apitz Barbera y otros (“Corte Primera de lo Contencioso Administrativo”) Vs. Venezuela</w:t>
      </w:r>
      <w:r w:rsidRPr="009979B7">
        <w:rPr>
          <w:rFonts w:ascii="Verdana" w:hAnsi="Verdana"/>
          <w:sz w:val="16"/>
          <w:szCs w:val="16"/>
          <w:lang w:val="es-CR"/>
        </w:rPr>
        <w:t xml:space="preserve">. Sentencia de 5 de agosto de 2008. Serie C No. 182, </w:t>
      </w:r>
      <w:r>
        <w:rPr>
          <w:rFonts w:ascii="Verdana" w:hAnsi="Verdana"/>
          <w:sz w:val="16"/>
          <w:szCs w:val="16"/>
          <w:lang w:val="es-CR"/>
        </w:rPr>
        <w:t>párr</w:t>
      </w:r>
      <w:r w:rsidRPr="009979B7">
        <w:rPr>
          <w:rFonts w:ascii="Verdana" w:hAnsi="Verdana"/>
          <w:sz w:val="16"/>
          <w:szCs w:val="16"/>
          <w:lang w:val="es-CR"/>
        </w:rPr>
        <w:t>. 200.</w:t>
      </w:r>
    </w:p>
    <w:p w:rsidR="00D93A8F" w:rsidRPr="002513AB" w:rsidRDefault="00D93A8F">
      <w:pPr>
        <w:pStyle w:val="Textonotapie"/>
        <w:rPr>
          <w:lang w:val="es-ES"/>
        </w:rPr>
      </w:pPr>
      <w:r>
        <w:rPr>
          <w:lang w:val="es-CR"/>
        </w:rPr>
        <w:t xml:space="preserve"> </w:t>
      </w:r>
    </w:p>
  </w:footnote>
  <w:footnote w:id="101">
    <w:p w:rsidR="00D93A8F" w:rsidRPr="0074711B" w:rsidRDefault="00D93A8F" w:rsidP="00B36838">
      <w:pPr>
        <w:jc w:val="both"/>
        <w:rPr>
          <w:rFonts w:ascii="Verdana" w:hAnsi="Verdana"/>
          <w:i/>
          <w:sz w:val="16"/>
          <w:szCs w:val="16"/>
          <w:lang w:val="es-CR"/>
        </w:rPr>
      </w:pPr>
      <w:r w:rsidRPr="0074711B">
        <w:rPr>
          <w:rStyle w:val="Refdenotaalpie"/>
          <w:rFonts w:ascii="Verdana" w:hAnsi="Verdana"/>
          <w:sz w:val="16"/>
          <w:szCs w:val="16"/>
        </w:rPr>
        <w:footnoteRef/>
      </w:r>
      <w:r>
        <w:rPr>
          <w:rFonts w:ascii="Verdana" w:hAnsi="Verdana"/>
          <w:sz w:val="16"/>
          <w:szCs w:val="16"/>
          <w:lang w:val="es-CR"/>
        </w:rPr>
        <w:t xml:space="preserve"> </w:t>
      </w:r>
      <w:r>
        <w:rPr>
          <w:rFonts w:ascii="Verdana" w:hAnsi="Verdana"/>
          <w:sz w:val="16"/>
          <w:szCs w:val="16"/>
          <w:lang w:val="es-CR"/>
        </w:rPr>
        <w:tab/>
      </w:r>
      <w:r w:rsidRPr="0074711B">
        <w:rPr>
          <w:rFonts w:ascii="Verdana" w:hAnsi="Verdana" w:cs="Verdana"/>
          <w:i/>
          <w:iCs/>
          <w:sz w:val="16"/>
          <w:szCs w:val="16"/>
          <w:lang w:val="es-CR"/>
        </w:rPr>
        <w:t>Cfr</w:t>
      </w:r>
      <w:r w:rsidRPr="0074711B">
        <w:rPr>
          <w:rFonts w:ascii="Verdana" w:hAnsi="Verdana" w:cs="Verdana"/>
          <w:i/>
          <w:sz w:val="16"/>
          <w:szCs w:val="16"/>
          <w:lang w:val="es-CR"/>
        </w:rPr>
        <w:t xml:space="preserve">. </w:t>
      </w:r>
      <w:r w:rsidRPr="0074711B">
        <w:rPr>
          <w:rFonts w:ascii="Verdana" w:hAnsi="Verdana" w:cs="Verdana"/>
          <w:i/>
          <w:iCs/>
          <w:sz w:val="16"/>
          <w:szCs w:val="16"/>
          <w:lang w:val="es-CR"/>
        </w:rPr>
        <w:t>Caso Velásquez Rodríguez Vs. Honduras</w:t>
      </w:r>
      <w:r w:rsidRPr="0074711B">
        <w:rPr>
          <w:rFonts w:ascii="Verdana" w:hAnsi="Verdana" w:cs="Verdana"/>
          <w:iCs/>
          <w:sz w:val="16"/>
          <w:szCs w:val="16"/>
          <w:lang w:val="es-CR"/>
        </w:rPr>
        <w:t xml:space="preserve">. </w:t>
      </w:r>
      <w:r w:rsidRPr="0074711B">
        <w:rPr>
          <w:rFonts w:ascii="Verdana" w:hAnsi="Verdana" w:cs="Verdana"/>
          <w:i/>
          <w:iCs/>
          <w:sz w:val="16"/>
          <w:szCs w:val="16"/>
          <w:lang w:val="es-CR"/>
        </w:rPr>
        <w:t>Reparaciones y Costas</w:t>
      </w:r>
      <w:r>
        <w:rPr>
          <w:rFonts w:ascii="Verdana" w:hAnsi="Verdana" w:cs="Verdana"/>
          <w:sz w:val="16"/>
          <w:szCs w:val="16"/>
          <w:lang w:val="es-CR"/>
        </w:rPr>
        <w:t xml:space="preserve">, </w:t>
      </w:r>
      <w:r w:rsidRPr="00FC3247">
        <w:rPr>
          <w:rFonts w:ascii="Verdana" w:hAnsi="Verdana" w:cs="Verdana"/>
          <w:i/>
          <w:sz w:val="16"/>
          <w:szCs w:val="16"/>
          <w:lang w:val="es-CR"/>
        </w:rPr>
        <w:t>supra</w:t>
      </w:r>
      <w:r>
        <w:rPr>
          <w:rFonts w:ascii="Verdana" w:hAnsi="Verdana" w:cs="Verdana"/>
          <w:sz w:val="16"/>
          <w:szCs w:val="16"/>
          <w:lang w:val="es-CR"/>
        </w:rPr>
        <w:t xml:space="preserve"> nota 77</w:t>
      </w:r>
      <w:r w:rsidRPr="0074711B">
        <w:rPr>
          <w:rFonts w:ascii="Verdana" w:hAnsi="Verdana" w:cs="Verdana"/>
          <w:sz w:val="16"/>
          <w:szCs w:val="16"/>
          <w:lang w:val="es-CR"/>
        </w:rPr>
        <w:t xml:space="preserve">, párr. 25; </w:t>
      </w:r>
      <w:r w:rsidRPr="0074711B">
        <w:rPr>
          <w:rFonts w:ascii="Verdana" w:hAnsi="Verdana"/>
          <w:i/>
          <w:sz w:val="16"/>
          <w:szCs w:val="16"/>
          <w:lang w:val="es-CR"/>
        </w:rPr>
        <w:t>Caso Salvador Chiriboga V</w:t>
      </w:r>
      <w:r>
        <w:rPr>
          <w:rFonts w:ascii="Verdana" w:hAnsi="Verdana"/>
          <w:i/>
          <w:sz w:val="16"/>
          <w:szCs w:val="16"/>
          <w:lang w:val="es-CR"/>
        </w:rPr>
        <w:t>s. Ecuador.</w:t>
      </w:r>
      <w:r w:rsidRPr="0074711B">
        <w:rPr>
          <w:rFonts w:ascii="Verdana" w:hAnsi="Verdana"/>
          <w:i/>
          <w:sz w:val="16"/>
          <w:szCs w:val="16"/>
          <w:lang w:val="es-CR"/>
        </w:rPr>
        <w:t xml:space="preserve"> Reparaciones y Costas</w:t>
      </w:r>
      <w:r w:rsidRPr="0074711B">
        <w:rPr>
          <w:rFonts w:ascii="Verdana" w:hAnsi="Verdana"/>
          <w:sz w:val="16"/>
          <w:szCs w:val="16"/>
          <w:lang w:val="es-CR"/>
        </w:rPr>
        <w:t>. Sentencia de 3 de marzo de 20</w:t>
      </w:r>
      <w:r>
        <w:rPr>
          <w:rFonts w:ascii="Verdana" w:hAnsi="Verdana"/>
          <w:sz w:val="16"/>
          <w:szCs w:val="16"/>
          <w:lang w:val="es-CR"/>
        </w:rPr>
        <w:t>1</w:t>
      </w:r>
      <w:r w:rsidRPr="0074711B">
        <w:rPr>
          <w:rFonts w:ascii="Verdana" w:hAnsi="Verdana"/>
          <w:sz w:val="16"/>
          <w:szCs w:val="16"/>
          <w:lang w:val="es-CR"/>
        </w:rPr>
        <w:t>1. Serie C No. 222, párr. 32,</w:t>
      </w:r>
      <w:r w:rsidRPr="0074711B">
        <w:rPr>
          <w:rFonts w:ascii="Verdana" w:hAnsi="Verdana"/>
          <w:i/>
          <w:sz w:val="16"/>
          <w:szCs w:val="16"/>
          <w:lang w:val="es-CR"/>
        </w:rPr>
        <w:t xml:space="preserve"> </w:t>
      </w:r>
      <w:r w:rsidRPr="0074711B">
        <w:rPr>
          <w:rFonts w:ascii="Verdana" w:hAnsi="Verdana"/>
          <w:sz w:val="16"/>
          <w:szCs w:val="16"/>
          <w:lang w:val="es-CR"/>
        </w:rPr>
        <w:t>y</w:t>
      </w:r>
      <w:r w:rsidRPr="0074711B">
        <w:rPr>
          <w:rFonts w:ascii="Verdana" w:hAnsi="Verdana"/>
          <w:i/>
          <w:sz w:val="16"/>
          <w:szCs w:val="16"/>
          <w:lang w:val="es-CR"/>
        </w:rPr>
        <w:t xml:space="preserve"> Caso Vera Vera y otros Vs. Ecuador, supra </w:t>
      </w:r>
      <w:r w:rsidRPr="0074711B">
        <w:rPr>
          <w:rFonts w:ascii="Verdana" w:hAnsi="Verdana"/>
          <w:sz w:val="16"/>
          <w:szCs w:val="16"/>
          <w:lang w:val="es-CR"/>
        </w:rPr>
        <w:t>nota 1</w:t>
      </w:r>
      <w:r>
        <w:rPr>
          <w:rFonts w:ascii="Verdana" w:hAnsi="Verdana"/>
          <w:sz w:val="16"/>
          <w:szCs w:val="16"/>
          <w:lang w:val="es-CR"/>
        </w:rPr>
        <w:t>2</w:t>
      </w:r>
      <w:r w:rsidRPr="0074711B">
        <w:rPr>
          <w:rFonts w:ascii="Verdana" w:hAnsi="Verdana"/>
          <w:sz w:val="16"/>
          <w:szCs w:val="16"/>
          <w:lang w:val="es-CR"/>
        </w:rPr>
        <w:t>, párr. 106.</w:t>
      </w:r>
      <w:r w:rsidRPr="0074711B">
        <w:rPr>
          <w:rFonts w:ascii="Verdana" w:hAnsi="Verdana"/>
          <w:i/>
          <w:sz w:val="16"/>
          <w:szCs w:val="16"/>
          <w:lang w:val="es-CR"/>
        </w:rPr>
        <w:t xml:space="preserve"> </w:t>
      </w:r>
    </w:p>
    <w:p w:rsidR="00D93A8F" w:rsidRPr="002513AB" w:rsidRDefault="00D93A8F" w:rsidP="00B36838">
      <w:pPr>
        <w:jc w:val="both"/>
        <w:rPr>
          <w:lang w:val="es-ES"/>
        </w:rPr>
      </w:pPr>
    </w:p>
  </w:footnote>
  <w:footnote w:id="102">
    <w:p w:rsidR="00D93A8F" w:rsidRPr="002C5E8B" w:rsidRDefault="00D93A8F" w:rsidP="00B36838">
      <w:pPr>
        <w:pStyle w:val="Textonotapie"/>
        <w:jc w:val="both"/>
        <w:rPr>
          <w:rFonts w:ascii="Verdana" w:hAnsi="Verdana"/>
          <w:sz w:val="16"/>
          <w:szCs w:val="16"/>
          <w:lang w:val="es-CR"/>
        </w:rPr>
      </w:pPr>
      <w:r w:rsidRPr="002C5E8B">
        <w:rPr>
          <w:rStyle w:val="Refdenotaalpie"/>
          <w:rFonts w:ascii="Verdana" w:hAnsi="Verdana"/>
          <w:sz w:val="16"/>
          <w:szCs w:val="16"/>
        </w:rPr>
        <w:footnoteRef/>
      </w:r>
      <w:r w:rsidRPr="002C5E8B">
        <w:rPr>
          <w:rFonts w:ascii="Verdana" w:hAnsi="Verdana"/>
          <w:sz w:val="16"/>
          <w:szCs w:val="16"/>
          <w:lang w:val="es-CR"/>
        </w:rPr>
        <w:t xml:space="preserve"> </w:t>
      </w:r>
      <w:r w:rsidRPr="002C5E8B">
        <w:rPr>
          <w:rFonts w:ascii="Verdana" w:hAnsi="Verdana"/>
          <w:sz w:val="16"/>
          <w:szCs w:val="16"/>
          <w:lang w:val="es-CR"/>
        </w:rPr>
        <w:tab/>
      </w:r>
      <w:r w:rsidRPr="002C5E8B">
        <w:rPr>
          <w:rFonts w:ascii="Verdana" w:hAnsi="Verdana" w:cs="Verdana"/>
          <w:i/>
          <w:iCs/>
          <w:sz w:val="16"/>
          <w:szCs w:val="16"/>
          <w:lang w:val="es-CR"/>
        </w:rPr>
        <w:t>Cfr</w:t>
      </w:r>
      <w:r w:rsidRPr="002C5E8B">
        <w:rPr>
          <w:rFonts w:ascii="Verdana" w:hAnsi="Verdana" w:cs="Verdana"/>
          <w:i/>
          <w:sz w:val="16"/>
          <w:szCs w:val="16"/>
          <w:lang w:val="es-CR"/>
        </w:rPr>
        <w:t xml:space="preserve">. </w:t>
      </w:r>
      <w:r w:rsidRPr="002C5E8B">
        <w:rPr>
          <w:rFonts w:ascii="Verdana" w:hAnsi="Verdana" w:cs="Verdana"/>
          <w:i/>
          <w:iCs/>
          <w:sz w:val="16"/>
          <w:szCs w:val="16"/>
          <w:lang w:val="es-CR"/>
        </w:rPr>
        <w:t>Caso de los “Niños de la Calle” (Villagrán Morales) Vs. Guatemala. Reparaciones y Costas.</w:t>
      </w:r>
      <w:r w:rsidRPr="002C5E8B">
        <w:rPr>
          <w:rFonts w:ascii="Verdana" w:hAnsi="Verdana" w:cs="Verdana"/>
          <w:sz w:val="16"/>
          <w:szCs w:val="16"/>
          <w:lang w:val="es-CR"/>
        </w:rPr>
        <w:t xml:space="preserve"> Sentencia de 26 de mayo de 2001. Serie C No. 77, párr. 62; </w:t>
      </w:r>
      <w:r w:rsidRPr="002C5E8B">
        <w:rPr>
          <w:rFonts w:ascii="Verdana" w:hAnsi="Verdana"/>
          <w:i/>
          <w:sz w:val="16"/>
          <w:szCs w:val="16"/>
          <w:lang w:val="es-CR"/>
        </w:rPr>
        <w:t xml:space="preserve">Caso Salvador Chiriboga Vs. Ecuador. Reparaciones y Costas, supra </w:t>
      </w:r>
      <w:r w:rsidRPr="002C5E8B">
        <w:rPr>
          <w:rFonts w:ascii="Verdana" w:hAnsi="Verdana"/>
          <w:sz w:val="16"/>
          <w:szCs w:val="16"/>
          <w:lang w:val="es-CR"/>
        </w:rPr>
        <w:t>nota 9</w:t>
      </w:r>
      <w:r>
        <w:rPr>
          <w:rFonts w:ascii="Verdana" w:hAnsi="Verdana"/>
          <w:sz w:val="16"/>
          <w:szCs w:val="16"/>
          <w:lang w:val="es-CR"/>
        </w:rPr>
        <w:t>8</w:t>
      </w:r>
      <w:r w:rsidRPr="002C5E8B">
        <w:rPr>
          <w:rFonts w:ascii="Verdana" w:hAnsi="Verdana"/>
          <w:sz w:val="16"/>
          <w:szCs w:val="16"/>
          <w:lang w:val="es-CR"/>
        </w:rPr>
        <w:t>, párr. 32,</w:t>
      </w:r>
      <w:r w:rsidRPr="002C5E8B">
        <w:rPr>
          <w:rFonts w:ascii="Verdana" w:hAnsi="Verdana"/>
          <w:i/>
          <w:sz w:val="16"/>
          <w:szCs w:val="16"/>
          <w:lang w:val="es-CR"/>
        </w:rPr>
        <w:t xml:space="preserve"> </w:t>
      </w:r>
      <w:r w:rsidRPr="002C5E8B">
        <w:rPr>
          <w:rFonts w:ascii="Verdana" w:hAnsi="Verdana"/>
          <w:sz w:val="16"/>
          <w:szCs w:val="16"/>
          <w:lang w:val="es-CR"/>
        </w:rPr>
        <w:t>y</w:t>
      </w:r>
      <w:r w:rsidRPr="002C5E8B">
        <w:rPr>
          <w:rFonts w:ascii="Verdana" w:hAnsi="Verdana"/>
          <w:i/>
          <w:sz w:val="16"/>
          <w:szCs w:val="16"/>
          <w:lang w:val="es-CR"/>
        </w:rPr>
        <w:t xml:space="preserve"> Caso Vera Vera y otros Vs. Ecuador, supra </w:t>
      </w:r>
      <w:r w:rsidRPr="002C5E8B">
        <w:rPr>
          <w:rFonts w:ascii="Verdana" w:hAnsi="Verdana"/>
          <w:sz w:val="16"/>
          <w:szCs w:val="16"/>
          <w:lang w:val="es-CR"/>
        </w:rPr>
        <w:t>nota 12, párr. 106.</w:t>
      </w:r>
    </w:p>
    <w:p w:rsidR="00D93A8F" w:rsidRPr="00854CE8" w:rsidRDefault="00D93A8F" w:rsidP="00B36838">
      <w:pPr>
        <w:pStyle w:val="Textonotapie"/>
        <w:jc w:val="both"/>
        <w:rPr>
          <w:lang w:val="es-ES"/>
        </w:rPr>
      </w:pPr>
    </w:p>
  </w:footnote>
  <w:footnote w:id="103">
    <w:p w:rsidR="00D93A8F" w:rsidRPr="002C5E8B" w:rsidRDefault="00D93A8F" w:rsidP="00B36838">
      <w:pPr>
        <w:pStyle w:val="Textonotapie"/>
        <w:jc w:val="both"/>
        <w:rPr>
          <w:rFonts w:ascii="Verdana" w:hAnsi="Verdana"/>
          <w:sz w:val="16"/>
          <w:szCs w:val="16"/>
          <w:lang w:val="es-CR"/>
        </w:rPr>
      </w:pPr>
      <w:r w:rsidRPr="002C5E8B">
        <w:rPr>
          <w:rStyle w:val="Refdenotaalpie"/>
          <w:rFonts w:ascii="Verdana" w:hAnsi="Verdana"/>
          <w:sz w:val="16"/>
          <w:szCs w:val="16"/>
        </w:rPr>
        <w:footnoteRef/>
      </w:r>
      <w:r w:rsidRPr="002C5E8B">
        <w:rPr>
          <w:rFonts w:ascii="Verdana" w:hAnsi="Verdana"/>
          <w:sz w:val="16"/>
          <w:szCs w:val="16"/>
          <w:lang w:val="es-CR"/>
        </w:rPr>
        <w:t xml:space="preserve"> </w:t>
      </w:r>
      <w:r w:rsidRPr="002C5E8B">
        <w:rPr>
          <w:rFonts w:ascii="Verdana" w:hAnsi="Verdana"/>
          <w:sz w:val="16"/>
          <w:szCs w:val="16"/>
          <w:lang w:val="es-CR"/>
        </w:rPr>
        <w:tab/>
      </w:r>
      <w:r w:rsidRPr="002C5E8B">
        <w:rPr>
          <w:rFonts w:ascii="Verdana" w:hAnsi="Verdana" w:cs="Verdana"/>
          <w:i/>
          <w:iCs/>
          <w:sz w:val="16"/>
          <w:szCs w:val="16"/>
          <w:lang w:val="es-CR"/>
        </w:rPr>
        <w:t>Cfr</w:t>
      </w:r>
      <w:r w:rsidRPr="002C5E8B">
        <w:rPr>
          <w:rFonts w:ascii="Verdana" w:hAnsi="Verdana" w:cs="Verdana"/>
          <w:i/>
          <w:sz w:val="16"/>
          <w:szCs w:val="16"/>
          <w:lang w:val="es-CR"/>
        </w:rPr>
        <w:t xml:space="preserve">. </w:t>
      </w:r>
      <w:r w:rsidRPr="002C5E8B">
        <w:rPr>
          <w:rFonts w:ascii="Verdana" w:hAnsi="Verdana" w:cs="Verdana"/>
          <w:i/>
          <w:iCs/>
          <w:sz w:val="16"/>
          <w:szCs w:val="16"/>
          <w:lang w:val="es-CR"/>
        </w:rPr>
        <w:t>Caso Velásquez Rodríguez Vs. Honduras. Reparaciones y Costas</w:t>
      </w:r>
      <w:r w:rsidRPr="002C5E8B">
        <w:rPr>
          <w:rFonts w:ascii="Verdana" w:hAnsi="Verdana" w:cs="Verdana"/>
          <w:iCs/>
          <w:sz w:val="16"/>
          <w:szCs w:val="16"/>
          <w:lang w:val="es-CR"/>
        </w:rPr>
        <w:t xml:space="preserve">, </w:t>
      </w:r>
      <w:r w:rsidRPr="002C5E8B">
        <w:rPr>
          <w:rFonts w:ascii="Verdana" w:hAnsi="Verdana" w:cs="Verdana"/>
          <w:i/>
          <w:iCs/>
          <w:sz w:val="16"/>
          <w:szCs w:val="16"/>
          <w:lang w:val="es-CR"/>
        </w:rPr>
        <w:t>supra</w:t>
      </w:r>
      <w:r w:rsidRPr="002C5E8B">
        <w:rPr>
          <w:rFonts w:ascii="Verdana" w:hAnsi="Verdana" w:cs="Verdana"/>
          <w:iCs/>
          <w:sz w:val="16"/>
          <w:szCs w:val="16"/>
          <w:lang w:val="es-CR"/>
        </w:rPr>
        <w:t xml:space="preserve"> nota 77</w:t>
      </w:r>
      <w:r w:rsidRPr="002C5E8B">
        <w:rPr>
          <w:rFonts w:ascii="Verdana" w:hAnsi="Verdana" w:cs="Verdana"/>
          <w:sz w:val="16"/>
          <w:szCs w:val="16"/>
          <w:lang w:val="es-CR"/>
        </w:rPr>
        <w:t>, párr</w:t>
      </w:r>
      <w:r>
        <w:rPr>
          <w:rFonts w:ascii="Verdana" w:hAnsi="Verdana" w:cs="Verdana"/>
          <w:sz w:val="16"/>
          <w:szCs w:val="16"/>
          <w:lang w:val="es-CR"/>
        </w:rPr>
        <w:t>s</w:t>
      </w:r>
      <w:r w:rsidRPr="002C5E8B">
        <w:rPr>
          <w:rFonts w:ascii="Verdana" w:hAnsi="Verdana" w:cs="Verdana"/>
          <w:sz w:val="16"/>
          <w:szCs w:val="16"/>
          <w:lang w:val="es-CR"/>
        </w:rPr>
        <w:t>. 25 a</w:t>
      </w:r>
      <w:r>
        <w:rPr>
          <w:rFonts w:ascii="Verdana" w:hAnsi="Verdana" w:cs="Verdana"/>
          <w:sz w:val="16"/>
          <w:szCs w:val="16"/>
          <w:lang w:val="es-CR"/>
        </w:rPr>
        <w:t>l</w:t>
      </w:r>
      <w:r w:rsidRPr="002C5E8B">
        <w:rPr>
          <w:rFonts w:ascii="Verdana" w:hAnsi="Verdana" w:cs="Verdana"/>
          <w:sz w:val="16"/>
          <w:szCs w:val="16"/>
          <w:lang w:val="es-CR"/>
        </w:rPr>
        <w:t xml:space="preserve"> 27; </w:t>
      </w:r>
      <w:r w:rsidRPr="002C5E8B">
        <w:rPr>
          <w:rFonts w:ascii="Verdana" w:hAnsi="Verdana"/>
          <w:i/>
          <w:sz w:val="16"/>
          <w:szCs w:val="16"/>
          <w:lang w:val="es-CR"/>
        </w:rPr>
        <w:t>Caso Abrill Alosilla y otros Vs. Perú, supra</w:t>
      </w:r>
      <w:r w:rsidRPr="002C5E8B">
        <w:rPr>
          <w:rFonts w:ascii="Verdana" w:hAnsi="Verdana"/>
          <w:sz w:val="16"/>
          <w:szCs w:val="16"/>
          <w:lang w:val="es-CR"/>
        </w:rPr>
        <w:t xml:space="preserve"> nota 19, párr. 88,</w:t>
      </w:r>
      <w:r w:rsidRPr="002C5E8B">
        <w:rPr>
          <w:rFonts w:ascii="Verdana" w:hAnsi="Verdana"/>
          <w:i/>
          <w:sz w:val="16"/>
          <w:szCs w:val="16"/>
          <w:lang w:val="es-CR"/>
        </w:rPr>
        <w:t xml:space="preserve"> </w:t>
      </w:r>
      <w:r w:rsidRPr="002C5E8B">
        <w:rPr>
          <w:rFonts w:ascii="Verdana" w:hAnsi="Verdana"/>
          <w:sz w:val="16"/>
          <w:szCs w:val="16"/>
          <w:lang w:val="es-CR"/>
        </w:rPr>
        <w:t>y</w:t>
      </w:r>
      <w:r w:rsidRPr="002C5E8B">
        <w:rPr>
          <w:rFonts w:ascii="Verdana" w:hAnsi="Verdana"/>
          <w:i/>
          <w:sz w:val="16"/>
          <w:szCs w:val="16"/>
          <w:lang w:val="es-CR"/>
        </w:rPr>
        <w:t xml:space="preserve"> Caso Vera Vera y otros Vs. Ecuador, supra </w:t>
      </w:r>
      <w:r w:rsidRPr="002C5E8B">
        <w:rPr>
          <w:rFonts w:ascii="Verdana" w:hAnsi="Verdana"/>
          <w:sz w:val="16"/>
          <w:szCs w:val="16"/>
          <w:lang w:val="es-CR"/>
        </w:rPr>
        <w:t>nota 12, párr. 108.</w:t>
      </w:r>
    </w:p>
    <w:p w:rsidR="00D93A8F" w:rsidRPr="00854CE8" w:rsidRDefault="00D93A8F" w:rsidP="00B36838">
      <w:pPr>
        <w:pStyle w:val="Textonotapie"/>
        <w:jc w:val="both"/>
        <w:rPr>
          <w:lang w:val="es-ES"/>
        </w:rPr>
      </w:pPr>
    </w:p>
  </w:footnote>
  <w:footnote w:id="104">
    <w:p w:rsidR="00D93A8F" w:rsidRPr="0074711B" w:rsidRDefault="00D93A8F" w:rsidP="00B36838">
      <w:pPr>
        <w:jc w:val="both"/>
        <w:rPr>
          <w:rFonts w:ascii="Verdana" w:hAnsi="Verdana"/>
          <w:sz w:val="16"/>
          <w:szCs w:val="16"/>
          <w:lang w:val="es-ES_tradnl"/>
        </w:rPr>
      </w:pPr>
      <w:r w:rsidRPr="002C5E8B">
        <w:rPr>
          <w:rStyle w:val="Refdenotaalpie"/>
          <w:rFonts w:ascii="Verdana" w:hAnsi="Verdana"/>
          <w:sz w:val="16"/>
          <w:szCs w:val="16"/>
          <w:lang w:val="es-ES_tradnl"/>
        </w:rPr>
        <w:footnoteRef/>
      </w:r>
      <w:r w:rsidRPr="002C5E8B">
        <w:rPr>
          <w:rFonts w:ascii="Verdana" w:hAnsi="Verdana"/>
          <w:sz w:val="16"/>
          <w:szCs w:val="16"/>
          <w:lang w:val="es-ES_tradnl"/>
        </w:rPr>
        <w:t xml:space="preserve"> </w:t>
      </w:r>
      <w:r w:rsidRPr="002C5E8B">
        <w:rPr>
          <w:rFonts w:ascii="Verdana" w:hAnsi="Verdana"/>
          <w:sz w:val="16"/>
          <w:szCs w:val="16"/>
          <w:lang w:val="es-ES_tradnl"/>
        </w:rPr>
        <w:tab/>
      </w:r>
      <w:r w:rsidRPr="002C5E8B">
        <w:rPr>
          <w:rFonts w:ascii="Verdana" w:hAnsi="Verdana"/>
          <w:i/>
          <w:sz w:val="16"/>
          <w:szCs w:val="16"/>
          <w:lang w:val="es-ES_tradnl"/>
        </w:rPr>
        <w:t>Cfr. Caso del Tribunal Constitucional Vs. Perú</w:t>
      </w:r>
      <w:r w:rsidRPr="002C5E8B">
        <w:rPr>
          <w:rFonts w:ascii="Verdana" w:hAnsi="Verdana"/>
          <w:sz w:val="16"/>
          <w:szCs w:val="16"/>
          <w:lang w:val="es-ES_tradnl"/>
        </w:rPr>
        <w:t xml:space="preserve">. </w:t>
      </w:r>
      <w:r w:rsidRPr="002C5E8B">
        <w:rPr>
          <w:rFonts w:ascii="Verdana" w:hAnsi="Verdana"/>
          <w:i/>
          <w:sz w:val="16"/>
          <w:szCs w:val="16"/>
          <w:lang w:val="es-ES_tradnl"/>
        </w:rPr>
        <w:t>Reparaciones y Costas.</w:t>
      </w:r>
      <w:r w:rsidRPr="002C5E8B">
        <w:rPr>
          <w:rFonts w:ascii="Verdana" w:hAnsi="Verdana"/>
          <w:sz w:val="16"/>
          <w:szCs w:val="16"/>
          <w:lang w:val="es-ES_tradnl"/>
        </w:rPr>
        <w:t xml:space="preserve"> Sentencia de 31 de enero de 2001. Serie C No. 71, párr. 119;</w:t>
      </w:r>
      <w:r w:rsidRPr="002C5E8B">
        <w:rPr>
          <w:rFonts w:ascii="Verdana" w:hAnsi="Verdana"/>
          <w:sz w:val="16"/>
          <w:szCs w:val="16"/>
          <w:lang w:val="es-ES"/>
        </w:rPr>
        <w:t xml:space="preserve"> </w:t>
      </w:r>
      <w:r w:rsidRPr="002C5E8B">
        <w:rPr>
          <w:rFonts w:ascii="Verdana" w:hAnsi="Verdana"/>
          <w:i/>
          <w:sz w:val="16"/>
          <w:szCs w:val="16"/>
          <w:lang w:val="es-ES_tradnl"/>
        </w:rPr>
        <w:t>Caso Gonz</w:t>
      </w:r>
      <w:r w:rsidRPr="002C5E8B">
        <w:rPr>
          <w:rFonts w:ascii="Verdana" w:hAnsi="Verdana"/>
          <w:i/>
          <w:sz w:val="16"/>
          <w:szCs w:val="16"/>
          <w:lang w:val="es-ES"/>
        </w:rPr>
        <w:t>ález y Otras</w:t>
      </w:r>
      <w:r w:rsidRPr="002C5E8B">
        <w:rPr>
          <w:rFonts w:ascii="Verdana" w:hAnsi="Verdana"/>
          <w:i/>
          <w:sz w:val="16"/>
          <w:szCs w:val="16"/>
          <w:lang w:val="es-ES_tradnl"/>
        </w:rPr>
        <w:t xml:space="preserve"> (“Campo Algodonero”) Vs. México, supra </w:t>
      </w:r>
      <w:r w:rsidRPr="002C5E8B">
        <w:rPr>
          <w:rFonts w:ascii="Verdana" w:hAnsi="Verdana"/>
          <w:sz w:val="16"/>
          <w:szCs w:val="16"/>
          <w:lang w:val="es-ES_tradnl"/>
        </w:rPr>
        <w:t xml:space="preserve">nota 77, párr. 450, y </w:t>
      </w:r>
      <w:r w:rsidRPr="002C5E8B">
        <w:rPr>
          <w:rFonts w:ascii="Verdana" w:hAnsi="Verdana"/>
          <w:i/>
          <w:sz w:val="16"/>
          <w:szCs w:val="16"/>
          <w:lang w:val="es-ES"/>
        </w:rPr>
        <w:t>Caso  Barreto Leiva Vs. Venezuela</w:t>
      </w:r>
      <w:r w:rsidRPr="002C5E8B">
        <w:rPr>
          <w:rFonts w:ascii="Verdana" w:hAnsi="Verdana"/>
          <w:sz w:val="16"/>
          <w:szCs w:val="16"/>
          <w:lang w:val="es-ES"/>
        </w:rPr>
        <w:t xml:space="preserve">, </w:t>
      </w:r>
      <w:r w:rsidRPr="002C5E8B">
        <w:rPr>
          <w:rFonts w:ascii="Verdana" w:hAnsi="Verdana"/>
          <w:i/>
          <w:sz w:val="16"/>
          <w:szCs w:val="16"/>
          <w:lang w:val="es-ES"/>
        </w:rPr>
        <w:t>supra</w:t>
      </w:r>
      <w:r w:rsidRPr="002C5E8B">
        <w:rPr>
          <w:rFonts w:ascii="Verdana" w:hAnsi="Verdana"/>
          <w:sz w:val="16"/>
          <w:szCs w:val="16"/>
          <w:lang w:val="es-ES"/>
        </w:rPr>
        <w:t xml:space="preserve"> nota 77</w:t>
      </w:r>
      <w:r w:rsidRPr="002C5E8B">
        <w:rPr>
          <w:rFonts w:ascii="Verdana" w:hAnsi="Verdana"/>
          <w:sz w:val="16"/>
          <w:szCs w:val="16"/>
          <w:lang w:val="es-ES_tradnl"/>
        </w:rPr>
        <w:t>, párr. 128.</w:t>
      </w:r>
    </w:p>
    <w:p w:rsidR="00D93A8F" w:rsidRPr="00854CE8" w:rsidRDefault="00D93A8F" w:rsidP="00B36838">
      <w:pPr>
        <w:jc w:val="both"/>
        <w:rPr>
          <w:lang w:val="es-ES"/>
        </w:rPr>
      </w:pPr>
    </w:p>
  </w:footnote>
  <w:footnote w:id="105">
    <w:p w:rsidR="00D93A8F" w:rsidRPr="0074711B" w:rsidRDefault="00D93A8F" w:rsidP="00B36838">
      <w:pPr>
        <w:jc w:val="both"/>
        <w:rPr>
          <w:rFonts w:ascii="Verdana" w:hAnsi="Verdana"/>
          <w:iCs/>
          <w:sz w:val="16"/>
          <w:szCs w:val="16"/>
          <w:highlight w:val="yellow"/>
          <w:lang w:val="es-CR"/>
        </w:rPr>
      </w:pPr>
      <w:r w:rsidRPr="0074711B">
        <w:rPr>
          <w:rStyle w:val="Refdenotaalpie"/>
          <w:rFonts w:ascii="Verdana" w:hAnsi="Verdana"/>
          <w:sz w:val="16"/>
          <w:szCs w:val="16"/>
        </w:rPr>
        <w:footnoteRef/>
      </w:r>
      <w:r w:rsidRPr="0074711B">
        <w:rPr>
          <w:rFonts w:ascii="Verdana" w:hAnsi="Verdana"/>
          <w:sz w:val="16"/>
          <w:szCs w:val="16"/>
          <w:lang w:val="es-CR"/>
        </w:rPr>
        <w:t xml:space="preserve"> </w:t>
      </w:r>
      <w:r w:rsidRPr="0074711B">
        <w:rPr>
          <w:rFonts w:ascii="Verdana" w:hAnsi="Verdana"/>
          <w:sz w:val="16"/>
          <w:szCs w:val="16"/>
          <w:lang w:val="es-CR"/>
        </w:rPr>
        <w:tab/>
      </w:r>
      <w:r w:rsidRPr="0074711B">
        <w:rPr>
          <w:rFonts w:ascii="Verdana" w:hAnsi="Verdana"/>
          <w:i/>
          <w:iCs/>
          <w:sz w:val="16"/>
          <w:szCs w:val="16"/>
          <w:lang w:val="es-CR"/>
        </w:rPr>
        <w:t>Cfr.</w:t>
      </w:r>
      <w:r w:rsidRPr="0074711B">
        <w:rPr>
          <w:rFonts w:ascii="Verdana" w:hAnsi="Verdana"/>
          <w:b/>
          <w:caps/>
          <w:sz w:val="16"/>
          <w:szCs w:val="16"/>
          <w:lang w:val="es-ES"/>
        </w:rPr>
        <w:t xml:space="preserve"> </w:t>
      </w:r>
      <w:r w:rsidRPr="0074711B">
        <w:rPr>
          <w:rFonts w:ascii="Verdana" w:hAnsi="Verdana"/>
          <w:i/>
          <w:iCs/>
          <w:sz w:val="16"/>
          <w:szCs w:val="16"/>
          <w:lang w:val="es-CR"/>
        </w:rPr>
        <w:t>Caso</w:t>
      </w:r>
      <w:r w:rsidRPr="0074711B">
        <w:rPr>
          <w:rFonts w:ascii="Verdana" w:hAnsi="Verdana"/>
          <w:b/>
          <w:caps/>
          <w:sz w:val="16"/>
          <w:szCs w:val="16"/>
          <w:lang w:val="es-ES"/>
        </w:rPr>
        <w:t xml:space="preserve"> </w:t>
      </w:r>
      <w:r w:rsidRPr="0074711B">
        <w:rPr>
          <w:rFonts w:ascii="Verdana" w:hAnsi="Verdana"/>
          <w:i/>
          <w:iCs/>
          <w:sz w:val="16"/>
          <w:szCs w:val="16"/>
          <w:lang w:val="es-CR"/>
        </w:rPr>
        <w:t xml:space="preserve">Ticona Estrada y otros Vs. Bolivia. Fondo, Reparaciones y Costas. </w:t>
      </w:r>
      <w:r w:rsidRPr="0074711B">
        <w:rPr>
          <w:rFonts w:ascii="Verdana" w:hAnsi="Verdana"/>
          <w:iCs/>
          <w:sz w:val="16"/>
          <w:szCs w:val="16"/>
          <w:lang w:val="es-CR"/>
        </w:rPr>
        <w:t xml:space="preserve">Sentencia de 27 de noviembre de 2008. Serie C No. 191, párr 110; </w:t>
      </w:r>
      <w:r w:rsidRPr="0074711B">
        <w:rPr>
          <w:rFonts w:ascii="Verdana" w:hAnsi="Verdana"/>
          <w:i/>
          <w:sz w:val="16"/>
          <w:szCs w:val="16"/>
          <w:lang w:val="es-CR"/>
        </w:rPr>
        <w:t>Caso Abrill Alosilla y otros Vs. Perú, supra</w:t>
      </w:r>
      <w:r w:rsidRPr="0074711B">
        <w:rPr>
          <w:rFonts w:ascii="Verdana" w:hAnsi="Verdana"/>
          <w:sz w:val="16"/>
          <w:szCs w:val="16"/>
          <w:lang w:val="es-CR"/>
        </w:rPr>
        <w:t xml:space="preserve"> nota </w:t>
      </w:r>
      <w:r>
        <w:rPr>
          <w:rFonts w:ascii="Verdana" w:hAnsi="Verdana"/>
          <w:sz w:val="16"/>
          <w:szCs w:val="16"/>
          <w:lang w:val="es-CR"/>
        </w:rPr>
        <w:t>19</w:t>
      </w:r>
      <w:r w:rsidRPr="0074711B">
        <w:rPr>
          <w:rFonts w:ascii="Verdana" w:hAnsi="Verdana"/>
          <w:sz w:val="16"/>
          <w:szCs w:val="16"/>
          <w:lang w:val="es-CR"/>
        </w:rPr>
        <w:t xml:space="preserve">, párr. 87, y </w:t>
      </w:r>
      <w:r w:rsidRPr="0074711B">
        <w:rPr>
          <w:rFonts w:ascii="Verdana" w:hAnsi="Verdana"/>
          <w:i/>
          <w:sz w:val="16"/>
          <w:szCs w:val="16"/>
          <w:lang w:val="es-CR"/>
        </w:rPr>
        <w:t xml:space="preserve">Caso Vera Vera y otros Vs. Ecuador, supra </w:t>
      </w:r>
      <w:r w:rsidRPr="0074711B">
        <w:rPr>
          <w:rFonts w:ascii="Verdana" w:hAnsi="Verdana"/>
          <w:sz w:val="16"/>
          <w:szCs w:val="16"/>
          <w:lang w:val="es-CR"/>
        </w:rPr>
        <w:t>nota 1</w:t>
      </w:r>
      <w:r>
        <w:rPr>
          <w:rFonts w:ascii="Verdana" w:hAnsi="Verdana"/>
          <w:sz w:val="16"/>
          <w:szCs w:val="16"/>
          <w:lang w:val="es-CR"/>
        </w:rPr>
        <w:t>2</w:t>
      </w:r>
      <w:r w:rsidRPr="0074711B">
        <w:rPr>
          <w:rFonts w:ascii="Verdana" w:hAnsi="Verdana"/>
          <w:sz w:val="16"/>
          <w:szCs w:val="16"/>
          <w:lang w:val="es-CR"/>
        </w:rPr>
        <w:t>, párr. 107.</w:t>
      </w:r>
    </w:p>
    <w:p w:rsidR="00D93A8F" w:rsidRPr="00854CE8" w:rsidRDefault="00D93A8F" w:rsidP="00B36838">
      <w:pPr>
        <w:jc w:val="both"/>
        <w:rPr>
          <w:lang w:val="es-ES"/>
        </w:rPr>
      </w:pPr>
    </w:p>
  </w:footnote>
  <w:footnote w:id="106">
    <w:p w:rsidR="00D93A8F" w:rsidRPr="00854CE8" w:rsidRDefault="00D93A8F" w:rsidP="00B36838">
      <w:pPr>
        <w:autoSpaceDE w:val="0"/>
        <w:autoSpaceDN w:val="0"/>
        <w:adjustRightInd w:val="0"/>
        <w:spacing w:before="120" w:after="120"/>
        <w:jc w:val="both"/>
        <w:rPr>
          <w:lang w:val="es-ES"/>
        </w:rPr>
      </w:pPr>
      <w:r w:rsidRPr="002C5E8B">
        <w:rPr>
          <w:rStyle w:val="Refdenotaalpie"/>
          <w:rFonts w:ascii="Verdana" w:hAnsi="Verdana"/>
          <w:sz w:val="16"/>
          <w:szCs w:val="16"/>
        </w:rPr>
        <w:footnoteRef/>
      </w:r>
      <w:r w:rsidRPr="002C5E8B">
        <w:rPr>
          <w:rFonts w:ascii="Verdana" w:hAnsi="Verdana"/>
          <w:sz w:val="16"/>
          <w:szCs w:val="16"/>
          <w:lang w:val="es-CR"/>
        </w:rPr>
        <w:t xml:space="preserve"> </w:t>
      </w:r>
      <w:r w:rsidRPr="002C5E8B">
        <w:rPr>
          <w:rFonts w:ascii="Verdana" w:hAnsi="Verdana"/>
          <w:sz w:val="16"/>
          <w:szCs w:val="16"/>
          <w:lang w:val="es-CR"/>
        </w:rPr>
        <w:tab/>
      </w:r>
      <w:r w:rsidRPr="002C5E8B">
        <w:rPr>
          <w:rFonts w:ascii="Verdana" w:hAnsi="Verdana"/>
          <w:i/>
          <w:iCs/>
          <w:sz w:val="16"/>
          <w:szCs w:val="16"/>
          <w:lang w:val="es-CR"/>
        </w:rPr>
        <w:t xml:space="preserve">Cfr. </w:t>
      </w:r>
      <w:r w:rsidRPr="002C5E8B">
        <w:rPr>
          <w:rFonts w:ascii="Verdana" w:hAnsi="Verdana"/>
          <w:sz w:val="16"/>
          <w:szCs w:val="16"/>
          <w:lang w:val="es-ES"/>
        </w:rPr>
        <w:t xml:space="preserve"> </w:t>
      </w:r>
      <w:r w:rsidRPr="002C5E8B">
        <w:rPr>
          <w:rFonts w:ascii="Verdana" w:hAnsi="Verdana"/>
          <w:i/>
          <w:iCs/>
          <w:sz w:val="16"/>
          <w:szCs w:val="16"/>
          <w:lang w:val="es-CR"/>
        </w:rPr>
        <w:t xml:space="preserve">Caso Bayarri Vs. Argentina. Excepción Preliminar, Fondo, Reparaciones y Costas. </w:t>
      </w:r>
      <w:r w:rsidRPr="002C5E8B">
        <w:rPr>
          <w:rFonts w:ascii="Verdana" w:hAnsi="Verdana"/>
          <w:iCs/>
          <w:sz w:val="16"/>
          <w:szCs w:val="16"/>
          <w:lang w:val="es-CR"/>
        </w:rPr>
        <w:t xml:space="preserve">Sentencia de 30 de octubre de 2008. Serie C No. 187, párr. 126; </w:t>
      </w:r>
      <w:r w:rsidRPr="002C5E8B">
        <w:rPr>
          <w:rFonts w:ascii="Verdana" w:hAnsi="Verdana"/>
          <w:i/>
          <w:sz w:val="16"/>
          <w:szCs w:val="16"/>
          <w:lang w:val="es-CR"/>
        </w:rPr>
        <w:t>Caso Abrill Alosilla y otros Vs. Perú, supra</w:t>
      </w:r>
      <w:r w:rsidRPr="002C5E8B">
        <w:rPr>
          <w:rFonts w:ascii="Verdana" w:hAnsi="Verdana"/>
          <w:sz w:val="16"/>
          <w:szCs w:val="16"/>
          <w:lang w:val="es-CR"/>
        </w:rPr>
        <w:t xml:space="preserve"> nota 19, párr. 89, y </w:t>
      </w:r>
      <w:r w:rsidRPr="002C5E8B">
        <w:rPr>
          <w:rFonts w:ascii="Verdana" w:hAnsi="Verdana"/>
          <w:i/>
          <w:sz w:val="16"/>
          <w:szCs w:val="16"/>
          <w:lang w:val="es-CR"/>
        </w:rPr>
        <w:t xml:space="preserve">Caso Vera Vera y otros Vs. Ecuador, supra </w:t>
      </w:r>
      <w:r w:rsidRPr="002C5E8B">
        <w:rPr>
          <w:rFonts w:ascii="Verdana" w:hAnsi="Verdana"/>
          <w:sz w:val="16"/>
          <w:szCs w:val="16"/>
          <w:lang w:val="es-CR"/>
        </w:rPr>
        <w:t>nota 12, párr. 109.</w:t>
      </w:r>
    </w:p>
  </w:footnote>
  <w:footnote w:id="107">
    <w:p w:rsidR="00D93A8F" w:rsidRPr="002C5E8B" w:rsidRDefault="00D93A8F" w:rsidP="00B36838">
      <w:pPr>
        <w:jc w:val="both"/>
        <w:rPr>
          <w:rFonts w:ascii="Verdana" w:hAnsi="Verdana" w:cs="Verdana"/>
          <w:b/>
          <w:bCs/>
          <w:iCs/>
          <w:sz w:val="16"/>
          <w:szCs w:val="16"/>
          <w:lang w:val="es-MX"/>
        </w:rPr>
      </w:pPr>
      <w:r w:rsidRPr="002C5E8B">
        <w:rPr>
          <w:rStyle w:val="Refdenotaalpie"/>
          <w:rFonts w:ascii="Verdana" w:hAnsi="Verdana"/>
          <w:sz w:val="16"/>
          <w:szCs w:val="16"/>
        </w:rPr>
        <w:footnoteRef/>
      </w:r>
      <w:r w:rsidRPr="002C5E8B">
        <w:rPr>
          <w:rFonts w:ascii="Verdana" w:hAnsi="Verdana"/>
          <w:b/>
          <w:sz w:val="16"/>
          <w:szCs w:val="16"/>
          <w:lang w:val="es-CR"/>
        </w:rPr>
        <w:t xml:space="preserve"> </w:t>
      </w:r>
      <w:r w:rsidRPr="002C5E8B">
        <w:rPr>
          <w:rFonts w:ascii="Verdana" w:hAnsi="Verdana"/>
          <w:sz w:val="16"/>
          <w:szCs w:val="16"/>
          <w:lang w:val="es-CR"/>
        </w:rPr>
        <w:tab/>
      </w:r>
      <w:r w:rsidRPr="002C5E8B">
        <w:rPr>
          <w:rFonts w:ascii="Verdana" w:hAnsi="Verdana"/>
          <w:i/>
          <w:iCs/>
          <w:sz w:val="16"/>
          <w:szCs w:val="16"/>
          <w:lang w:val="es-CR"/>
        </w:rPr>
        <w:t xml:space="preserve">Cfr. Caso de las Masacres de Ituango Vs. Colombia. Excepciones Preliminares, Fondo, Reparaciones y Costas. </w:t>
      </w:r>
      <w:r w:rsidRPr="002C5E8B">
        <w:rPr>
          <w:rFonts w:ascii="Verdana" w:hAnsi="Verdana"/>
          <w:iCs/>
          <w:sz w:val="16"/>
          <w:szCs w:val="16"/>
          <w:lang w:val="es-CR"/>
        </w:rPr>
        <w:t>Sentencia de 1 de julio de  2006.</w:t>
      </w:r>
      <w:r w:rsidRPr="002C5E8B">
        <w:rPr>
          <w:rFonts w:ascii="Verdana" w:hAnsi="Verdana"/>
          <w:i/>
          <w:iCs/>
          <w:sz w:val="16"/>
          <w:szCs w:val="16"/>
          <w:lang w:val="es-CR"/>
        </w:rPr>
        <w:t xml:space="preserve"> </w:t>
      </w:r>
      <w:r w:rsidRPr="002C5E8B">
        <w:rPr>
          <w:rFonts w:ascii="Verdana" w:hAnsi="Verdana"/>
          <w:iCs/>
          <w:sz w:val="16"/>
          <w:szCs w:val="16"/>
          <w:lang w:val="es-CR"/>
        </w:rPr>
        <w:t xml:space="preserve">Serie C No. 148, párr 98; </w:t>
      </w:r>
      <w:r w:rsidRPr="002C5E8B">
        <w:rPr>
          <w:rFonts w:ascii="Verdana" w:hAnsi="Verdana"/>
          <w:i/>
          <w:iCs/>
          <w:sz w:val="16"/>
          <w:szCs w:val="16"/>
          <w:lang w:val="es-CR"/>
        </w:rPr>
        <w:t>Caso Gomes Lund y otros Vs. Brasil</w:t>
      </w:r>
      <w:r w:rsidRPr="002C5E8B">
        <w:rPr>
          <w:rFonts w:ascii="Verdana" w:hAnsi="Verdana"/>
          <w:iCs/>
          <w:sz w:val="16"/>
          <w:szCs w:val="16"/>
          <w:lang w:val="es-CR"/>
        </w:rPr>
        <w:t xml:space="preserve">, </w:t>
      </w:r>
      <w:r w:rsidRPr="002C5E8B">
        <w:rPr>
          <w:rFonts w:ascii="Verdana" w:hAnsi="Verdana"/>
          <w:i/>
          <w:iCs/>
          <w:sz w:val="16"/>
          <w:szCs w:val="16"/>
          <w:lang w:val="es-CR"/>
        </w:rPr>
        <w:t xml:space="preserve">supra </w:t>
      </w:r>
      <w:r w:rsidRPr="002C5E8B">
        <w:rPr>
          <w:rFonts w:ascii="Verdana" w:hAnsi="Verdana"/>
          <w:iCs/>
          <w:sz w:val="16"/>
          <w:szCs w:val="16"/>
          <w:lang w:val="es-CR"/>
        </w:rPr>
        <w:t xml:space="preserve">nota 9, párr. 78, </w:t>
      </w:r>
      <w:r w:rsidRPr="002C5E8B">
        <w:rPr>
          <w:rFonts w:ascii="Verdana" w:hAnsi="Verdana"/>
          <w:sz w:val="16"/>
          <w:szCs w:val="16"/>
          <w:lang w:val="es-CR"/>
        </w:rPr>
        <w:t xml:space="preserve">y </w:t>
      </w:r>
      <w:r w:rsidRPr="002C5E8B">
        <w:rPr>
          <w:rFonts w:ascii="Verdana" w:hAnsi="Verdana"/>
          <w:i/>
          <w:sz w:val="16"/>
          <w:szCs w:val="16"/>
          <w:lang w:val="es-CR"/>
        </w:rPr>
        <w:t xml:space="preserve">Caso Vera Vera y otros Vs. Ecuador, supra </w:t>
      </w:r>
      <w:r w:rsidRPr="002C5E8B">
        <w:rPr>
          <w:rFonts w:ascii="Verdana" w:hAnsi="Verdana"/>
          <w:sz w:val="16"/>
          <w:szCs w:val="16"/>
          <w:lang w:val="es-CR"/>
        </w:rPr>
        <w:t>nota 12, párr. 28.</w:t>
      </w:r>
    </w:p>
    <w:p w:rsidR="00D93A8F" w:rsidRPr="002513AB" w:rsidRDefault="00D93A8F" w:rsidP="00B36838">
      <w:pPr>
        <w:jc w:val="both"/>
        <w:rPr>
          <w:lang w:val="es-ES"/>
        </w:rPr>
      </w:pPr>
    </w:p>
  </w:footnote>
  <w:footnote w:id="108">
    <w:p w:rsidR="00D93A8F" w:rsidRPr="0074711B" w:rsidRDefault="00D93A8F" w:rsidP="00B36838">
      <w:pPr>
        <w:jc w:val="both"/>
        <w:rPr>
          <w:rFonts w:ascii="Verdana" w:hAnsi="Verdana"/>
          <w:sz w:val="16"/>
          <w:szCs w:val="16"/>
          <w:lang w:val="es-CR"/>
        </w:rPr>
      </w:pPr>
      <w:r w:rsidRPr="002C5E8B">
        <w:rPr>
          <w:rStyle w:val="Refdenotaalpie"/>
          <w:rFonts w:ascii="Verdana" w:hAnsi="Verdana"/>
          <w:sz w:val="16"/>
          <w:szCs w:val="16"/>
        </w:rPr>
        <w:footnoteRef/>
      </w:r>
      <w:r w:rsidRPr="002C5E8B">
        <w:rPr>
          <w:rFonts w:ascii="Verdana" w:hAnsi="Verdana"/>
          <w:sz w:val="16"/>
          <w:szCs w:val="16"/>
          <w:lang w:val="es-CR"/>
        </w:rPr>
        <w:t xml:space="preserve"> </w:t>
      </w:r>
      <w:r w:rsidRPr="002C5E8B">
        <w:rPr>
          <w:rFonts w:ascii="Verdana" w:hAnsi="Verdana"/>
          <w:sz w:val="16"/>
          <w:szCs w:val="16"/>
          <w:lang w:val="es-CR"/>
        </w:rPr>
        <w:tab/>
      </w:r>
      <w:r w:rsidRPr="002C5E8B">
        <w:rPr>
          <w:rFonts w:ascii="Verdana" w:hAnsi="Verdana"/>
          <w:i/>
          <w:sz w:val="16"/>
          <w:szCs w:val="16"/>
          <w:lang w:val="es-CR"/>
        </w:rPr>
        <w:t>Cfr. Caso de los “Niños de la Calle” (Villagrán Morales y otros) Vs. Guatemala</w:t>
      </w:r>
      <w:r w:rsidRPr="002C5E8B">
        <w:rPr>
          <w:rFonts w:ascii="Verdana" w:hAnsi="Verdana"/>
          <w:i/>
          <w:sz w:val="16"/>
          <w:szCs w:val="16"/>
          <w:lang w:val="es-CR"/>
        </w:rPr>
        <w:softHyphen/>
      </w:r>
      <w:r w:rsidRPr="002C5E8B">
        <w:rPr>
          <w:rFonts w:ascii="Verdana" w:hAnsi="Verdana"/>
          <w:i/>
          <w:sz w:val="16"/>
          <w:szCs w:val="16"/>
          <w:lang w:val="es-CR"/>
        </w:rPr>
        <w:softHyphen/>
      </w:r>
      <w:r w:rsidRPr="002C5E8B">
        <w:rPr>
          <w:rFonts w:ascii="Verdana" w:hAnsi="Verdana"/>
          <w:i/>
          <w:sz w:val="16"/>
          <w:szCs w:val="16"/>
          <w:lang w:val="es-CR"/>
        </w:rPr>
        <w:softHyphen/>
        <w:t xml:space="preserve">. Reparaciones y Costas, </w:t>
      </w:r>
      <w:r w:rsidRPr="002C5E8B">
        <w:rPr>
          <w:rFonts w:ascii="Verdana" w:hAnsi="Verdana" w:cs="Verdana-Bold"/>
          <w:bCs/>
          <w:i/>
          <w:sz w:val="16"/>
          <w:szCs w:val="16"/>
          <w:lang w:val="es-CR"/>
        </w:rPr>
        <w:t>supra</w:t>
      </w:r>
      <w:r w:rsidRPr="002C5E8B">
        <w:rPr>
          <w:rFonts w:ascii="Verdana" w:hAnsi="Verdana" w:cs="Verdana-Bold"/>
          <w:bCs/>
          <w:sz w:val="16"/>
          <w:szCs w:val="16"/>
          <w:lang w:val="es-CR"/>
        </w:rPr>
        <w:t xml:space="preserve"> nota 99,</w:t>
      </w:r>
      <w:r w:rsidRPr="002C5E8B">
        <w:rPr>
          <w:rFonts w:ascii="Verdana" w:hAnsi="Verdana"/>
          <w:sz w:val="16"/>
          <w:szCs w:val="16"/>
          <w:lang w:val="es-CR"/>
        </w:rPr>
        <w:t xml:space="preserve"> párr. 84; </w:t>
      </w:r>
      <w:r w:rsidRPr="002C5E8B">
        <w:rPr>
          <w:rFonts w:ascii="Verdana" w:hAnsi="Verdana"/>
          <w:i/>
          <w:sz w:val="16"/>
          <w:szCs w:val="16"/>
          <w:lang w:val="es-CR"/>
        </w:rPr>
        <w:t>Caso de</w:t>
      </w:r>
      <w:r w:rsidRPr="002C5E8B" w:rsidDel="00480C15">
        <w:rPr>
          <w:rFonts w:ascii="Verdana" w:hAnsi="Verdana"/>
          <w:sz w:val="16"/>
          <w:szCs w:val="16"/>
          <w:lang w:val="es-CR"/>
        </w:rPr>
        <w:t xml:space="preserve"> </w:t>
      </w:r>
      <w:r w:rsidRPr="002C5E8B">
        <w:rPr>
          <w:rFonts w:ascii="Verdana" w:hAnsi="Verdana"/>
          <w:i/>
          <w:sz w:val="16"/>
          <w:szCs w:val="16"/>
          <w:lang w:val="es-CR"/>
        </w:rPr>
        <w:t>Salvador Chiriboga Vs. Ecuador. Reparaciones y Costas, supra</w:t>
      </w:r>
      <w:r w:rsidRPr="002C5E8B">
        <w:rPr>
          <w:rFonts w:ascii="Verdana" w:hAnsi="Verdana"/>
          <w:sz w:val="16"/>
          <w:szCs w:val="16"/>
          <w:lang w:val="es-CR"/>
        </w:rPr>
        <w:t xml:space="preserve"> nota 98, párr. 125</w:t>
      </w:r>
      <w:r w:rsidRPr="002C5E8B">
        <w:rPr>
          <w:rFonts w:ascii="Verdana" w:hAnsi="Verdana"/>
          <w:sz w:val="16"/>
          <w:szCs w:val="16"/>
          <w:lang w:val="es-ES"/>
        </w:rPr>
        <w:t xml:space="preserve">, </w:t>
      </w:r>
      <w:r w:rsidRPr="002C5E8B">
        <w:rPr>
          <w:rFonts w:ascii="Verdana" w:hAnsi="Verdana"/>
          <w:sz w:val="16"/>
          <w:szCs w:val="16"/>
          <w:lang w:val="es-CR"/>
        </w:rPr>
        <w:t xml:space="preserve">y </w:t>
      </w:r>
      <w:r w:rsidRPr="002C5E8B">
        <w:rPr>
          <w:rFonts w:ascii="Verdana" w:hAnsi="Verdana"/>
          <w:i/>
          <w:sz w:val="16"/>
          <w:szCs w:val="16"/>
          <w:lang w:val="es-CR"/>
        </w:rPr>
        <w:t xml:space="preserve">Caso Vera Vera y otros Vs. Ecuador, supra </w:t>
      </w:r>
      <w:r w:rsidRPr="002C5E8B">
        <w:rPr>
          <w:rFonts w:ascii="Verdana" w:hAnsi="Verdana"/>
          <w:sz w:val="16"/>
          <w:szCs w:val="16"/>
          <w:lang w:val="es-CR"/>
        </w:rPr>
        <w:t>nota 12, párr. 106.</w:t>
      </w:r>
    </w:p>
    <w:p w:rsidR="00D93A8F" w:rsidRPr="00854CE8" w:rsidRDefault="00D93A8F" w:rsidP="00B36838">
      <w:pPr>
        <w:jc w:val="both"/>
        <w:rPr>
          <w:lang w:val="es-ES"/>
        </w:rPr>
      </w:pPr>
    </w:p>
  </w:footnote>
  <w:footnote w:id="109">
    <w:p w:rsidR="00D93A8F" w:rsidRPr="0074711B" w:rsidRDefault="00D93A8F" w:rsidP="00B36838">
      <w:pPr>
        <w:jc w:val="both"/>
        <w:rPr>
          <w:rFonts w:ascii="Verdana" w:hAnsi="Verdana" w:cs="Verdana"/>
          <w:b/>
          <w:bCs/>
          <w:iCs/>
          <w:sz w:val="16"/>
          <w:szCs w:val="16"/>
          <w:lang w:val="es-MX"/>
        </w:rPr>
      </w:pPr>
      <w:r w:rsidRPr="0074711B">
        <w:rPr>
          <w:rStyle w:val="Refdenotaalpie"/>
          <w:rFonts w:ascii="Verdana" w:hAnsi="Verdana"/>
          <w:sz w:val="16"/>
          <w:szCs w:val="16"/>
        </w:rPr>
        <w:footnoteRef/>
      </w:r>
      <w:r w:rsidRPr="0074711B">
        <w:rPr>
          <w:rFonts w:ascii="Verdana" w:hAnsi="Verdana"/>
          <w:sz w:val="16"/>
          <w:szCs w:val="16"/>
          <w:lang w:val="es-CR"/>
        </w:rPr>
        <w:t xml:space="preserve"> </w:t>
      </w:r>
      <w:r w:rsidRPr="0074711B">
        <w:rPr>
          <w:rFonts w:ascii="Verdana" w:hAnsi="Verdana"/>
          <w:sz w:val="16"/>
          <w:szCs w:val="16"/>
          <w:lang w:val="es-CR"/>
        </w:rPr>
        <w:tab/>
      </w:r>
      <w:r w:rsidRPr="0074711B">
        <w:rPr>
          <w:rFonts w:ascii="Verdana" w:hAnsi="Verdana"/>
          <w:i/>
          <w:iCs/>
          <w:sz w:val="16"/>
          <w:szCs w:val="16"/>
          <w:lang w:val="es-CR"/>
        </w:rPr>
        <w:t>Cfr. Caso Neira Alegría y otros Vs. Perú</w:t>
      </w:r>
      <w:r w:rsidRPr="0074711B">
        <w:rPr>
          <w:rFonts w:ascii="Verdana" w:hAnsi="Verdana"/>
          <w:i/>
          <w:sz w:val="16"/>
          <w:szCs w:val="16"/>
          <w:lang w:val="es-CR"/>
        </w:rPr>
        <w:t>.</w:t>
      </w:r>
      <w:r w:rsidRPr="0074711B">
        <w:rPr>
          <w:rFonts w:ascii="Verdana" w:hAnsi="Verdana"/>
          <w:sz w:val="16"/>
          <w:szCs w:val="16"/>
          <w:lang w:val="es-CR"/>
        </w:rPr>
        <w:t xml:space="preserve"> </w:t>
      </w:r>
      <w:r w:rsidRPr="0074711B">
        <w:rPr>
          <w:rFonts w:ascii="Verdana" w:hAnsi="Verdana"/>
          <w:i/>
          <w:sz w:val="16"/>
          <w:szCs w:val="16"/>
          <w:lang w:val="es-CR"/>
        </w:rPr>
        <w:t>Reparaciones y Costas</w:t>
      </w:r>
      <w:r>
        <w:rPr>
          <w:rFonts w:ascii="Verdana" w:hAnsi="Verdana"/>
          <w:sz w:val="16"/>
          <w:szCs w:val="16"/>
          <w:lang w:val="es-CR"/>
        </w:rPr>
        <w:t>.</w:t>
      </w:r>
      <w:r w:rsidRPr="0074711B">
        <w:rPr>
          <w:rFonts w:ascii="Verdana" w:hAnsi="Verdana"/>
          <w:sz w:val="16"/>
          <w:szCs w:val="16"/>
          <w:lang w:val="es-CR"/>
        </w:rPr>
        <w:t xml:space="preserve"> Sentencia de 19 de septiembre de 1996. Serie C No. 29, párr. 56; </w:t>
      </w:r>
      <w:r w:rsidRPr="0074711B">
        <w:rPr>
          <w:rFonts w:ascii="Verdana" w:hAnsi="Verdana"/>
          <w:i/>
          <w:sz w:val="16"/>
          <w:szCs w:val="16"/>
          <w:lang w:val="es-CR"/>
        </w:rPr>
        <w:t>Caso Abrill Alosilla y otros Vs. Perú, supra</w:t>
      </w:r>
      <w:r w:rsidRPr="0074711B">
        <w:rPr>
          <w:rFonts w:ascii="Verdana" w:hAnsi="Verdana"/>
          <w:sz w:val="16"/>
          <w:szCs w:val="16"/>
          <w:lang w:val="es-CR"/>
        </w:rPr>
        <w:t xml:space="preserve"> nota </w:t>
      </w:r>
      <w:r>
        <w:rPr>
          <w:rFonts w:ascii="Verdana" w:hAnsi="Verdana"/>
          <w:sz w:val="16"/>
          <w:szCs w:val="16"/>
          <w:lang w:val="es-CR"/>
        </w:rPr>
        <w:t>19</w:t>
      </w:r>
      <w:r w:rsidRPr="0074711B">
        <w:rPr>
          <w:rFonts w:ascii="Verdana" w:hAnsi="Verdana"/>
          <w:sz w:val="16"/>
          <w:szCs w:val="16"/>
          <w:lang w:val="es-CR"/>
        </w:rPr>
        <w:t xml:space="preserve">, párr. 132, y </w:t>
      </w:r>
      <w:r w:rsidRPr="0074711B">
        <w:rPr>
          <w:rFonts w:ascii="Verdana" w:hAnsi="Verdana"/>
          <w:i/>
          <w:sz w:val="16"/>
          <w:szCs w:val="16"/>
          <w:lang w:val="es-CR"/>
        </w:rPr>
        <w:t xml:space="preserve">Caso Vera Vera y otros Vs. Ecuador, supra </w:t>
      </w:r>
      <w:r w:rsidRPr="0074711B">
        <w:rPr>
          <w:rFonts w:ascii="Verdana" w:hAnsi="Verdana"/>
          <w:sz w:val="16"/>
          <w:szCs w:val="16"/>
          <w:lang w:val="es-CR"/>
        </w:rPr>
        <w:t>nota 1</w:t>
      </w:r>
      <w:r>
        <w:rPr>
          <w:rFonts w:ascii="Verdana" w:hAnsi="Verdana"/>
          <w:sz w:val="16"/>
          <w:szCs w:val="16"/>
          <w:lang w:val="es-CR"/>
        </w:rPr>
        <w:t>2</w:t>
      </w:r>
      <w:r w:rsidRPr="0074711B">
        <w:rPr>
          <w:rFonts w:ascii="Verdana" w:hAnsi="Verdana"/>
          <w:sz w:val="16"/>
          <w:szCs w:val="16"/>
          <w:lang w:val="es-CR"/>
        </w:rPr>
        <w:t>, párr. 135.</w:t>
      </w:r>
    </w:p>
    <w:p w:rsidR="00D93A8F" w:rsidRPr="00854CE8" w:rsidRDefault="00D93A8F" w:rsidP="00B36838">
      <w:pPr>
        <w:jc w:val="both"/>
        <w:rPr>
          <w:lang w:val="es-ES"/>
        </w:rPr>
      </w:pPr>
    </w:p>
  </w:footnote>
  <w:footnote w:id="110">
    <w:p w:rsidR="00D93A8F" w:rsidRPr="0074711B" w:rsidRDefault="00D93A8F" w:rsidP="00B36838">
      <w:pPr>
        <w:jc w:val="both"/>
        <w:rPr>
          <w:rFonts w:ascii="Verdana" w:hAnsi="Verdana"/>
          <w:sz w:val="16"/>
          <w:szCs w:val="16"/>
          <w:lang w:val="es-CR"/>
        </w:rPr>
      </w:pPr>
      <w:r w:rsidRPr="0074711B">
        <w:rPr>
          <w:rStyle w:val="Refdenotaalpie"/>
          <w:rFonts w:ascii="Verdana" w:hAnsi="Verdana"/>
          <w:sz w:val="16"/>
          <w:szCs w:val="16"/>
        </w:rPr>
        <w:footnoteRef/>
      </w:r>
      <w:r w:rsidRPr="0074711B">
        <w:rPr>
          <w:rFonts w:ascii="Verdana" w:hAnsi="Verdana"/>
          <w:sz w:val="16"/>
          <w:szCs w:val="16"/>
          <w:lang w:val="es-CR"/>
        </w:rPr>
        <w:t xml:space="preserve"> </w:t>
      </w:r>
      <w:r w:rsidRPr="0074711B">
        <w:rPr>
          <w:rFonts w:ascii="Verdana" w:hAnsi="Verdana"/>
          <w:sz w:val="16"/>
          <w:szCs w:val="16"/>
          <w:lang w:val="es-CR"/>
        </w:rPr>
        <w:tab/>
      </w:r>
      <w:r w:rsidRPr="0074711B">
        <w:rPr>
          <w:rFonts w:ascii="Verdana" w:hAnsi="Verdana"/>
          <w:i/>
          <w:iCs/>
          <w:sz w:val="16"/>
          <w:szCs w:val="16"/>
          <w:lang w:val="es-CR"/>
        </w:rPr>
        <w:t xml:space="preserve">Cfr. Caso Barrios Altos Vs. Perú. </w:t>
      </w:r>
      <w:r w:rsidRPr="00952B7E">
        <w:rPr>
          <w:rFonts w:ascii="Verdana" w:hAnsi="Verdana"/>
          <w:i/>
          <w:iCs/>
          <w:sz w:val="16"/>
          <w:szCs w:val="16"/>
          <w:lang w:val="es-CR"/>
        </w:rPr>
        <w:t>Reparaciones y Costas</w:t>
      </w:r>
      <w:r w:rsidRPr="00952B7E">
        <w:rPr>
          <w:rFonts w:ascii="Verdana" w:hAnsi="Verdana"/>
          <w:i/>
          <w:sz w:val="16"/>
          <w:szCs w:val="16"/>
          <w:lang w:val="es-CR"/>
        </w:rPr>
        <w:t>.</w:t>
      </w:r>
      <w:r w:rsidRPr="0074711B">
        <w:rPr>
          <w:rFonts w:ascii="Verdana" w:hAnsi="Verdana"/>
          <w:sz w:val="16"/>
          <w:szCs w:val="16"/>
          <w:lang w:val="es-CR"/>
        </w:rPr>
        <w:t xml:space="preserve"> Sentencia de 30 de noviembre de 2001. Serie C No. 87, Punto Resolutivo 5</w:t>
      </w:r>
      <w:r>
        <w:rPr>
          <w:rFonts w:ascii="Verdana" w:hAnsi="Verdana"/>
          <w:sz w:val="16"/>
          <w:szCs w:val="16"/>
          <w:lang w:val="es-CR"/>
        </w:rPr>
        <w:t>.</w:t>
      </w:r>
      <w:r w:rsidRPr="0074711B">
        <w:rPr>
          <w:rFonts w:ascii="Verdana" w:hAnsi="Verdana"/>
          <w:sz w:val="16"/>
          <w:szCs w:val="16"/>
          <w:lang w:val="es-CR"/>
        </w:rPr>
        <w:t xml:space="preserve">d); </w:t>
      </w:r>
      <w:r w:rsidRPr="0074711B">
        <w:rPr>
          <w:rFonts w:ascii="Verdana" w:hAnsi="Verdana"/>
          <w:i/>
          <w:sz w:val="16"/>
          <w:szCs w:val="16"/>
          <w:lang w:val="es-CR"/>
        </w:rPr>
        <w:t xml:space="preserve">Caso Abrill Alosilla Vs. Perú, supra </w:t>
      </w:r>
      <w:r w:rsidRPr="0074711B">
        <w:rPr>
          <w:rFonts w:ascii="Verdana" w:hAnsi="Verdana"/>
          <w:sz w:val="16"/>
          <w:szCs w:val="16"/>
          <w:lang w:val="es-CR"/>
        </w:rPr>
        <w:t xml:space="preserve">nota </w:t>
      </w:r>
      <w:r>
        <w:rPr>
          <w:rFonts w:ascii="Verdana" w:hAnsi="Verdana"/>
          <w:sz w:val="16"/>
          <w:szCs w:val="16"/>
          <w:lang w:val="es-CR"/>
        </w:rPr>
        <w:t>19</w:t>
      </w:r>
      <w:r w:rsidRPr="0074711B">
        <w:rPr>
          <w:rFonts w:ascii="Verdana" w:hAnsi="Verdana"/>
          <w:sz w:val="16"/>
          <w:szCs w:val="16"/>
          <w:lang w:val="es-CR"/>
        </w:rPr>
        <w:t>, párr. 92,</w:t>
      </w:r>
      <w:r w:rsidRPr="0074711B">
        <w:rPr>
          <w:rFonts w:ascii="Verdana" w:hAnsi="Verdana"/>
          <w:i/>
          <w:sz w:val="16"/>
          <w:szCs w:val="16"/>
          <w:lang w:val="es-CR"/>
        </w:rPr>
        <w:t xml:space="preserve"> </w:t>
      </w:r>
      <w:r w:rsidRPr="0074711B">
        <w:rPr>
          <w:rFonts w:ascii="Verdana" w:hAnsi="Verdana"/>
          <w:sz w:val="16"/>
          <w:szCs w:val="16"/>
          <w:lang w:val="es-CR"/>
        </w:rPr>
        <w:t>y</w:t>
      </w:r>
      <w:r w:rsidRPr="0074711B">
        <w:rPr>
          <w:rFonts w:ascii="Verdana" w:hAnsi="Verdana"/>
          <w:i/>
          <w:sz w:val="16"/>
          <w:szCs w:val="16"/>
          <w:lang w:val="es-CR"/>
        </w:rPr>
        <w:t xml:space="preserve"> Caso Vera Vera y otros Vs. Ecuador, supra </w:t>
      </w:r>
      <w:r w:rsidRPr="0074711B">
        <w:rPr>
          <w:rFonts w:ascii="Verdana" w:hAnsi="Verdana"/>
          <w:sz w:val="16"/>
          <w:szCs w:val="16"/>
          <w:lang w:val="es-CR"/>
        </w:rPr>
        <w:t>nota 1</w:t>
      </w:r>
      <w:r>
        <w:rPr>
          <w:rFonts w:ascii="Verdana" w:hAnsi="Verdana"/>
          <w:sz w:val="16"/>
          <w:szCs w:val="16"/>
          <w:lang w:val="es-CR"/>
        </w:rPr>
        <w:t>2</w:t>
      </w:r>
      <w:r w:rsidRPr="0074711B">
        <w:rPr>
          <w:rFonts w:ascii="Verdana" w:hAnsi="Verdana"/>
          <w:sz w:val="16"/>
          <w:szCs w:val="16"/>
          <w:lang w:val="es-CR"/>
        </w:rPr>
        <w:t>, párr. 125.</w:t>
      </w:r>
    </w:p>
    <w:p w:rsidR="00D93A8F" w:rsidRPr="002513AB" w:rsidRDefault="00D93A8F" w:rsidP="00B36838">
      <w:pPr>
        <w:jc w:val="both"/>
        <w:rPr>
          <w:lang w:val="es-ES"/>
        </w:rPr>
      </w:pPr>
    </w:p>
  </w:footnote>
  <w:footnote w:id="111">
    <w:p w:rsidR="00D93A8F" w:rsidRPr="002513AB" w:rsidRDefault="00D93A8F" w:rsidP="00AB3221">
      <w:pPr>
        <w:pStyle w:val="Textonotapie"/>
        <w:jc w:val="both"/>
        <w:rPr>
          <w:lang w:val="es-ES"/>
        </w:rPr>
      </w:pPr>
      <w:r w:rsidRPr="001F15F2">
        <w:rPr>
          <w:rStyle w:val="Refdenotaalpie"/>
          <w:rFonts w:ascii="Verdana" w:hAnsi="Verdana"/>
          <w:sz w:val="16"/>
          <w:szCs w:val="16"/>
        </w:rPr>
        <w:footnoteRef/>
      </w:r>
      <w:r w:rsidRPr="001F15F2">
        <w:rPr>
          <w:rFonts w:ascii="Verdana" w:hAnsi="Verdana"/>
          <w:sz w:val="16"/>
          <w:szCs w:val="16"/>
          <w:lang w:val="es-CR"/>
        </w:rPr>
        <w:t xml:space="preserve"> </w:t>
      </w:r>
      <w:r w:rsidRPr="001F15F2">
        <w:rPr>
          <w:rFonts w:ascii="Verdana" w:hAnsi="Verdana"/>
          <w:sz w:val="16"/>
          <w:szCs w:val="16"/>
          <w:lang w:val="es-CR"/>
        </w:rPr>
        <w:tab/>
        <w:t>Al</w:t>
      </w:r>
      <w:r w:rsidRPr="00FD7EBB">
        <w:rPr>
          <w:rFonts w:ascii="Verdana" w:hAnsi="Verdana"/>
          <w:sz w:val="16"/>
          <w:szCs w:val="16"/>
          <w:lang w:val="es-CR"/>
        </w:rPr>
        <w:t xml:space="preserve"> respecto adjuntó diversos docum</w:t>
      </w:r>
      <w:r>
        <w:rPr>
          <w:rFonts w:ascii="Verdana" w:hAnsi="Verdana"/>
          <w:sz w:val="16"/>
          <w:szCs w:val="16"/>
          <w:lang w:val="es-CR"/>
        </w:rPr>
        <w:t xml:space="preserve">entos </w:t>
      </w:r>
      <w:r w:rsidRPr="00FD7EBB">
        <w:rPr>
          <w:rFonts w:ascii="Verdana" w:hAnsi="Verdana"/>
          <w:sz w:val="16"/>
          <w:szCs w:val="16"/>
          <w:lang w:val="es-ES"/>
        </w:rPr>
        <w:t>de respaldo correspondientes (a</w:t>
      </w:r>
      <w:r>
        <w:rPr>
          <w:rFonts w:ascii="Verdana" w:hAnsi="Verdana"/>
          <w:sz w:val="16"/>
          <w:szCs w:val="16"/>
          <w:lang w:val="es-ES"/>
        </w:rPr>
        <w:t>nexos al escrito de solicitudes y</w:t>
      </w:r>
      <w:r w:rsidRPr="00FD7EBB">
        <w:rPr>
          <w:rFonts w:ascii="Verdana" w:hAnsi="Verdana"/>
          <w:sz w:val="16"/>
          <w:szCs w:val="16"/>
          <w:lang w:val="es-ES"/>
        </w:rPr>
        <w:t xml:space="preserve"> argumentos, anexos 70, 71 y 72, fs. 1983 a 2000)</w:t>
      </w:r>
      <w:r>
        <w:rPr>
          <w:rFonts w:ascii="Verdana" w:hAnsi="Verdana"/>
          <w:sz w:val="16"/>
          <w:szCs w:val="16"/>
          <w:lang w:val="es-ES"/>
        </w:rPr>
        <w:t>.</w:t>
      </w:r>
    </w:p>
  </w:footnote>
  <w:footnote w:id="112">
    <w:p w:rsidR="00D93A8F" w:rsidRPr="0074711B" w:rsidRDefault="00D93A8F" w:rsidP="00B36838">
      <w:pPr>
        <w:autoSpaceDE w:val="0"/>
        <w:autoSpaceDN w:val="0"/>
        <w:adjustRightInd w:val="0"/>
        <w:ind w:right="-279"/>
        <w:jc w:val="both"/>
        <w:rPr>
          <w:rFonts w:ascii="Verdana" w:hAnsi="Verdana"/>
          <w:sz w:val="16"/>
          <w:szCs w:val="16"/>
          <w:lang w:val="es-ES"/>
        </w:rPr>
      </w:pPr>
      <w:r w:rsidRPr="0074711B">
        <w:rPr>
          <w:rStyle w:val="Refdenotaalpie"/>
          <w:rFonts w:ascii="Verdana" w:hAnsi="Verdana"/>
          <w:sz w:val="16"/>
          <w:szCs w:val="16"/>
        </w:rPr>
        <w:footnoteRef/>
      </w:r>
      <w:r w:rsidRPr="0074711B">
        <w:rPr>
          <w:rFonts w:ascii="Verdana" w:hAnsi="Verdana"/>
          <w:sz w:val="16"/>
          <w:szCs w:val="16"/>
          <w:lang w:val="es-ES"/>
        </w:rPr>
        <w:t xml:space="preserve">    </w:t>
      </w:r>
      <w:r w:rsidRPr="0074711B">
        <w:rPr>
          <w:rFonts w:ascii="Verdana" w:hAnsi="Verdana"/>
          <w:sz w:val="16"/>
          <w:szCs w:val="16"/>
          <w:lang w:val="es-ES"/>
        </w:rPr>
        <w:tab/>
      </w:r>
      <w:r w:rsidRPr="0074711B">
        <w:rPr>
          <w:rFonts w:ascii="Verdana" w:hAnsi="Verdana" w:cs="Verdana"/>
          <w:i/>
          <w:sz w:val="16"/>
          <w:szCs w:val="16"/>
          <w:lang w:val="es-ES"/>
        </w:rPr>
        <w:t xml:space="preserve">Cfr. </w:t>
      </w:r>
      <w:r w:rsidRPr="0074711B">
        <w:rPr>
          <w:rFonts w:ascii="Verdana" w:hAnsi="Verdana" w:cs="Verdana"/>
          <w:i/>
          <w:iCs/>
          <w:sz w:val="16"/>
          <w:szCs w:val="16"/>
          <w:lang w:val="es-ES"/>
        </w:rPr>
        <w:t xml:space="preserve">Caso Bámaca Velásquez Vs. Guatemala. Reparaciones y Costas. </w:t>
      </w:r>
      <w:r w:rsidRPr="0074711B">
        <w:rPr>
          <w:rFonts w:ascii="Verdana" w:hAnsi="Verdana"/>
          <w:sz w:val="16"/>
          <w:szCs w:val="16"/>
          <w:lang w:val="es-ES"/>
        </w:rPr>
        <w:t xml:space="preserve">Sentencia de 22 de febrero de 2002. Serie C No. 91, </w:t>
      </w:r>
      <w:r w:rsidRPr="0074711B">
        <w:rPr>
          <w:rFonts w:ascii="Verdana" w:hAnsi="Verdana" w:cs="Verdana"/>
          <w:sz w:val="16"/>
          <w:szCs w:val="16"/>
          <w:lang w:val="es-ES"/>
        </w:rPr>
        <w:t xml:space="preserve">párr. 43; </w:t>
      </w:r>
      <w:r w:rsidRPr="0074711B">
        <w:rPr>
          <w:rFonts w:ascii="Verdana" w:hAnsi="Verdana"/>
          <w:i/>
          <w:sz w:val="16"/>
          <w:szCs w:val="16"/>
          <w:lang w:val="es-CR"/>
        </w:rPr>
        <w:t xml:space="preserve">Caso Abrill </w:t>
      </w:r>
      <w:r w:rsidRPr="00ED4819">
        <w:rPr>
          <w:rFonts w:ascii="Verdana" w:hAnsi="Verdana"/>
          <w:i/>
          <w:sz w:val="16"/>
          <w:szCs w:val="16"/>
          <w:lang w:val="es-CR"/>
        </w:rPr>
        <w:t xml:space="preserve">Alosilla Vs. Perú, supra </w:t>
      </w:r>
      <w:r w:rsidRPr="00ED4819">
        <w:rPr>
          <w:rFonts w:ascii="Verdana" w:hAnsi="Verdana"/>
          <w:sz w:val="16"/>
          <w:szCs w:val="16"/>
          <w:lang w:val="es-CR"/>
        </w:rPr>
        <w:t>nota 19, nota</w:t>
      </w:r>
      <w:r>
        <w:rPr>
          <w:rFonts w:ascii="Verdana" w:hAnsi="Verdana"/>
          <w:sz w:val="16"/>
          <w:szCs w:val="16"/>
          <w:lang w:val="es-CR"/>
        </w:rPr>
        <w:t xml:space="preserve"> </w:t>
      </w:r>
      <w:r w:rsidRPr="00ED4819">
        <w:rPr>
          <w:rFonts w:ascii="Verdana" w:hAnsi="Verdana"/>
          <w:sz w:val="16"/>
          <w:szCs w:val="16"/>
          <w:lang w:val="es-CR"/>
        </w:rPr>
        <w:t>91,</w:t>
      </w:r>
      <w:r w:rsidRPr="00ED4819">
        <w:rPr>
          <w:rFonts w:ascii="Verdana" w:hAnsi="Verdana"/>
          <w:i/>
          <w:sz w:val="16"/>
          <w:szCs w:val="16"/>
          <w:lang w:val="es-CR"/>
        </w:rPr>
        <w:t xml:space="preserve"> </w:t>
      </w:r>
      <w:r w:rsidRPr="00ED4819">
        <w:rPr>
          <w:rFonts w:ascii="Verdana" w:hAnsi="Verdana"/>
          <w:sz w:val="16"/>
          <w:szCs w:val="16"/>
          <w:lang w:val="es-CR"/>
        </w:rPr>
        <w:t>y</w:t>
      </w:r>
      <w:r w:rsidRPr="00ED4819">
        <w:rPr>
          <w:rFonts w:ascii="Verdana" w:hAnsi="Verdana"/>
          <w:i/>
          <w:sz w:val="16"/>
          <w:szCs w:val="16"/>
          <w:lang w:val="es-CR"/>
        </w:rPr>
        <w:t xml:space="preserve"> Caso</w:t>
      </w:r>
      <w:r w:rsidRPr="0074711B">
        <w:rPr>
          <w:rFonts w:ascii="Verdana" w:hAnsi="Verdana"/>
          <w:i/>
          <w:sz w:val="16"/>
          <w:szCs w:val="16"/>
          <w:lang w:val="es-CR"/>
        </w:rPr>
        <w:t xml:space="preserve"> Vera Vera y otros Vs. Ecuador</w:t>
      </w:r>
      <w:r w:rsidRPr="0074711B">
        <w:rPr>
          <w:rFonts w:ascii="Verdana" w:hAnsi="Verdana"/>
          <w:sz w:val="16"/>
          <w:szCs w:val="16"/>
          <w:lang w:val="es-CR"/>
        </w:rPr>
        <w:t xml:space="preserve">, </w:t>
      </w:r>
      <w:r w:rsidRPr="0074711B">
        <w:rPr>
          <w:rFonts w:ascii="Verdana" w:hAnsi="Verdana"/>
          <w:i/>
          <w:sz w:val="16"/>
          <w:szCs w:val="16"/>
          <w:lang w:val="es-CR"/>
        </w:rPr>
        <w:t>supra</w:t>
      </w:r>
      <w:r w:rsidRPr="0074711B">
        <w:rPr>
          <w:rFonts w:ascii="Verdana" w:hAnsi="Verdana"/>
          <w:sz w:val="16"/>
          <w:szCs w:val="16"/>
          <w:lang w:val="es-CR"/>
        </w:rPr>
        <w:t xml:space="preserve"> nota 1</w:t>
      </w:r>
      <w:r>
        <w:rPr>
          <w:rFonts w:ascii="Verdana" w:hAnsi="Verdana"/>
          <w:sz w:val="16"/>
          <w:szCs w:val="16"/>
          <w:lang w:val="es-CR"/>
        </w:rPr>
        <w:t>2</w:t>
      </w:r>
      <w:r w:rsidRPr="0074711B">
        <w:rPr>
          <w:rFonts w:ascii="Verdana" w:hAnsi="Verdana"/>
          <w:sz w:val="16"/>
          <w:szCs w:val="16"/>
          <w:lang w:val="es-CR"/>
        </w:rPr>
        <w:t>, párr. 128.</w:t>
      </w:r>
    </w:p>
    <w:p w:rsidR="00D93A8F" w:rsidRPr="00854CE8" w:rsidRDefault="00D93A8F" w:rsidP="00B36838">
      <w:pPr>
        <w:autoSpaceDE w:val="0"/>
        <w:autoSpaceDN w:val="0"/>
        <w:adjustRightInd w:val="0"/>
        <w:ind w:right="-279"/>
        <w:jc w:val="both"/>
        <w:rPr>
          <w:lang w:val="es-ES"/>
        </w:rPr>
      </w:pPr>
    </w:p>
  </w:footnote>
  <w:footnote w:id="113">
    <w:p w:rsidR="00D93A8F" w:rsidRPr="00854CE8" w:rsidRDefault="00D93A8F" w:rsidP="00ED4819">
      <w:pPr>
        <w:pStyle w:val="Textonotapie"/>
        <w:jc w:val="both"/>
        <w:rPr>
          <w:lang w:val="es-ES"/>
        </w:rPr>
      </w:pPr>
      <w:r w:rsidRPr="00ED4819">
        <w:rPr>
          <w:rStyle w:val="Refdenotaalpie"/>
          <w:rFonts w:ascii="Verdana" w:hAnsi="Verdana"/>
          <w:sz w:val="16"/>
          <w:szCs w:val="16"/>
        </w:rPr>
        <w:footnoteRef/>
      </w:r>
      <w:r w:rsidRPr="00ED4819">
        <w:rPr>
          <w:rFonts w:ascii="Verdana" w:hAnsi="Verdana"/>
          <w:sz w:val="16"/>
          <w:szCs w:val="16"/>
          <w:lang w:val="es-ES"/>
        </w:rPr>
        <w:t xml:space="preserve"> </w:t>
      </w:r>
      <w:r w:rsidRPr="00ED4819">
        <w:rPr>
          <w:rFonts w:ascii="Verdana" w:hAnsi="Verdana"/>
          <w:sz w:val="16"/>
          <w:szCs w:val="16"/>
          <w:lang w:val="es-ES"/>
        </w:rPr>
        <w:tab/>
      </w:r>
      <w:r w:rsidRPr="00597B6A">
        <w:rPr>
          <w:rFonts w:ascii="Verdana" w:hAnsi="Verdana"/>
          <w:bCs/>
          <w:sz w:val="16"/>
          <w:szCs w:val="16"/>
          <w:lang w:val="es-ES"/>
        </w:rPr>
        <w:t>Daños materiales $194.895,81,</w:t>
      </w:r>
      <w:r w:rsidRPr="00597B6A">
        <w:rPr>
          <w:rFonts w:ascii="Verdana" w:hAnsi="Verdana"/>
          <w:b/>
          <w:bCs/>
          <w:sz w:val="16"/>
          <w:szCs w:val="16"/>
          <w:lang w:val="es-ES"/>
        </w:rPr>
        <w:t xml:space="preserve"> </w:t>
      </w:r>
      <w:r w:rsidRPr="00597B6A">
        <w:rPr>
          <w:rFonts w:ascii="Verdana" w:hAnsi="Verdana"/>
          <w:bCs/>
          <w:sz w:val="16"/>
          <w:szCs w:val="16"/>
          <w:lang w:val="es-ES"/>
        </w:rPr>
        <w:t>como se detalla a continuación:</w:t>
      </w:r>
      <w:r w:rsidRPr="00597B6A">
        <w:rPr>
          <w:rFonts w:ascii="Verdana" w:hAnsi="Verdana"/>
          <w:b/>
          <w:bCs/>
          <w:sz w:val="16"/>
          <w:szCs w:val="16"/>
          <w:lang w:val="es-ES"/>
        </w:rPr>
        <w:t xml:space="preserve"> </w:t>
      </w:r>
      <w:r w:rsidRPr="00597B6A">
        <w:rPr>
          <w:rFonts w:ascii="Verdana" w:hAnsi="Verdana"/>
          <w:sz w:val="16"/>
          <w:szCs w:val="16"/>
          <w:lang w:val="es-ES"/>
        </w:rPr>
        <w:t xml:space="preserve"> 1. </w:t>
      </w:r>
      <w:r w:rsidRPr="00597B6A">
        <w:rPr>
          <w:rFonts w:ascii="Verdana" w:hAnsi="Verdana"/>
          <w:sz w:val="16"/>
          <w:szCs w:val="16"/>
          <w:lang w:val="es-CR"/>
        </w:rPr>
        <w:t xml:space="preserve">Valor de remuneraciones </w:t>
      </w:r>
      <w:r w:rsidRPr="00597B6A">
        <w:rPr>
          <w:rFonts w:ascii="Verdana" w:hAnsi="Verdana"/>
          <w:b/>
          <w:sz w:val="16"/>
          <w:szCs w:val="16"/>
          <w:lang w:val="es-CR"/>
        </w:rPr>
        <w:t>–</w:t>
      </w:r>
      <w:r w:rsidRPr="00597B6A">
        <w:rPr>
          <w:rFonts w:ascii="Verdana" w:hAnsi="Verdana"/>
          <w:sz w:val="16"/>
          <w:szCs w:val="16"/>
          <w:lang w:val="es-CR"/>
        </w:rPr>
        <w:t xml:space="preserve"> Pensiones pagadas  =</w:t>
      </w:r>
      <w:r w:rsidRPr="00597B6A">
        <w:rPr>
          <w:rFonts w:ascii="Verdana" w:hAnsi="Verdana"/>
          <w:sz w:val="16"/>
          <w:szCs w:val="16"/>
          <w:lang w:val="es-CR"/>
        </w:rPr>
        <w:tab/>
        <w:t>118.212,98</w:t>
      </w:r>
      <w:r w:rsidRPr="00597B6A">
        <w:rPr>
          <w:rFonts w:ascii="Verdana" w:hAnsi="Verdana"/>
          <w:sz w:val="16"/>
          <w:szCs w:val="16"/>
          <w:lang w:val="es-ES"/>
        </w:rPr>
        <w:t>; 2. Liquidación pensiones por pagar =</w:t>
      </w:r>
      <w:r w:rsidRPr="00597B6A">
        <w:rPr>
          <w:rFonts w:ascii="Verdana" w:hAnsi="Verdana"/>
          <w:sz w:val="16"/>
          <w:szCs w:val="16"/>
          <w:lang w:val="es-ES"/>
        </w:rPr>
        <w:tab/>
        <w:t xml:space="preserve"> 7.524,89, y 3.</w:t>
      </w:r>
      <w:r w:rsidRPr="00597B6A">
        <w:rPr>
          <w:rFonts w:ascii="Verdana" w:hAnsi="Verdana"/>
          <w:sz w:val="16"/>
          <w:szCs w:val="16"/>
          <w:lang w:val="es-CR"/>
        </w:rPr>
        <w:t xml:space="preserve">Liquidación de cesantía </w:t>
      </w:r>
      <w:r w:rsidRPr="00597B6A">
        <w:rPr>
          <w:rFonts w:ascii="Verdana" w:hAnsi="Verdana"/>
          <w:b/>
          <w:sz w:val="16"/>
          <w:szCs w:val="16"/>
          <w:lang w:val="es-CR"/>
        </w:rPr>
        <w:t>–</w:t>
      </w:r>
      <w:r w:rsidRPr="00597B6A">
        <w:rPr>
          <w:rFonts w:ascii="Verdana" w:hAnsi="Verdana"/>
          <w:sz w:val="16"/>
          <w:szCs w:val="16"/>
          <w:lang w:val="es-CR"/>
        </w:rPr>
        <w:t xml:space="preserve"> Cesantía pagada</w:t>
      </w:r>
      <w:r w:rsidRPr="00597B6A">
        <w:rPr>
          <w:rFonts w:ascii="Verdana" w:hAnsi="Verdana"/>
          <w:sz w:val="16"/>
          <w:szCs w:val="16"/>
          <w:lang w:val="es-CR"/>
        </w:rPr>
        <w:tab/>
        <w:t xml:space="preserve">    =</w:t>
      </w:r>
      <w:r w:rsidRPr="00597B6A">
        <w:rPr>
          <w:rFonts w:ascii="Verdana" w:hAnsi="Verdana"/>
          <w:sz w:val="16"/>
          <w:szCs w:val="16"/>
          <w:lang w:val="es-CR"/>
        </w:rPr>
        <w:tab/>
        <w:t xml:space="preserve">  69.158,14</w:t>
      </w:r>
    </w:p>
  </w:footnote>
  <w:footnote w:id="114">
    <w:p w:rsidR="00D93A8F" w:rsidRPr="00ED4819" w:rsidRDefault="00D93A8F" w:rsidP="00B36838">
      <w:pPr>
        <w:pStyle w:val="Textonotapie"/>
        <w:jc w:val="both"/>
        <w:rPr>
          <w:rFonts w:ascii="Verdana" w:hAnsi="Verdana"/>
          <w:b/>
          <w:bCs/>
          <w:sz w:val="16"/>
          <w:szCs w:val="16"/>
          <w:lang w:val="es-CR"/>
        </w:rPr>
      </w:pPr>
      <w:r w:rsidRPr="00597B6A">
        <w:rPr>
          <w:rStyle w:val="Refdenotaalpie"/>
          <w:rFonts w:ascii="Verdana" w:hAnsi="Verdana"/>
          <w:sz w:val="16"/>
          <w:szCs w:val="16"/>
        </w:rPr>
        <w:footnoteRef/>
      </w:r>
      <w:r w:rsidRPr="00597B6A">
        <w:rPr>
          <w:rFonts w:ascii="Verdana" w:hAnsi="Verdana"/>
          <w:sz w:val="16"/>
          <w:szCs w:val="16"/>
          <w:lang w:val="es-CR"/>
        </w:rPr>
        <w:t xml:space="preserve"> </w:t>
      </w:r>
      <w:r w:rsidRPr="00597B6A">
        <w:rPr>
          <w:rFonts w:ascii="Verdana" w:hAnsi="Verdana"/>
          <w:sz w:val="16"/>
          <w:szCs w:val="16"/>
          <w:lang w:val="es-CR"/>
        </w:rPr>
        <w:tab/>
      </w:r>
      <w:r w:rsidRPr="00597B6A">
        <w:rPr>
          <w:rFonts w:ascii="Verdana" w:hAnsi="Verdana"/>
          <w:bCs/>
          <w:sz w:val="16"/>
          <w:szCs w:val="16"/>
          <w:lang w:val="es-CR"/>
        </w:rPr>
        <w:t xml:space="preserve">Daños inmateriales US$163.137,58, como se detalla a continuación: 1. </w:t>
      </w:r>
      <w:r w:rsidRPr="00597B6A">
        <w:rPr>
          <w:rFonts w:ascii="Verdana" w:hAnsi="Verdana"/>
          <w:sz w:val="16"/>
          <w:szCs w:val="16"/>
          <w:lang w:val="es-CR"/>
        </w:rPr>
        <w:t>Proyección de pensiones por esperanza de vida =</w:t>
      </w:r>
      <w:r w:rsidRPr="00597B6A">
        <w:rPr>
          <w:rFonts w:ascii="Verdana" w:hAnsi="Verdana"/>
          <w:sz w:val="16"/>
          <w:szCs w:val="16"/>
          <w:lang w:val="es-CR"/>
        </w:rPr>
        <w:tab/>
        <w:t>US$163.137,58</w:t>
      </w:r>
      <w:r w:rsidRPr="00597B6A">
        <w:rPr>
          <w:rFonts w:ascii="Verdana" w:hAnsi="Verdana"/>
          <w:bCs/>
          <w:sz w:val="16"/>
          <w:szCs w:val="16"/>
          <w:lang w:val="es-CR"/>
        </w:rPr>
        <w:t xml:space="preserve">. </w:t>
      </w:r>
      <w:r w:rsidRPr="00597B6A">
        <w:rPr>
          <w:rFonts w:ascii="Verdana" w:hAnsi="Verdana"/>
          <w:sz w:val="16"/>
          <w:szCs w:val="16"/>
          <w:lang w:val="es-CR"/>
        </w:rPr>
        <w:t>Total</w:t>
      </w:r>
      <w:r w:rsidRPr="007C688C">
        <w:rPr>
          <w:rFonts w:ascii="Verdana" w:hAnsi="Verdana"/>
          <w:sz w:val="16"/>
          <w:szCs w:val="16"/>
          <w:lang w:val="es-CR"/>
        </w:rPr>
        <w:t xml:space="preserve"> US$358.033,59.</w:t>
      </w:r>
    </w:p>
    <w:p w:rsidR="00D93A8F" w:rsidRPr="002513AB" w:rsidRDefault="00D93A8F" w:rsidP="00B36838">
      <w:pPr>
        <w:pStyle w:val="Textonotapie"/>
        <w:jc w:val="both"/>
        <w:rPr>
          <w:lang w:val="es-ES"/>
        </w:rPr>
      </w:pPr>
    </w:p>
  </w:footnote>
  <w:footnote w:id="115">
    <w:p w:rsidR="00D93A8F" w:rsidRPr="0074711B" w:rsidRDefault="00D93A8F" w:rsidP="0073622D">
      <w:pPr>
        <w:pStyle w:val="Textonotapie"/>
        <w:jc w:val="both"/>
        <w:rPr>
          <w:rFonts w:ascii="Verdana" w:hAnsi="Verdana"/>
          <w:sz w:val="16"/>
          <w:szCs w:val="16"/>
          <w:lang w:val="es-CR"/>
        </w:rPr>
      </w:pPr>
      <w:r w:rsidRPr="0074711B">
        <w:rPr>
          <w:rStyle w:val="Refdenotaalpie"/>
          <w:rFonts w:ascii="Verdana" w:hAnsi="Verdana"/>
          <w:sz w:val="16"/>
          <w:szCs w:val="16"/>
        </w:rPr>
        <w:footnoteRef/>
      </w:r>
      <w:r w:rsidRPr="0074711B">
        <w:rPr>
          <w:rFonts w:ascii="Verdana" w:hAnsi="Verdana"/>
          <w:sz w:val="16"/>
          <w:szCs w:val="16"/>
          <w:lang w:val="es-CR"/>
        </w:rPr>
        <w:t xml:space="preserve"> </w:t>
      </w:r>
      <w:r w:rsidRPr="0074711B">
        <w:rPr>
          <w:rFonts w:ascii="Verdana" w:hAnsi="Verdana"/>
          <w:sz w:val="16"/>
          <w:szCs w:val="16"/>
          <w:lang w:val="es-CR"/>
        </w:rPr>
        <w:tab/>
      </w:r>
      <w:r w:rsidRPr="0074711B">
        <w:rPr>
          <w:rFonts w:ascii="Verdana" w:hAnsi="Verdana"/>
          <w:i/>
          <w:sz w:val="16"/>
          <w:szCs w:val="16"/>
          <w:lang w:val="es-CR"/>
        </w:rPr>
        <w:t>Cfr</w:t>
      </w:r>
      <w:r w:rsidRPr="0074711B">
        <w:rPr>
          <w:rFonts w:ascii="Verdana" w:hAnsi="Verdana"/>
          <w:sz w:val="16"/>
          <w:szCs w:val="16"/>
          <w:lang w:val="es-CR"/>
        </w:rPr>
        <w:t>. Informe del Instituto de Seguridad Social de las Fuerzas Armadas del Estado (anexos alegatos finales del Estado, anexo 1, tomo I, fs. 340 y 355).</w:t>
      </w:r>
    </w:p>
    <w:p w:rsidR="00D93A8F" w:rsidRPr="002513AB" w:rsidRDefault="00D93A8F" w:rsidP="0073622D">
      <w:pPr>
        <w:pStyle w:val="Textonotapie"/>
        <w:jc w:val="both"/>
        <w:rPr>
          <w:lang w:val="es-ES"/>
        </w:rPr>
      </w:pPr>
    </w:p>
  </w:footnote>
  <w:footnote w:id="116">
    <w:p w:rsidR="00D93A8F" w:rsidRDefault="00D93A8F" w:rsidP="00D543CC">
      <w:pPr>
        <w:autoSpaceDE w:val="0"/>
        <w:autoSpaceDN w:val="0"/>
        <w:adjustRightInd w:val="0"/>
        <w:jc w:val="both"/>
        <w:rPr>
          <w:rFonts w:ascii="Verdana" w:hAnsi="Verdana"/>
          <w:sz w:val="16"/>
          <w:szCs w:val="16"/>
          <w:lang w:val="es-ES"/>
        </w:rPr>
      </w:pPr>
      <w:r w:rsidRPr="0074711B">
        <w:rPr>
          <w:rStyle w:val="Refdenotaalpie"/>
          <w:rFonts w:ascii="Verdana" w:hAnsi="Verdana"/>
          <w:sz w:val="16"/>
          <w:szCs w:val="16"/>
        </w:rPr>
        <w:footnoteRef/>
      </w:r>
      <w:r w:rsidRPr="0074711B">
        <w:rPr>
          <w:rFonts w:ascii="Verdana" w:hAnsi="Verdana"/>
          <w:sz w:val="16"/>
          <w:szCs w:val="16"/>
          <w:lang w:val="es-ES"/>
        </w:rPr>
        <w:t xml:space="preserve"> </w:t>
      </w:r>
      <w:r w:rsidRPr="0074711B">
        <w:rPr>
          <w:rFonts w:ascii="Verdana" w:hAnsi="Verdana"/>
          <w:sz w:val="16"/>
          <w:szCs w:val="16"/>
          <w:lang w:val="es-ES"/>
        </w:rPr>
        <w:tab/>
      </w:r>
      <w:r w:rsidRPr="0074711B">
        <w:rPr>
          <w:rFonts w:ascii="Verdana" w:hAnsi="Verdana"/>
          <w:i/>
          <w:sz w:val="16"/>
          <w:szCs w:val="16"/>
          <w:lang w:val="es-ES"/>
        </w:rPr>
        <w:t>Cfr. Informe</w:t>
      </w:r>
      <w:r>
        <w:rPr>
          <w:rFonts w:ascii="Verdana" w:hAnsi="Verdana"/>
          <w:sz w:val="16"/>
          <w:szCs w:val="16"/>
          <w:lang w:val="es-ES"/>
        </w:rPr>
        <w:t xml:space="preserve"> Soporte sobre las Condiciones Legales que definen el marco jurídico que regula la profesión militar, así como, la liquidación de valores, elaborada para el reconocimiento de los derechos patrimoniales en aplicación a la Sentencia No. 002-09-SIS-CC, emitida por la Corte Constitucional del Ecuador del 08-OCT-2009 referente a las inquietudes de la Corte Interamericana de Derechos Humanos, generadas en la audiencia efectuada por la demanda planteada en contra del Estado Ecuatoriano por el coronel de ejército José Mejía Idrovo. Apartado </w:t>
      </w:r>
      <w:r w:rsidRPr="0074711B">
        <w:rPr>
          <w:rFonts w:ascii="Verdana" w:hAnsi="Verdana"/>
          <w:sz w:val="16"/>
          <w:szCs w:val="16"/>
          <w:lang w:val="es-ES"/>
        </w:rPr>
        <w:t>titulado: Liquidación de emolumentos de ley como militar en servicio activo – per</w:t>
      </w:r>
      <w:r>
        <w:rPr>
          <w:rFonts w:ascii="Verdana" w:hAnsi="Verdana"/>
          <w:sz w:val="16"/>
          <w:szCs w:val="16"/>
          <w:lang w:val="es-ES"/>
        </w:rPr>
        <w:t>í</w:t>
      </w:r>
      <w:r w:rsidRPr="0074711B">
        <w:rPr>
          <w:rFonts w:ascii="Verdana" w:hAnsi="Verdana"/>
          <w:sz w:val="16"/>
          <w:szCs w:val="16"/>
          <w:lang w:val="es-ES"/>
        </w:rPr>
        <w:t xml:space="preserve">odo de reincorporación. “Rubros entre los que se consideran las remuneraciones </w:t>
      </w:r>
      <w:r w:rsidRPr="00FD7EBB">
        <w:rPr>
          <w:rFonts w:ascii="Verdana" w:hAnsi="Verdana"/>
          <w:sz w:val="16"/>
          <w:szCs w:val="16"/>
          <w:lang w:val="es-ES"/>
        </w:rPr>
        <w:t>que les correspondían recibir como Militar Activo al señor CRNL. JOS</w:t>
      </w:r>
      <w:r>
        <w:rPr>
          <w:rFonts w:ascii="Verdana" w:hAnsi="Verdana"/>
          <w:sz w:val="16"/>
          <w:szCs w:val="16"/>
          <w:lang w:val="es-ES"/>
        </w:rPr>
        <w:t>É</w:t>
      </w:r>
      <w:r w:rsidRPr="00FD7EBB">
        <w:rPr>
          <w:rFonts w:ascii="Verdana" w:hAnsi="Verdana"/>
          <w:sz w:val="16"/>
          <w:szCs w:val="16"/>
          <w:lang w:val="es-ES"/>
        </w:rPr>
        <w:t xml:space="preserve"> ALFREDO MEJÍA IDROVO, desde 01 de agosto de 2001 hasta el 30 de septiembre de 2010”. Total de ingresos de liquidación $250.345,47. (anexos a los alegatos finales del Estado, anexo I, folios 340 a 341).</w:t>
      </w:r>
    </w:p>
    <w:p w:rsidR="00D93A8F" w:rsidRPr="002513AB" w:rsidRDefault="00D93A8F" w:rsidP="00D543CC">
      <w:pPr>
        <w:autoSpaceDE w:val="0"/>
        <w:autoSpaceDN w:val="0"/>
        <w:adjustRightInd w:val="0"/>
        <w:jc w:val="both"/>
        <w:rPr>
          <w:lang w:val="es-ES"/>
        </w:rPr>
      </w:pPr>
    </w:p>
  </w:footnote>
  <w:footnote w:id="117">
    <w:p w:rsidR="00D93A8F" w:rsidRPr="00854CE8" w:rsidRDefault="00D93A8F" w:rsidP="00B36838">
      <w:pPr>
        <w:pStyle w:val="Textonotapie"/>
        <w:tabs>
          <w:tab w:val="left" w:pos="426"/>
          <w:tab w:val="left" w:pos="540"/>
          <w:tab w:val="left" w:pos="709"/>
        </w:tabs>
        <w:spacing w:after="120"/>
        <w:jc w:val="both"/>
        <w:rPr>
          <w:lang w:val="es-ES"/>
        </w:rPr>
      </w:pPr>
      <w:r w:rsidRPr="0074711B">
        <w:rPr>
          <w:rStyle w:val="Refdenotaalpie"/>
          <w:rFonts w:ascii="Verdana" w:hAnsi="Verdana"/>
          <w:sz w:val="16"/>
          <w:szCs w:val="16"/>
        </w:rPr>
        <w:footnoteRef/>
      </w:r>
      <w:r w:rsidRPr="0074711B">
        <w:rPr>
          <w:rFonts w:ascii="Verdana" w:hAnsi="Verdana"/>
          <w:sz w:val="16"/>
          <w:szCs w:val="16"/>
          <w:lang w:val="es-CR"/>
        </w:rPr>
        <w:t xml:space="preserve"> </w:t>
      </w:r>
      <w:r w:rsidRPr="0074711B">
        <w:rPr>
          <w:rFonts w:ascii="Verdana" w:hAnsi="Verdana"/>
          <w:sz w:val="16"/>
          <w:szCs w:val="16"/>
          <w:lang w:val="es-CR"/>
        </w:rPr>
        <w:tab/>
      </w:r>
      <w:r w:rsidRPr="0074711B">
        <w:rPr>
          <w:rFonts w:ascii="Verdana" w:hAnsi="Verdana"/>
          <w:sz w:val="16"/>
          <w:szCs w:val="16"/>
          <w:lang w:val="es-CR"/>
        </w:rPr>
        <w:tab/>
      </w:r>
      <w:r>
        <w:rPr>
          <w:rFonts w:ascii="Verdana" w:hAnsi="Verdana"/>
          <w:i/>
          <w:sz w:val="16"/>
          <w:szCs w:val="16"/>
          <w:lang w:val="es-CR"/>
        </w:rPr>
        <w:t>Cfr. Caso Garrido y Baigorria V</w:t>
      </w:r>
      <w:r w:rsidRPr="0074711B">
        <w:rPr>
          <w:rFonts w:ascii="Verdana" w:hAnsi="Verdana"/>
          <w:i/>
          <w:sz w:val="16"/>
          <w:szCs w:val="16"/>
          <w:lang w:val="es-CR"/>
        </w:rPr>
        <w:t>s. Argentina. Reparaciones y Costas.</w:t>
      </w:r>
      <w:r w:rsidRPr="0074711B">
        <w:rPr>
          <w:rFonts w:ascii="Verdana" w:hAnsi="Verdana"/>
          <w:sz w:val="16"/>
          <w:szCs w:val="16"/>
          <w:lang w:val="es-CR"/>
        </w:rPr>
        <w:t xml:space="preserve"> Sentencia de 27 de agosto de 1998. </w:t>
      </w:r>
      <w:r w:rsidRPr="0074711B">
        <w:rPr>
          <w:rFonts w:ascii="Verdana" w:hAnsi="Verdana"/>
          <w:sz w:val="16"/>
          <w:szCs w:val="16"/>
          <w:lang w:val="pt-BR"/>
        </w:rPr>
        <w:t xml:space="preserve">Serie C. No. 39, párr. 79; </w:t>
      </w:r>
      <w:r w:rsidRPr="0074711B">
        <w:rPr>
          <w:rFonts w:ascii="Verdana" w:hAnsi="Verdana"/>
          <w:i/>
          <w:sz w:val="16"/>
          <w:szCs w:val="16"/>
          <w:lang w:val="es-CR"/>
        </w:rPr>
        <w:t xml:space="preserve">Caso Abrill Alosilla Vs. Perú, supra </w:t>
      </w:r>
      <w:r w:rsidRPr="0074711B">
        <w:rPr>
          <w:rFonts w:ascii="Verdana" w:hAnsi="Verdana"/>
          <w:sz w:val="16"/>
          <w:szCs w:val="16"/>
          <w:lang w:val="es-CR"/>
        </w:rPr>
        <w:t xml:space="preserve">nota </w:t>
      </w:r>
      <w:r>
        <w:rPr>
          <w:rFonts w:ascii="Verdana" w:hAnsi="Verdana"/>
          <w:sz w:val="16"/>
          <w:szCs w:val="16"/>
          <w:lang w:val="es-CR"/>
        </w:rPr>
        <w:t>19</w:t>
      </w:r>
      <w:r w:rsidRPr="0074711B">
        <w:rPr>
          <w:rFonts w:ascii="Verdana" w:hAnsi="Verdana"/>
          <w:sz w:val="16"/>
          <w:szCs w:val="16"/>
          <w:lang w:val="es-CR"/>
        </w:rPr>
        <w:t>, párr. 133,</w:t>
      </w:r>
      <w:r w:rsidRPr="0074711B">
        <w:rPr>
          <w:rFonts w:ascii="Verdana" w:hAnsi="Verdana"/>
          <w:i/>
          <w:sz w:val="16"/>
          <w:szCs w:val="16"/>
          <w:lang w:val="es-CR"/>
        </w:rPr>
        <w:t xml:space="preserve"> </w:t>
      </w:r>
      <w:r w:rsidRPr="0074711B">
        <w:rPr>
          <w:rFonts w:ascii="Verdana" w:hAnsi="Verdana"/>
          <w:sz w:val="16"/>
          <w:szCs w:val="16"/>
          <w:lang w:val="es-CR"/>
        </w:rPr>
        <w:t>y</w:t>
      </w:r>
      <w:r w:rsidRPr="0074711B">
        <w:rPr>
          <w:rFonts w:ascii="Verdana" w:hAnsi="Verdana"/>
          <w:i/>
          <w:sz w:val="16"/>
          <w:szCs w:val="16"/>
          <w:lang w:val="es-CR"/>
        </w:rPr>
        <w:t xml:space="preserve"> Caso Vera Vera y otros Vs. Ecuador, supra </w:t>
      </w:r>
      <w:r w:rsidRPr="0074711B">
        <w:rPr>
          <w:rFonts w:ascii="Verdana" w:hAnsi="Verdana"/>
          <w:sz w:val="16"/>
          <w:szCs w:val="16"/>
          <w:lang w:val="es-CR"/>
        </w:rPr>
        <w:t xml:space="preserve">nota </w:t>
      </w:r>
      <w:r>
        <w:rPr>
          <w:rFonts w:ascii="Verdana" w:hAnsi="Verdana"/>
          <w:sz w:val="16"/>
          <w:szCs w:val="16"/>
          <w:lang w:val="es-CR"/>
        </w:rPr>
        <w:t>12</w:t>
      </w:r>
      <w:r w:rsidRPr="0074711B">
        <w:rPr>
          <w:rFonts w:ascii="Verdana" w:hAnsi="Verdana"/>
          <w:sz w:val="16"/>
          <w:szCs w:val="16"/>
          <w:lang w:val="es-CR"/>
        </w:rPr>
        <w:t>, párr. 140.</w:t>
      </w:r>
    </w:p>
  </w:footnote>
  <w:footnote w:id="118">
    <w:p w:rsidR="00D93A8F" w:rsidRPr="0074711B" w:rsidRDefault="00D93A8F" w:rsidP="00B36838">
      <w:pPr>
        <w:pStyle w:val="Textonotapie"/>
        <w:jc w:val="both"/>
        <w:rPr>
          <w:rFonts w:ascii="Verdana" w:hAnsi="Verdana"/>
          <w:sz w:val="16"/>
          <w:szCs w:val="16"/>
          <w:lang w:val="es-CR"/>
        </w:rPr>
      </w:pPr>
      <w:r w:rsidRPr="0074711B">
        <w:rPr>
          <w:rStyle w:val="Refdenotaalpie"/>
          <w:rFonts w:ascii="Verdana" w:hAnsi="Verdana"/>
          <w:sz w:val="16"/>
          <w:szCs w:val="16"/>
        </w:rPr>
        <w:footnoteRef/>
      </w:r>
      <w:r w:rsidRPr="0074711B">
        <w:rPr>
          <w:rFonts w:ascii="Verdana" w:hAnsi="Verdana"/>
          <w:sz w:val="16"/>
          <w:szCs w:val="16"/>
          <w:lang w:val="es-CR"/>
        </w:rPr>
        <w:t xml:space="preserve"> </w:t>
      </w:r>
      <w:r w:rsidRPr="0074711B">
        <w:rPr>
          <w:rFonts w:ascii="Verdana" w:hAnsi="Verdana"/>
          <w:sz w:val="16"/>
          <w:szCs w:val="16"/>
          <w:lang w:val="es-CR"/>
        </w:rPr>
        <w:tab/>
        <w:t xml:space="preserve"> </w:t>
      </w:r>
      <w:r>
        <w:rPr>
          <w:rFonts w:ascii="Verdana" w:hAnsi="Verdana"/>
          <w:i/>
          <w:sz w:val="16"/>
          <w:szCs w:val="16"/>
          <w:lang w:val="es-CR"/>
        </w:rPr>
        <w:t>Cfr. Caso Garrido y Baigorria V</w:t>
      </w:r>
      <w:r w:rsidRPr="0074711B">
        <w:rPr>
          <w:rFonts w:ascii="Verdana" w:hAnsi="Verdana"/>
          <w:i/>
          <w:sz w:val="16"/>
          <w:szCs w:val="16"/>
          <w:lang w:val="es-CR"/>
        </w:rPr>
        <w:t xml:space="preserve">s. Argentina, supra </w:t>
      </w:r>
      <w:r w:rsidRPr="0074711B">
        <w:rPr>
          <w:rFonts w:ascii="Verdana" w:hAnsi="Verdana"/>
          <w:sz w:val="16"/>
          <w:szCs w:val="16"/>
          <w:lang w:val="es-CR"/>
        </w:rPr>
        <w:t xml:space="preserve">nota </w:t>
      </w:r>
      <w:r w:rsidRPr="001F15F2">
        <w:rPr>
          <w:rFonts w:ascii="Verdana" w:hAnsi="Verdana"/>
          <w:sz w:val="16"/>
          <w:szCs w:val="16"/>
          <w:lang w:val="es-CR"/>
        </w:rPr>
        <w:t>114,</w:t>
      </w:r>
      <w:r w:rsidRPr="0074711B">
        <w:rPr>
          <w:rFonts w:ascii="Verdana" w:hAnsi="Verdana"/>
          <w:sz w:val="16"/>
          <w:szCs w:val="16"/>
          <w:lang w:val="es-CR"/>
        </w:rPr>
        <w:t xml:space="preserve"> párr. 82; </w:t>
      </w:r>
      <w:r>
        <w:rPr>
          <w:rFonts w:ascii="Verdana" w:hAnsi="Verdana"/>
          <w:i/>
          <w:sz w:val="16"/>
          <w:szCs w:val="16"/>
          <w:lang w:val="es-CR"/>
        </w:rPr>
        <w:t>Caso Abrill Alosilla Vs. Perú</w:t>
      </w:r>
      <w:r w:rsidRPr="0074711B">
        <w:rPr>
          <w:rFonts w:ascii="Verdana" w:hAnsi="Verdana"/>
          <w:i/>
          <w:sz w:val="16"/>
          <w:szCs w:val="16"/>
          <w:lang w:val="es-CR"/>
        </w:rPr>
        <w:t xml:space="preserve">, supra </w:t>
      </w:r>
      <w:r w:rsidRPr="0074711B">
        <w:rPr>
          <w:rFonts w:ascii="Verdana" w:hAnsi="Verdana"/>
          <w:sz w:val="16"/>
          <w:szCs w:val="16"/>
          <w:lang w:val="es-CR"/>
        </w:rPr>
        <w:t xml:space="preserve">nota </w:t>
      </w:r>
      <w:r>
        <w:rPr>
          <w:rFonts w:ascii="Verdana" w:hAnsi="Verdana"/>
          <w:sz w:val="16"/>
          <w:szCs w:val="16"/>
          <w:lang w:val="es-CR"/>
        </w:rPr>
        <w:t>19</w:t>
      </w:r>
      <w:r w:rsidRPr="0074711B">
        <w:rPr>
          <w:rFonts w:ascii="Verdana" w:hAnsi="Verdana"/>
          <w:sz w:val="16"/>
          <w:szCs w:val="16"/>
          <w:lang w:val="es-CR"/>
        </w:rPr>
        <w:t>, párr. 137,</w:t>
      </w:r>
      <w:r w:rsidRPr="0074711B">
        <w:rPr>
          <w:rFonts w:ascii="Verdana" w:hAnsi="Verdana"/>
          <w:i/>
          <w:sz w:val="16"/>
          <w:szCs w:val="16"/>
          <w:lang w:val="es-CR"/>
        </w:rPr>
        <w:t xml:space="preserve"> </w:t>
      </w:r>
      <w:r w:rsidRPr="0074711B">
        <w:rPr>
          <w:rFonts w:ascii="Verdana" w:hAnsi="Verdana"/>
          <w:sz w:val="16"/>
          <w:szCs w:val="16"/>
          <w:lang w:val="es-CR"/>
        </w:rPr>
        <w:t>y</w:t>
      </w:r>
      <w:r w:rsidRPr="0074711B">
        <w:rPr>
          <w:rFonts w:ascii="Verdana" w:hAnsi="Verdana"/>
          <w:i/>
          <w:sz w:val="16"/>
          <w:szCs w:val="16"/>
          <w:lang w:val="es-CR"/>
        </w:rPr>
        <w:t xml:space="preserve"> Caso Vera Vera y otros Vs. Ecuador, supra </w:t>
      </w:r>
      <w:r w:rsidRPr="0074711B">
        <w:rPr>
          <w:rFonts w:ascii="Verdana" w:hAnsi="Verdana"/>
          <w:sz w:val="16"/>
          <w:szCs w:val="16"/>
          <w:lang w:val="es-CR"/>
        </w:rPr>
        <w:t>nota 1</w:t>
      </w:r>
      <w:r>
        <w:rPr>
          <w:rFonts w:ascii="Verdana" w:hAnsi="Verdana"/>
          <w:sz w:val="16"/>
          <w:szCs w:val="16"/>
          <w:lang w:val="es-CR"/>
        </w:rPr>
        <w:t>2</w:t>
      </w:r>
      <w:r w:rsidRPr="0074711B">
        <w:rPr>
          <w:rFonts w:ascii="Verdana" w:hAnsi="Verdana"/>
          <w:sz w:val="16"/>
          <w:szCs w:val="16"/>
          <w:lang w:val="es-CR"/>
        </w:rPr>
        <w:t>, párr. 144.</w:t>
      </w:r>
    </w:p>
    <w:p w:rsidR="00D93A8F" w:rsidRPr="00854CE8" w:rsidRDefault="00D93A8F" w:rsidP="00B36838">
      <w:pPr>
        <w:pStyle w:val="Textonotapie"/>
        <w:jc w:val="both"/>
        <w:rPr>
          <w:lang w:val="es-ES"/>
        </w:rPr>
      </w:pPr>
    </w:p>
  </w:footnote>
  <w:footnote w:id="119">
    <w:p w:rsidR="00D93A8F" w:rsidRDefault="00D93A8F" w:rsidP="003515BA">
      <w:pPr>
        <w:pStyle w:val="Textonotapie"/>
        <w:jc w:val="both"/>
      </w:pPr>
      <w:r>
        <w:rPr>
          <w:rStyle w:val="Refdenotaalpie"/>
          <w:rFonts w:ascii="Verdana" w:hAnsi="Verdana"/>
          <w:sz w:val="16"/>
          <w:szCs w:val="16"/>
        </w:rPr>
        <w:footnoteRef/>
      </w:r>
      <w:r w:rsidRPr="00FC3247">
        <w:rPr>
          <w:rFonts w:ascii="Verdana" w:hAnsi="Verdana"/>
          <w:sz w:val="16"/>
          <w:szCs w:val="16"/>
          <w:lang w:val="es-CR"/>
        </w:rPr>
        <w:t xml:space="preserve"> </w:t>
      </w:r>
      <w:r w:rsidRPr="00A45324">
        <w:rPr>
          <w:rFonts w:ascii="Verdana" w:hAnsi="Verdana"/>
          <w:sz w:val="16"/>
          <w:szCs w:val="16"/>
          <w:lang w:val="es-CR"/>
        </w:rPr>
        <w:tab/>
      </w:r>
      <w:r w:rsidRPr="006D4948">
        <w:rPr>
          <w:rFonts w:ascii="Verdana" w:hAnsi="Verdana"/>
          <w:i/>
          <w:sz w:val="16"/>
          <w:szCs w:val="16"/>
          <w:lang w:val="es-CR"/>
        </w:rPr>
        <w:t>Cfr. Caso Chaparro Álvarez y Lapo Iñiquez Vs. Ecuador. Excepciones Preliminares, Fondo, Reparaciones y Costas.</w:t>
      </w:r>
      <w:r w:rsidRPr="006D4948">
        <w:rPr>
          <w:rFonts w:ascii="Verdana" w:hAnsi="Verdana"/>
          <w:sz w:val="16"/>
          <w:szCs w:val="16"/>
          <w:lang w:val="es-CR"/>
        </w:rPr>
        <w:t xml:space="preserve"> Sentencia de 21 de noviembre de 2007. Serie C. No. 170, párr. 275; </w:t>
      </w:r>
      <w:r w:rsidRPr="006D4948">
        <w:rPr>
          <w:rFonts w:ascii="Verdana" w:hAnsi="Verdana"/>
          <w:i/>
          <w:sz w:val="16"/>
          <w:szCs w:val="16"/>
          <w:lang w:val="es-CR"/>
        </w:rPr>
        <w:t>Caso de</w:t>
      </w:r>
      <w:r w:rsidRPr="006D4948" w:rsidDel="00480C15">
        <w:rPr>
          <w:rFonts w:ascii="Verdana" w:hAnsi="Verdana"/>
          <w:sz w:val="16"/>
          <w:szCs w:val="16"/>
          <w:lang w:val="es-CR"/>
        </w:rPr>
        <w:t xml:space="preserve"> </w:t>
      </w:r>
      <w:r w:rsidRPr="006D4948">
        <w:rPr>
          <w:rFonts w:ascii="Verdana" w:hAnsi="Verdana"/>
          <w:i/>
          <w:sz w:val="16"/>
          <w:szCs w:val="16"/>
          <w:lang w:val="es-CR"/>
        </w:rPr>
        <w:t>Salvador Chiriboga Vs. Ecuador. Reparaciones y Costas, supra</w:t>
      </w:r>
      <w:r>
        <w:rPr>
          <w:rFonts w:ascii="Verdana" w:hAnsi="Verdana"/>
          <w:sz w:val="16"/>
          <w:szCs w:val="16"/>
          <w:lang w:val="es-CR"/>
        </w:rPr>
        <w:t xml:space="preserve"> nota 98, párr. 138, y</w:t>
      </w:r>
      <w:r w:rsidRPr="006D4948">
        <w:rPr>
          <w:rFonts w:ascii="Verdana" w:hAnsi="Verdana"/>
          <w:sz w:val="16"/>
          <w:szCs w:val="16"/>
          <w:lang w:val="es-CR"/>
        </w:rPr>
        <w:t xml:space="preserve"> </w:t>
      </w:r>
      <w:r w:rsidRPr="006D4948">
        <w:rPr>
          <w:rFonts w:ascii="Verdana" w:hAnsi="Verdana"/>
          <w:i/>
          <w:sz w:val="16"/>
          <w:szCs w:val="16"/>
          <w:lang w:val="es-CR"/>
        </w:rPr>
        <w:t xml:space="preserve">Caso Abrill Alosilla Vs. Perú, supra </w:t>
      </w:r>
      <w:r w:rsidRPr="006D4948">
        <w:rPr>
          <w:rFonts w:ascii="Verdana" w:hAnsi="Verdana"/>
          <w:sz w:val="16"/>
          <w:szCs w:val="16"/>
          <w:lang w:val="es-CR"/>
        </w:rPr>
        <w:t>nota 19, párr. 137.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A8F" w:rsidRPr="005E60E5" w:rsidRDefault="00D93A8F" w:rsidP="005E60E5">
    <w:pPr>
      <w:pStyle w:val="Encabezado"/>
      <w:rPr>
        <w:sz w:val="16"/>
        <w:szCs w:val="16"/>
        <w:lang w:val="es-CR"/>
      </w:rPr>
    </w:pPr>
    <w:r>
      <w:rPr>
        <w:rFonts w:ascii="Verdana" w:hAnsi="Verdana"/>
        <w:i/>
        <w:sz w:val="16"/>
        <w:lang w:val="es-CR"/>
      </w:rPr>
      <w:tab/>
    </w:r>
    <w:r w:rsidRPr="009227B8">
      <w:rPr>
        <w:rFonts w:ascii="Verdana" w:hAnsi="Verdana"/>
        <w:sz w:val="20"/>
        <w:szCs w:val="20"/>
        <w:lang w:val="es-ES"/>
      </w:rPr>
      <w:fldChar w:fldCharType="begin"/>
    </w:r>
    <w:r w:rsidRPr="009227B8">
      <w:rPr>
        <w:rFonts w:ascii="Verdana" w:hAnsi="Verdana"/>
        <w:sz w:val="20"/>
        <w:szCs w:val="20"/>
        <w:lang w:val="es-ES"/>
      </w:rPr>
      <w:instrText xml:space="preserve"> PAGE   \* MERGEFORMAT </w:instrText>
    </w:r>
    <w:r w:rsidRPr="009227B8">
      <w:rPr>
        <w:rFonts w:ascii="Verdana" w:hAnsi="Verdana"/>
        <w:sz w:val="20"/>
        <w:szCs w:val="20"/>
        <w:lang w:val="es-ES"/>
      </w:rPr>
      <w:fldChar w:fldCharType="separate"/>
    </w:r>
    <w:r w:rsidR="00943FDD">
      <w:rPr>
        <w:rFonts w:ascii="Verdana" w:hAnsi="Verdana"/>
        <w:noProof/>
        <w:sz w:val="20"/>
        <w:szCs w:val="20"/>
        <w:lang w:val="es-ES"/>
      </w:rPr>
      <w:t>21</w:t>
    </w:r>
    <w:r w:rsidRPr="009227B8">
      <w:rPr>
        <w:rFonts w:ascii="Verdana" w:hAnsi="Verdana"/>
        <w:sz w:val="20"/>
        <w:szCs w:val="20"/>
        <w:lang w:val="es-ES"/>
      </w:rPr>
      <w:fldChar w:fldCharType="end"/>
    </w:r>
    <w:r w:rsidRPr="009227B8">
      <w:rPr>
        <w:lang w:val="es-E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2"/>
      <w:numFmt w:val="decimal"/>
      <w:lvlText w:val="%1."/>
      <w:lvlJc w:val="left"/>
      <w:pPr>
        <w:tabs>
          <w:tab w:val="num" w:pos="2880"/>
        </w:tabs>
        <w:ind w:left="2880" w:hanging="360"/>
      </w:pPr>
      <w:rPr>
        <w:rFonts w:cs="Times New Roman"/>
      </w:rPr>
    </w:lvl>
  </w:abstractNum>
  <w:abstractNum w:abstractNumId="1">
    <w:nsid w:val="00000002"/>
    <w:multiLevelType w:val="singleLevel"/>
    <w:tmpl w:val="00000002"/>
    <w:name w:val="WW8Num2"/>
    <w:lvl w:ilvl="0">
      <w:start w:val="7"/>
      <w:numFmt w:val="decimal"/>
      <w:lvlText w:val="%1."/>
      <w:lvlJc w:val="left"/>
      <w:pPr>
        <w:tabs>
          <w:tab w:val="num" w:pos="720"/>
        </w:tabs>
        <w:ind w:left="720" w:hanging="360"/>
      </w:pPr>
      <w:rPr>
        <w:rFonts w:cs="Times New Roman"/>
      </w:rPr>
    </w:lvl>
  </w:abstractNum>
  <w:abstractNum w:abstractNumId="2">
    <w:nsid w:val="00000003"/>
    <w:multiLevelType w:val="singleLevel"/>
    <w:tmpl w:val="00000003"/>
    <w:name w:val="WW8Num3"/>
    <w:lvl w:ilvl="0">
      <w:start w:val="29"/>
      <w:numFmt w:val="decimal"/>
      <w:lvlText w:val="%1."/>
      <w:lvlJc w:val="left"/>
      <w:pPr>
        <w:tabs>
          <w:tab w:val="num" w:pos="795"/>
        </w:tabs>
        <w:ind w:left="795" w:hanging="705"/>
      </w:pPr>
      <w:rPr>
        <w:rFonts w:cs="Times New Roman"/>
      </w:rPr>
    </w:lvl>
  </w:abstractNum>
  <w:abstractNum w:abstractNumId="3">
    <w:nsid w:val="01D503B5"/>
    <w:multiLevelType w:val="hybridMultilevel"/>
    <w:tmpl w:val="F034A9CC"/>
    <w:lvl w:ilvl="0" w:tplc="F0F0B35A">
      <w:start w:val="1"/>
      <w:numFmt w:val="upperRoman"/>
      <w:pStyle w:val="Ttulo1"/>
      <w:lvlText w:val="%1"/>
      <w:lvlJc w:val="left"/>
      <w:pPr>
        <w:ind w:left="810" w:hanging="360"/>
      </w:pPr>
      <w:rPr>
        <w:rFonts w:cs="Times New Roman" w:hint="default"/>
        <w:b/>
        <w:i w:val="0"/>
        <w:sz w:val="20"/>
        <w:szCs w:val="20"/>
      </w:rPr>
    </w:lvl>
    <w:lvl w:ilvl="1" w:tplc="5B566A54">
      <w:start w:val="1"/>
      <w:numFmt w:val="lowerLetter"/>
      <w:lvlText w:val="%2."/>
      <w:lvlJc w:val="left"/>
      <w:pPr>
        <w:tabs>
          <w:tab w:val="num" w:pos="1800"/>
        </w:tabs>
        <w:ind w:left="1800" w:hanging="360"/>
      </w:pPr>
      <w:rPr>
        <w:rFonts w:cs="Times New Roman"/>
      </w:rPr>
    </w:lvl>
    <w:lvl w:ilvl="2" w:tplc="001B0409">
      <w:start w:val="1"/>
      <w:numFmt w:val="lowerRoman"/>
      <w:lvlText w:val="%3."/>
      <w:lvlJc w:val="right"/>
      <w:pPr>
        <w:tabs>
          <w:tab w:val="num" w:pos="2250"/>
        </w:tabs>
        <w:ind w:left="2250" w:hanging="180"/>
      </w:pPr>
      <w:rPr>
        <w:rFonts w:cs="Times New Roman"/>
      </w:rPr>
    </w:lvl>
    <w:lvl w:ilvl="3" w:tplc="99CEECF8">
      <w:start w:val="10"/>
      <w:numFmt w:val="decimal"/>
      <w:lvlText w:val="%4."/>
      <w:lvlJc w:val="left"/>
      <w:pPr>
        <w:tabs>
          <w:tab w:val="num" w:pos="2970"/>
        </w:tabs>
        <w:ind w:left="2970" w:hanging="360"/>
      </w:pPr>
      <w:rPr>
        <w:rFonts w:ascii="Times New Roman" w:hAnsi="Times New Roman" w:cs="Times New Roman" w:hint="default"/>
      </w:rPr>
    </w:lvl>
    <w:lvl w:ilvl="4" w:tplc="00190409" w:tentative="1">
      <w:start w:val="1"/>
      <w:numFmt w:val="lowerLetter"/>
      <w:lvlText w:val="%5."/>
      <w:lvlJc w:val="left"/>
      <w:pPr>
        <w:tabs>
          <w:tab w:val="num" w:pos="3690"/>
        </w:tabs>
        <w:ind w:left="3690" w:hanging="360"/>
      </w:pPr>
      <w:rPr>
        <w:rFonts w:cs="Times New Roman"/>
      </w:rPr>
    </w:lvl>
    <w:lvl w:ilvl="5" w:tplc="001B0409" w:tentative="1">
      <w:start w:val="1"/>
      <w:numFmt w:val="lowerRoman"/>
      <w:lvlText w:val="%6."/>
      <w:lvlJc w:val="right"/>
      <w:pPr>
        <w:tabs>
          <w:tab w:val="num" w:pos="4410"/>
        </w:tabs>
        <w:ind w:left="4410" w:hanging="180"/>
      </w:pPr>
      <w:rPr>
        <w:rFonts w:cs="Times New Roman"/>
      </w:rPr>
    </w:lvl>
    <w:lvl w:ilvl="6" w:tplc="000F0409" w:tentative="1">
      <w:start w:val="1"/>
      <w:numFmt w:val="decimal"/>
      <w:lvlText w:val="%7."/>
      <w:lvlJc w:val="left"/>
      <w:pPr>
        <w:tabs>
          <w:tab w:val="num" w:pos="5130"/>
        </w:tabs>
        <w:ind w:left="5130" w:hanging="360"/>
      </w:pPr>
      <w:rPr>
        <w:rFonts w:cs="Times New Roman"/>
      </w:rPr>
    </w:lvl>
    <w:lvl w:ilvl="7" w:tplc="00190409" w:tentative="1">
      <w:start w:val="1"/>
      <w:numFmt w:val="lowerLetter"/>
      <w:lvlText w:val="%8."/>
      <w:lvlJc w:val="left"/>
      <w:pPr>
        <w:tabs>
          <w:tab w:val="num" w:pos="5850"/>
        </w:tabs>
        <w:ind w:left="5850" w:hanging="360"/>
      </w:pPr>
      <w:rPr>
        <w:rFonts w:cs="Times New Roman"/>
      </w:rPr>
    </w:lvl>
    <w:lvl w:ilvl="8" w:tplc="001B0409" w:tentative="1">
      <w:start w:val="1"/>
      <w:numFmt w:val="lowerRoman"/>
      <w:lvlText w:val="%9."/>
      <w:lvlJc w:val="right"/>
      <w:pPr>
        <w:tabs>
          <w:tab w:val="num" w:pos="6570"/>
        </w:tabs>
        <w:ind w:left="6570" w:hanging="180"/>
      </w:pPr>
      <w:rPr>
        <w:rFonts w:cs="Times New Roman"/>
      </w:rPr>
    </w:lvl>
  </w:abstractNum>
  <w:abstractNum w:abstractNumId="4">
    <w:nsid w:val="0A7C7617"/>
    <w:multiLevelType w:val="hybridMultilevel"/>
    <w:tmpl w:val="35DE0114"/>
    <w:lvl w:ilvl="0" w:tplc="281E571A">
      <w:start w:val="80"/>
      <w:numFmt w:val="decimal"/>
      <w:lvlText w:val="%1."/>
      <w:lvlJc w:val="left"/>
      <w:pPr>
        <w:ind w:left="2415" w:hanging="795"/>
      </w:pPr>
      <w:rPr>
        <w:rFonts w:ascii="Verdana" w:hAnsi="Verdana" w:cs="Times New Roman" w:hint="default"/>
        <w:b w:val="0"/>
        <w:i w:val="0"/>
        <w:strike w:val="0"/>
        <w:color w:val="auto"/>
        <w:sz w:val="20"/>
        <w:szCs w:val="20"/>
      </w:rPr>
    </w:lvl>
    <w:lvl w:ilvl="1" w:tplc="140A0019" w:tentative="1">
      <w:start w:val="1"/>
      <w:numFmt w:val="lowerLetter"/>
      <w:lvlText w:val="%2."/>
      <w:lvlJc w:val="left"/>
      <w:pPr>
        <w:ind w:left="1440" w:hanging="360"/>
      </w:pPr>
      <w:rPr>
        <w:rFonts w:cs="Times New Roman"/>
      </w:rPr>
    </w:lvl>
    <w:lvl w:ilvl="2" w:tplc="140A001B" w:tentative="1">
      <w:start w:val="1"/>
      <w:numFmt w:val="lowerRoman"/>
      <w:lvlText w:val="%3."/>
      <w:lvlJc w:val="right"/>
      <w:pPr>
        <w:ind w:left="2160" w:hanging="180"/>
      </w:pPr>
      <w:rPr>
        <w:rFonts w:cs="Times New Roman"/>
      </w:rPr>
    </w:lvl>
    <w:lvl w:ilvl="3" w:tplc="140A000F" w:tentative="1">
      <w:start w:val="1"/>
      <w:numFmt w:val="decimal"/>
      <w:lvlText w:val="%4."/>
      <w:lvlJc w:val="left"/>
      <w:pPr>
        <w:ind w:left="2880" w:hanging="360"/>
      </w:pPr>
      <w:rPr>
        <w:rFonts w:cs="Times New Roman"/>
      </w:rPr>
    </w:lvl>
    <w:lvl w:ilvl="4" w:tplc="140A0019" w:tentative="1">
      <w:start w:val="1"/>
      <w:numFmt w:val="lowerLetter"/>
      <w:lvlText w:val="%5."/>
      <w:lvlJc w:val="left"/>
      <w:pPr>
        <w:ind w:left="3600" w:hanging="360"/>
      </w:pPr>
      <w:rPr>
        <w:rFonts w:cs="Times New Roman"/>
      </w:rPr>
    </w:lvl>
    <w:lvl w:ilvl="5" w:tplc="140A001B" w:tentative="1">
      <w:start w:val="1"/>
      <w:numFmt w:val="lowerRoman"/>
      <w:lvlText w:val="%6."/>
      <w:lvlJc w:val="right"/>
      <w:pPr>
        <w:ind w:left="4320" w:hanging="180"/>
      </w:pPr>
      <w:rPr>
        <w:rFonts w:cs="Times New Roman"/>
      </w:rPr>
    </w:lvl>
    <w:lvl w:ilvl="6" w:tplc="140A000F" w:tentative="1">
      <w:start w:val="1"/>
      <w:numFmt w:val="decimal"/>
      <w:lvlText w:val="%7."/>
      <w:lvlJc w:val="left"/>
      <w:pPr>
        <w:ind w:left="5040" w:hanging="360"/>
      </w:pPr>
      <w:rPr>
        <w:rFonts w:cs="Times New Roman"/>
      </w:rPr>
    </w:lvl>
    <w:lvl w:ilvl="7" w:tplc="140A0019" w:tentative="1">
      <w:start w:val="1"/>
      <w:numFmt w:val="lowerLetter"/>
      <w:lvlText w:val="%8."/>
      <w:lvlJc w:val="left"/>
      <w:pPr>
        <w:ind w:left="5760" w:hanging="360"/>
      </w:pPr>
      <w:rPr>
        <w:rFonts w:cs="Times New Roman"/>
      </w:rPr>
    </w:lvl>
    <w:lvl w:ilvl="8" w:tplc="140A001B" w:tentative="1">
      <w:start w:val="1"/>
      <w:numFmt w:val="lowerRoman"/>
      <w:lvlText w:val="%9."/>
      <w:lvlJc w:val="right"/>
      <w:pPr>
        <w:ind w:left="6480" w:hanging="180"/>
      </w:pPr>
      <w:rPr>
        <w:rFonts w:cs="Times New Roman"/>
      </w:rPr>
    </w:lvl>
  </w:abstractNum>
  <w:abstractNum w:abstractNumId="5">
    <w:nsid w:val="0C2D42CA"/>
    <w:multiLevelType w:val="hybridMultilevel"/>
    <w:tmpl w:val="683639CE"/>
    <w:lvl w:ilvl="0" w:tplc="04090017">
      <w:start w:val="1"/>
      <w:numFmt w:val="lowerLetter"/>
      <w:lvlText w:val="%1)"/>
      <w:lvlJc w:val="left"/>
      <w:pPr>
        <w:tabs>
          <w:tab w:val="num" w:pos="720"/>
        </w:tabs>
        <w:ind w:left="720" w:hanging="360"/>
      </w:pPr>
      <w:rPr>
        <w:rFonts w:cs="Times New Roman" w:hint="default"/>
      </w:rPr>
    </w:lvl>
    <w:lvl w:ilvl="1" w:tplc="F7C6202A">
      <w:start w:val="44"/>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E3C2205"/>
    <w:multiLevelType w:val="hybridMultilevel"/>
    <w:tmpl w:val="A1887B10"/>
    <w:lvl w:ilvl="0" w:tplc="0A4A2C40">
      <w:start w:val="1"/>
      <w:numFmt w:val="upperLetter"/>
      <w:lvlText w:val="%1)"/>
      <w:lvlJc w:val="left"/>
      <w:pPr>
        <w:ind w:left="720" w:hanging="360"/>
      </w:pPr>
      <w:rPr>
        <w:rFonts w:cs="Times New Roman" w:hint="default"/>
      </w:rPr>
    </w:lvl>
    <w:lvl w:ilvl="1" w:tplc="74D48ADA">
      <w:start w:val="42"/>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E443B12"/>
    <w:multiLevelType w:val="hybridMultilevel"/>
    <w:tmpl w:val="282A36C4"/>
    <w:lvl w:ilvl="0" w:tplc="04090015">
      <w:start w:val="1"/>
      <w:numFmt w:val="upperLetter"/>
      <w:lvlText w:val="%1."/>
      <w:lvlJc w:val="left"/>
      <w:pPr>
        <w:tabs>
          <w:tab w:val="num" w:pos="720"/>
        </w:tabs>
        <w:ind w:left="720" w:hanging="360"/>
      </w:pPr>
      <w:rPr>
        <w:rFonts w:cs="Times New Roman" w:hint="default"/>
      </w:rPr>
    </w:lvl>
    <w:lvl w:ilvl="1" w:tplc="F3EC5D50">
      <w:start w:val="1"/>
      <w:numFmt w:val="decimal"/>
      <w:lvlText w:val="%2."/>
      <w:lvlJc w:val="left"/>
      <w:pPr>
        <w:tabs>
          <w:tab w:val="num" w:pos="1440"/>
        </w:tabs>
        <w:ind w:left="1440" w:hanging="360"/>
      </w:pPr>
      <w:rPr>
        <w:rFonts w:cs="Helvetica" w:hint="default"/>
      </w:rPr>
    </w:lvl>
    <w:lvl w:ilvl="2" w:tplc="13805BDE">
      <w:start w:val="7"/>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2D7420C"/>
    <w:multiLevelType w:val="hybridMultilevel"/>
    <w:tmpl w:val="EB2A5028"/>
    <w:lvl w:ilvl="0" w:tplc="985A5FF8">
      <w:start w:val="85"/>
      <w:numFmt w:val="decimal"/>
      <w:lvlText w:val="%1."/>
      <w:lvlJc w:val="left"/>
      <w:pPr>
        <w:tabs>
          <w:tab w:val="num" w:pos="1170"/>
        </w:tabs>
        <w:ind w:left="450"/>
      </w:pPr>
      <w:rPr>
        <w:rFonts w:ascii="Verdana" w:hAnsi="Verdana" w:cs="Times New Roman" w:hint="default"/>
        <w:b w:val="0"/>
        <w:i w:val="0"/>
        <w:color w:val="auto"/>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3EC5853"/>
    <w:multiLevelType w:val="hybridMultilevel"/>
    <w:tmpl w:val="B678C6A8"/>
    <w:lvl w:ilvl="0" w:tplc="441C3F4A">
      <w:start w:val="1"/>
      <w:numFmt w:val="decimal"/>
      <w:lvlText w:val="%1."/>
      <w:lvlJc w:val="left"/>
      <w:pPr>
        <w:tabs>
          <w:tab w:val="num" w:pos="2025"/>
        </w:tabs>
        <w:ind w:left="2025" w:hanging="405"/>
      </w:pPr>
      <w:rPr>
        <w:rFonts w:cs="Verdana-Italic"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9FE31DD"/>
    <w:multiLevelType w:val="hybridMultilevel"/>
    <w:tmpl w:val="F674866C"/>
    <w:lvl w:ilvl="0" w:tplc="C414F514">
      <w:start w:val="1"/>
      <w:numFmt w:val="lowerLetter"/>
      <w:lvlText w:val="%1)"/>
      <w:lvlJc w:val="left"/>
      <w:pPr>
        <w:tabs>
          <w:tab w:val="num" w:pos="720"/>
        </w:tabs>
        <w:ind w:left="720" w:hanging="360"/>
      </w:pPr>
      <w:rPr>
        <w:rFonts w:cs="Times New Roman" w:hint="default"/>
      </w:rPr>
    </w:lvl>
    <w:lvl w:ilvl="1" w:tplc="4170EED2">
      <w:start w:val="4"/>
      <w:numFmt w:val="upperLetter"/>
      <w:lvlText w:val="%2."/>
      <w:lvlJc w:val="left"/>
      <w:pPr>
        <w:tabs>
          <w:tab w:val="num" w:pos="1440"/>
        </w:tabs>
        <w:ind w:left="1440" w:hanging="360"/>
      </w:pPr>
      <w:rPr>
        <w:rFonts w:cs="Times New Roman" w:hint="default"/>
        <w:i w:val="0"/>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11">
    <w:nsid w:val="2D013A25"/>
    <w:multiLevelType w:val="hybridMultilevel"/>
    <w:tmpl w:val="C07E5978"/>
    <w:lvl w:ilvl="0" w:tplc="46E8A744">
      <w:start w:val="76"/>
      <w:numFmt w:val="decimal"/>
      <w:lvlText w:val="%1."/>
      <w:lvlJc w:val="left"/>
      <w:pPr>
        <w:ind w:left="795" w:hanging="795"/>
      </w:pPr>
      <w:rPr>
        <w:rFonts w:ascii="Verdana" w:hAnsi="Verdana" w:cs="Times New Roman" w:hint="default"/>
        <w:b w:val="0"/>
        <w:i w:val="0"/>
        <w:strike w:val="0"/>
        <w:color w:val="auto"/>
        <w:sz w:val="20"/>
        <w:szCs w:val="20"/>
      </w:rPr>
    </w:lvl>
    <w:lvl w:ilvl="1" w:tplc="140A0019" w:tentative="1">
      <w:start w:val="1"/>
      <w:numFmt w:val="lowerLetter"/>
      <w:lvlText w:val="%2."/>
      <w:lvlJc w:val="left"/>
      <w:pPr>
        <w:ind w:left="1440" w:hanging="360"/>
      </w:pPr>
      <w:rPr>
        <w:rFonts w:cs="Times New Roman"/>
      </w:rPr>
    </w:lvl>
    <w:lvl w:ilvl="2" w:tplc="140A001B" w:tentative="1">
      <w:start w:val="1"/>
      <w:numFmt w:val="lowerRoman"/>
      <w:lvlText w:val="%3."/>
      <w:lvlJc w:val="right"/>
      <w:pPr>
        <w:ind w:left="2160" w:hanging="180"/>
      </w:pPr>
      <w:rPr>
        <w:rFonts w:cs="Times New Roman"/>
      </w:rPr>
    </w:lvl>
    <w:lvl w:ilvl="3" w:tplc="140A000F" w:tentative="1">
      <w:start w:val="1"/>
      <w:numFmt w:val="decimal"/>
      <w:lvlText w:val="%4."/>
      <w:lvlJc w:val="left"/>
      <w:pPr>
        <w:ind w:left="2880" w:hanging="360"/>
      </w:pPr>
      <w:rPr>
        <w:rFonts w:cs="Times New Roman"/>
      </w:rPr>
    </w:lvl>
    <w:lvl w:ilvl="4" w:tplc="140A0019" w:tentative="1">
      <w:start w:val="1"/>
      <w:numFmt w:val="lowerLetter"/>
      <w:lvlText w:val="%5."/>
      <w:lvlJc w:val="left"/>
      <w:pPr>
        <w:ind w:left="3600" w:hanging="360"/>
      </w:pPr>
      <w:rPr>
        <w:rFonts w:cs="Times New Roman"/>
      </w:rPr>
    </w:lvl>
    <w:lvl w:ilvl="5" w:tplc="140A001B" w:tentative="1">
      <w:start w:val="1"/>
      <w:numFmt w:val="lowerRoman"/>
      <w:lvlText w:val="%6."/>
      <w:lvlJc w:val="right"/>
      <w:pPr>
        <w:ind w:left="4320" w:hanging="180"/>
      </w:pPr>
      <w:rPr>
        <w:rFonts w:cs="Times New Roman"/>
      </w:rPr>
    </w:lvl>
    <w:lvl w:ilvl="6" w:tplc="140A000F" w:tentative="1">
      <w:start w:val="1"/>
      <w:numFmt w:val="decimal"/>
      <w:lvlText w:val="%7."/>
      <w:lvlJc w:val="left"/>
      <w:pPr>
        <w:ind w:left="5040" w:hanging="360"/>
      </w:pPr>
      <w:rPr>
        <w:rFonts w:cs="Times New Roman"/>
      </w:rPr>
    </w:lvl>
    <w:lvl w:ilvl="7" w:tplc="140A0019" w:tentative="1">
      <w:start w:val="1"/>
      <w:numFmt w:val="lowerLetter"/>
      <w:lvlText w:val="%8."/>
      <w:lvlJc w:val="left"/>
      <w:pPr>
        <w:ind w:left="5760" w:hanging="360"/>
      </w:pPr>
      <w:rPr>
        <w:rFonts w:cs="Times New Roman"/>
      </w:rPr>
    </w:lvl>
    <w:lvl w:ilvl="8" w:tplc="140A001B" w:tentative="1">
      <w:start w:val="1"/>
      <w:numFmt w:val="lowerRoman"/>
      <w:lvlText w:val="%9."/>
      <w:lvlJc w:val="right"/>
      <w:pPr>
        <w:ind w:left="6480" w:hanging="180"/>
      </w:pPr>
      <w:rPr>
        <w:rFonts w:cs="Times New Roman"/>
      </w:rPr>
    </w:lvl>
  </w:abstractNum>
  <w:abstractNum w:abstractNumId="12">
    <w:nsid w:val="331D2A03"/>
    <w:multiLevelType w:val="hybridMultilevel"/>
    <w:tmpl w:val="FE687A9E"/>
    <w:lvl w:ilvl="0" w:tplc="611E3A72">
      <w:start w:val="1"/>
      <w:numFmt w:val="decimal"/>
      <w:lvlText w:val="%1."/>
      <w:lvlJc w:val="left"/>
      <w:pPr>
        <w:tabs>
          <w:tab w:val="num" w:pos="90"/>
        </w:tabs>
      </w:pPr>
      <w:rPr>
        <w:rFonts w:cs="Times New Roman"/>
        <w:b w:val="0"/>
        <w:i w:val="0"/>
        <w:sz w:val="20"/>
      </w:rPr>
    </w:lvl>
    <w:lvl w:ilvl="1" w:tplc="0409000F">
      <w:start w:val="1"/>
      <w:numFmt w:val="decimal"/>
      <w:lvlText w:val="%2."/>
      <w:lvlJc w:val="left"/>
      <w:pPr>
        <w:tabs>
          <w:tab w:val="num" w:pos="990"/>
        </w:tabs>
        <w:ind w:left="990" w:hanging="360"/>
      </w:pPr>
      <w:rPr>
        <w:rFonts w:cs="Times New Roman"/>
        <w:b w:val="0"/>
        <w:i w:val="0"/>
        <w:sz w:val="20"/>
      </w:rPr>
    </w:lvl>
    <w:lvl w:ilvl="2" w:tplc="080A001B">
      <w:start w:val="1"/>
      <w:numFmt w:val="decimal"/>
      <w:lvlText w:val="%3."/>
      <w:lvlJc w:val="left"/>
      <w:pPr>
        <w:tabs>
          <w:tab w:val="num" w:pos="2250"/>
        </w:tabs>
        <w:ind w:left="2250" w:hanging="360"/>
      </w:pPr>
      <w:rPr>
        <w:rFonts w:cs="Times New Roman"/>
      </w:rPr>
    </w:lvl>
    <w:lvl w:ilvl="3" w:tplc="080A000F">
      <w:start w:val="1"/>
      <w:numFmt w:val="decimal"/>
      <w:lvlText w:val="%4."/>
      <w:lvlJc w:val="left"/>
      <w:pPr>
        <w:tabs>
          <w:tab w:val="num" w:pos="2970"/>
        </w:tabs>
        <w:ind w:left="2970" w:hanging="360"/>
      </w:pPr>
      <w:rPr>
        <w:rFonts w:cs="Times New Roman"/>
      </w:rPr>
    </w:lvl>
    <w:lvl w:ilvl="4" w:tplc="080A0019">
      <w:start w:val="1"/>
      <w:numFmt w:val="decimal"/>
      <w:lvlText w:val="%5."/>
      <w:lvlJc w:val="left"/>
      <w:pPr>
        <w:tabs>
          <w:tab w:val="num" w:pos="3690"/>
        </w:tabs>
        <w:ind w:left="3690" w:hanging="360"/>
      </w:pPr>
      <w:rPr>
        <w:rFonts w:cs="Times New Roman"/>
      </w:rPr>
    </w:lvl>
    <w:lvl w:ilvl="5" w:tplc="080A001B">
      <w:start w:val="1"/>
      <w:numFmt w:val="decimal"/>
      <w:lvlText w:val="%6."/>
      <w:lvlJc w:val="left"/>
      <w:pPr>
        <w:tabs>
          <w:tab w:val="num" w:pos="4410"/>
        </w:tabs>
        <w:ind w:left="4410" w:hanging="360"/>
      </w:pPr>
      <w:rPr>
        <w:rFonts w:cs="Times New Roman"/>
      </w:rPr>
    </w:lvl>
    <w:lvl w:ilvl="6" w:tplc="080A000F">
      <w:start w:val="1"/>
      <w:numFmt w:val="decimal"/>
      <w:lvlText w:val="%7."/>
      <w:lvlJc w:val="left"/>
      <w:pPr>
        <w:tabs>
          <w:tab w:val="num" w:pos="5130"/>
        </w:tabs>
        <w:ind w:left="5130" w:hanging="360"/>
      </w:pPr>
      <w:rPr>
        <w:rFonts w:cs="Times New Roman"/>
      </w:rPr>
    </w:lvl>
    <w:lvl w:ilvl="7" w:tplc="080A0019">
      <w:start w:val="1"/>
      <w:numFmt w:val="decimal"/>
      <w:lvlText w:val="%8."/>
      <w:lvlJc w:val="left"/>
      <w:pPr>
        <w:tabs>
          <w:tab w:val="num" w:pos="5850"/>
        </w:tabs>
        <w:ind w:left="5850" w:hanging="360"/>
      </w:pPr>
      <w:rPr>
        <w:rFonts w:cs="Times New Roman"/>
      </w:rPr>
    </w:lvl>
    <w:lvl w:ilvl="8" w:tplc="080A001B">
      <w:start w:val="1"/>
      <w:numFmt w:val="decimal"/>
      <w:lvlText w:val="%9."/>
      <w:lvlJc w:val="left"/>
      <w:pPr>
        <w:tabs>
          <w:tab w:val="num" w:pos="6570"/>
        </w:tabs>
        <w:ind w:left="6570" w:hanging="360"/>
      </w:pPr>
      <w:rPr>
        <w:rFonts w:cs="Times New Roman"/>
      </w:rPr>
    </w:lvl>
  </w:abstractNum>
  <w:abstractNum w:abstractNumId="13">
    <w:nsid w:val="34F97A79"/>
    <w:multiLevelType w:val="hybridMultilevel"/>
    <w:tmpl w:val="79CC16C4"/>
    <w:lvl w:ilvl="0" w:tplc="040C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4">
    <w:nsid w:val="35606608"/>
    <w:multiLevelType w:val="hybridMultilevel"/>
    <w:tmpl w:val="B678C6A8"/>
    <w:lvl w:ilvl="0" w:tplc="441C3F4A">
      <w:start w:val="1"/>
      <w:numFmt w:val="decimal"/>
      <w:lvlText w:val="%1."/>
      <w:lvlJc w:val="left"/>
      <w:pPr>
        <w:tabs>
          <w:tab w:val="num" w:pos="2025"/>
        </w:tabs>
        <w:ind w:left="2025" w:hanging="405"/>
      </w:pPr>
      <w:rPr>
        <w:rFonts w:cs="Verdana-Italic"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3E6E4436"/>
    <w:multiLevelType w:val="hybridMultilevel"/>
    <w:tmpl w:val="1C3A4136"/>
    <w:lvl w:ilvl="0" w:tplc="04090017">
      <w:start w:val="1"/>
      <w:numFmt w:val="lowerLetter"/>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6">
    <w:nsid w:val="40210634"/>
    <w:multiLevelType w:val="hybridMultilevel"/>
    <w:tmpl w:val="EE143F70"/>
    <w:lvl w:ilvl="0" w:tplc="F8AA2412">
      <w:start w:val="2"/>
      <w:numFmt w:val="upperLetter"/>
      <w:lvlText w:val="%1."/>
      <w:lvlJc w:val="left"/>
      <w:pPr>
        <w:tabs>
          <w:tab w:val="num" w:pos="720"/>
        </w:tabs>
        <w:ind w:left="720" w:hanging="360"/>
      </w:pPr>
      <w:rPr>
        <w:rFonts w:cs="Verdana-Italic" w:hint="default"/>
      </w:rPr>
    </w:lvl>
    <w:lvl w:ilvl="1" w:tplc="FCD89A8A">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42FE5570"/>
    <w:multiLevelType w:val="hybridMultilevel"/>
    <w:tmpl w:val="C30C5E70"/>
    <w:lvl w:ilvl="0" w:tplc="2A2660E4">
      <w:start w:val="131"/>
      <w:numFmt w:val="decimal"/>
      <w:lvlText w:val="%1."/>
      <w:lvlJc w:val="left"/>
      <w:pPr>
        <w:ind w:left="795" w:hanging="795"/>
      </w:pPr>
      <w:rPr>
        <w:rFonts w:ascii="Verdana" w:hAnsi="Verdana" w:cs="Times New Roman" w:hint="default"/>
        <w:b w:val="0"/>
        <w:i w:val="0"/>
        <w:strike w:val="0"/>
        <w:color w:val="auto"/>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490329FC"/>
    <w:multiLevelType w:val="hybridMultilevel"/>
    <w:tmpl w:val="51F8FA76"/>
    <w:lvl w:ilvl="0" w:tplc="176615BE">
      <w:start w:val="27"/>
      <w:numFmt w:val="decimal"/>
      <w:lvlText w:val="%1."/>
      <w:lvlJc w:val="left"/>
      <w:pPr>
        <w:tabs>
          <w:tab w:val="num" w:pos="720"/>
        </w:tabs>
        <w:ind w:left="720" w:hanging="720"/>
      </w:pPr>
      <w:rPr>
        <w:rFonts w:cs="Times New Roman" w:hint="default"/>
        <w:b w:val="0"/>
      </w:rPr>
    </w:lvl>
    <w:lvl w:ilvl="1" w:tplc="C7FCB7CC">
      <w:start w:val="1"/>
      <w:numFmt w:val="lowerLetter"/>
      <w:lvlText w:val="%2)"/>
      <w:lvlJc w:val="left"/>
      <w:pPr>
        <w:tabs>
          <w:tab w:val="num" w:pos="1440"/>
        </w:tabs>
        <w:ind w:left="1440" w:hanging="360"/>
      </w:pPr>
      <w:rPr>
        <w:rFonts w:ascii="Verdana" w:eastAsia="Times New Roman" w:hAnsi="Verdana" w:cs="Lucida Sans Unicode"/>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4C286592"/>
    <w:multiLevelType w:val="hybridMultilevel"/>
    <w:tmpl w:val="5F3CF0E6"/>
    <w:lvl w:ilvl="0" w:tplc="60BEF894">
      <w:start w:val="1"/>
      <w:numFmt w:val="upperLetter"/>
      <w:pStyle w:val="Ttulo2"/>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4F2755F7"/>
    <w:multiLevelType w:val="hybridMultilevel"/>
    <w:tmpl w:val="560EA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1946CE9"/>
    <w:multiLevelType w:val="hybridMultilevel"/>
    <w:tmpl w:val="A1ACC394"/>
    <w:lvl w:ilvl="0" w:tplc="1D220C5C">
      <w:start w:val="1"/>
      <w:numFmt w:val="decimal"/>
      <w:lvlText w:val="%1."/>
      <w:lvlJc w:val="left"/>
      <w:pPr>
        <w:ind w:left="795" w:hanging="795"/>
      </w:pPr>
      <w:rPr>
        <w:rFonts w:ascii="Verdana" w:hAnsi="Verdana" w:cs="Times New Roman" w:hint="default"/>
        <w:b w:val="0"/>
        <w:i w:val="0"/>
        <w:strike w:val="0"/>
        <w:color w:val="auto"/>
        <w:sz w:val="20"/>
        <w:szCs w:val="20"/>
      </w:rPr>
    </w:lvl>
    <w:lvl w:ilvl="1" w:tplc="04090019">
      <w:start w:val="1"/>
      <w:numFmt w:val="lowerLetter"/>
      <w:lvlText w:val="%2."/>
      <w:lvlJc w:val="left"/>
      <w:pPr>
        <w:ind w:left="1440" w:hanging="360"/>
      </w:pPr>
      <w:rPr>
        <w:rFonts w:cs="Times New Roman"/>
      </w:rPr>
    </w:lvl>
    <w:lvl w:ilvl="2" w:tplc="81B0CF12">
      <w:start w:val="1"/>
      <w:numFmt w:val="upperLetter"/>
      <w:lvlText w:val="%3."/>
      <w:lvlJc w:val="left"/>
      <w:pPr>
        <w:tabs>
          <w:tab w:val="num" w:pos="2700"/>
        </w:tabs>
        <w:ind w:left="2700" w:hanging="720"/>
      </w:pPr>
      <w:rPr>
        <w:rFonts w:cs="Times New Roman" w:hint="default"/>
      </w:rPr>
    </w:lvl>
    <w:lvl w:ilvl="3" w:tplc="9DFA1E00">
      <w:start w:val="12"/>
      <w:numFmt w:val="decimal"/>
      <w:lvlText w:val="%4."/>
      <w:lvlJc w:val="left"/>
      <w:pPr>
        <w:tabs>
          <w:tab w:val="num" w:pos="2880"/>
        </w:tabs>
        <w:ind w:left="2880" w:hanging="360"/>
      </w:pPr>
      <w:rPr>
        <w:rFonts w:cs="Times New Roman"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59C92ACA"/>
    <w:multiLevelType w:val="hybridMultilevel"/>
    <w:tmpl w:val="46A0CC7E"/>
    <w:lvl w:ilvl="0" w:tplc="2FD8EC0A">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7C9C1080">
      <w:start w:val="1"/>
      <w:numFmt w:val="lowerLetter"/>
      <w:pStyle w:val="Ttulo3"/>
      <w:lvlText w:val="%3)"/>
      <w:lvlJc w:val="left"/>
      <w:pPr>
        <w:ind w:left="990" w:hanging="18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5AEB410D"/>
    <w:multiLevelType w:val="hybridMultilevel"/>
    <w:tmpl w:val="F2C884E0"/>
    <w:lvl w:ilvl="0" w:tplc="4170EED2">
      <w:start w:val="4"/>
      <w:numFmt w:val="upperLetter"/>
      <w:lvlText w:val="%1."/>
      <w:lvlJc w:val="left"/>
      <w:pPr>
        <w:tabs>
          <w:tab w:val="num" w:pos="1440"/>
        </w:tabs>
        <w:ind w:left="1440" w:hanging="360"/>
      </w:pPr>
      <w:rPr>
        <w:rFonts w:cs="Times New Roman" w:hint="default"/>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62B046AC"/>
    <w:multiLevelType w:val="hybridMultilevel"/>
    <w:tmpl w:val="C8BA1878"/>
    <w:lvl w:ilvl="0" w:tplc="62DC264E">
      <w:start w:val="94"/>
      <w:numFmt w:val="decimal"/>
      <w:lvlText w:val="%1."/>
      <w:lvlJc w:val="left"/>
      <w:pPr>
        <w:tabs>
          <w:tab w:val="num" w:pos="720"/>
        </w:tabs>
      </w:pPr>
      <w:rPr>
        <w:rFonts w:ascii="Verdana" w:hAnsi="Verdana" w:cs="Times New Roman" w:hint="default"/>
        <w:b w:val="0"/>
        <w:i w:val="0"/>
        <w:color w:val="auto"/>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63DF2AFC"/>
    <w:multiLevelType w:val="hybridMultilevel"/>
    <w:tmpl w:val="79CC16C4"/>
    <w:lvl w:ilvl="0" w:tplc="040C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6">
    <w:nsid w:val="666176E7"/>
    <w:multiLevelType w:val="hybridMultilevel"/>
    <w:tmpl w:val="1B48EB28"/>
    <w:lvl w:ilvl="0" w:tplc="FD182C96">
      <w:start w:val="146"/>
      <w:numFmt w:val="decimal"/>
      <w:lvlText w:val="%1."/>
      <w:lvlJc w:val="left"/>
      <w:pPr>
        <w:tabs>
          <w:tab w:val="num" w:pos="720"/>
        </w:tabs>
      </w:pPr>
      <w:rPr>
        <w:rFonts w:ascii="Verdana" w:hAnsi="Verdana" w:cs="Times New Roman" w:hint="default"/>
        <w:b w:val="0"/>
        <w:i w:val="0"/>
        <w:color w:val="auto"/>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2932C026">
      <w:start w:val="2"/>
      <w:numFmt w:val="decimal"/>
      <w:lvlText w:val="%4."/>
      <w:lvlJc w:val="left"/>
      <w:pPr>
        <w:ind w:left="2880" w:hanging="360"/>
      </w:pPr>
      <w:rPr>
        <w:rFonts w:cs="Times New Roman"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67283DAA"/>
    <w:multiLevelType w:val="hybridMultilevel"/>
    <w:tmpl w:val="4634C37C"/>
    <w:lvl w:ilvl="0" w:tplc="A580C448">
      <w:start w:val="1"/>
      <w:numFmt w:val="decimal"/>
      <w:pStyle w:val="Ttulo4"/>
      <w:lvlText w:val="%1)"/>
      <w:lvlJc w:val="left"/>
      <w:pPr>
        <w:ind w:left="198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8">
    <w:nsid w:val="6B027DCD"/>
    <w:multiLevelType w:val="hybridMultilevel"/>
    <w:tmpl w:val="95BE37F0"/>
    <w:lvl w:ilvl="0" w:tplc="88861076">
      <w:start w:val="1"/>
      <w:numFmt w:val="decimal"/>
      <w:lvlText w:val="%1."/>
      <w:lvlJc w:val="left"/>
      <w:pPr>
        <w:tabs>
          <w:tab w:val="num" w:pos="720"/>
        </w:tabs>
        <w:ind w:left="720" w:hanging="720"/>
      </w:pPr>
      <w:rPr>
        <w:rFonts w:cs="Times New Roman"/>
        <w:sz w:val="20"/>
        <w:szCs w:val="20"/>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9">
    <w:nsid w:val="72DC2AC7"/>
    <w:multiLevelType w:val="hybridMultilevel"/>
    <w:tmpl w:val="BDDE8904"/>
    <w:lvl w:ilvl="0" w:tplc="034E421C">
      <w:start w:val="1"/>
      <w:numFmt w:val="decimal"/>
      <w:lvlText w:val="%1."/>
      <w:lvlJc w:val="left"/>
      <w:pPr>
        <w:tabs>
          <w:tab w:val="num" w:pos="1080"/>
        </w:tabs>
        <w:ind w:left="360"/>
      </w:pPr>
      <w:rPr>
        <w:rFonts w:ascii="Verdana" w:hAnsi="Verdana" w:cs="Times New Roman" w:hint="default"/>
        <w:b w:val="0"/>
        <w:i w:val="0"/>
        <w:color w:val="auto"/>
        <w:sz w:val="20"/>
        <w:szCs w:val="20"/>
      </w:rPr>
    </w:lvl>
    <w:lvl w:ilvl="1" w:tplc="64A22312">
      <w:start w:val="1"/>
      <w:numFmt w:val="lowerLetter"/>
      <w:lvlText w:val="%2)"/>
      <w:lvlJc w:val="left"/>
      <w:pPr>
        <w:tabs>
          <w:tab w:val="num" w:pos="1440"/>
        </w:tabs>
        <w:ind w:left="1440" w:hanging="360"/>
      </w:pPr>
      <w:rPr>
        <w:rFonts w:cs="Times New Roman" w:hint="default"/>
        <w:i w:val="0"/>
        <w:color w:val="auto"/>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18"/>
  </w:num>
  <w:num w:numId="3">
    <w:abstractNumId w:val="21"/>
  </w:num>
  <w:num w:numId="4">
    <w:abstractNumId w:val="5"/>
  </w:num>
  <w:num w:numId="5">
    <w:abstractNumId w:val="13"/>
  </w:num>
  <w:num w:numId="6">
    <w:abstractNumId w:val="25"/>
  </w:num>
  <w:num w:numId="7">
    <w:abstractNumId w:val="3"/>
  </w:num>
  <w:num w:numId="8">
    <w:abstractNumId w:val="24"/>
  </w:num>
  <w:num w:numId="9">
    <w:abstractNumId w:val="19"/>
  </w:num>
  <w:num w:numId="10">
    <w:abstractNumId w:val="22"/>
  </w:num>
  <w:num w:numId="11">
    <w:abstractNumId w:val="27"/>
    <w:lvlOverride w:ilvl="0">
      <w:startOverride w:val="1"/>
    </w:lvlOverride>
  </w:num>
  <w:num w:numId="12">
    <w:abstractNumId w:val="27"/>
    <w:lvlOverride w:ilvl="0">
      <w:startOverride w:val="1"/>
    </w:lvlOverride>
  </w:num>
  <w:num w:numId="13">
    <w:abstractNumId w:val="27"/>
    <w:lvlOverride w:ilvl="0">
      <w:startOverride w:val="1"/>
    </w:lvlOverride>
  </w:num>
  <w:num w:numId="14">
    <w:abstractNumId w:val="17"/>
  </w:num>
  <w:num w:numId="15">
    <w:abstractNumId w:val="29"/>
  </w:num>
  <w:num w:numId="16">
    <w:abstractNumId w:val="16"/>
  </w:num>
  <w:num w:numId="17">
    <w:abstractNumId w:val="14"/>
  </w:num>
  <w:num w:numId="18">
    <w:abstractNumId w:val="12"/>
  </w:num>
  <w:num w:numId="19">
    <w:abstractNumId w:val="10"/>
  </w:num>
  <w:num w:numId="20">
    <w:abstractNumId w:val="7"/>
  </w:num>
  <w:num w:numId="21">
    <w:abstractNumId w:val="23"/>
  </w:num>
  <w:num w:numId="22">
    <w:abstractNumId w:val="9"/>
  </w:num>
  <w:num w:numId="23">
    <w:abstractNumId w:val="28"/>
  </w:num>
  <w:num w:numId="24">
    <w:abstractNumId w:val="15"/>
  </w:num>
  <w:num w:numId="25">
    <w:abstractNumId w:val="20"/>
  </w:num>
  <w:num w:numId="26">
    <w:abstractNumId w:val="26"/>
  </w:num>
  <w:num w:numId="27">
    <w:abstractNumId w:val="3"/>
  </w:num>
  <w:num w:numId="28">
    <w:abstractNumId w:val="3"/>
  </w:num>
  <w:num w:numId="29">
    <w:abstractNumId w:val="19"/>
  </w:num>
  <w:num w:numId="30">
    <w:abstractNumId w:val="19"/>
    <w:lvlOverride w:ilvl="0">
      <w:startOverride w:val="1"/>
    </w:lvlOverride>
  </w:num>
  <w:num w:numId="31">
    <w:abstractNumId w:val="19"/>
  </w:num>
  <w:num w:numId="32">
    <w:abstractNumId w:val="19"/>
  </w:num>
  <w:num w:numId="33">
    <w:abstractNumId w:val="19"/>
  </w:num>
  <w:num w:numId="34">
    <w:abstractNumId w:val="19"/>
  </w:num>
  <w:num w:numId="35">
    <w:abstractNumId w:val="19"/>
  </w:num>
  <w:num w:numId="36">
    <w:abstractNumId w:val="19"/>
  </w:num>
  <w:num w:numId="37">
    <w:abstractNumId w:val="3"/>
  </w:num>
  <w:num w:numId="38">
    <w:abstractNumId w:val="19"/>
  </w:num>
  <w:num w:numId="39">
    <w:abstractNumId w:val="19"/>
    <w:lvlOverride w:ilvl="0">
      <w:startOverride w:val="1"/>
    </w:lvlOverride>
  </w:num>
  <w:num w:numId="40">
    <w:abstractNumId w:val="19"/>
  </w:num>
  <w:num w:numId="41">
    <w:abstractNumId w:val="27"/>
    <w:lvlOverride w:ilvl="0">
      <w:startOverride w:val="1"/>
    </w:lvlOverride>
  </w:num>
  <w:num w:numId="42">
    <w:abstractNumId w:val="27"/>
    <w:lvlOverride w:ilvl="0">
      <w:startOverride w:val="1"/>
    </w:lvlOverride>
  </w:num>
  <w:num w:numId="43">
    <w:abstractNumId w:val="19"/>
  </w:num>
  <w:num w:numId="44">
    <w:abstractNumId w:val="19"/>
  </w:num>
  <w:num w:numId="45">
    <w:abstractNumId w:val="19"/>
    <w:lvlOverride w:ilvl="0">
      <w:startOverride w:val="1"/>
    </w:lvlOverride>
  </w:num>
  <w:num w:numId="46">
    <w:abstractNumId w:val="19"/>
  </w:num>
  <w:num w:numId="47">
    <w:abstractNumId w:val="22"/>
  </w:num>
  <w:num w:numId="48">
    <w:abstractNumId w:val="19"/>
  </w:num>
  <w:num w:numId="49">
    <w:abstractNumId w:val="19"/>
  </w:num>
  <w:num w:numId="50">
    <w:abstractNumId w:val="19"/>
  </w:num>
  <w:num w:numId="51">
    <w:abstractNumId w:val="27"/>
    <w:lvlOverride w:ilvl="0">
      <w:startOverride w:val="1"/>
    </w:lvlOverride>
  </w:num>
  <w:num w:numId="52">
    <w:abstractNumId w:val="27"/>
  </w:num>
  <w:num w:numId="53">
    <w:abstractNumId w:val="27"/>
  </w:num>
  <w:num w:numId="54">
    <w:abstractNumId w:val="27"/>
    <w:lvlOverride w:ilvl="0">
      <w:startOverride w:val="1"/>
    </w:lvlOverride>
  </w:num>
  <w:num w:numId="55">
    <w:abstractNumId w:val="27"/>
    <w:lvlOverride w:ilvl="0">
      <w:startOverride w:val="1"/>
    </w:lvlOverride>
  </w:num>
  <w:num w:numId="56">
    <w:abstractNumId w:val="8"/>
  </w:num>
  <w:num w:numId="57">
    <w:abstractNumId w:val="27"/>
  </w:num>
  <w:num w:numId="58">
    <w:abstractNumId w:val="27"/>
  </w:num>
  <w:num w:numId="59">
    <w:abstractNumId w:val="27"/>
    <w:lvlOverride w:ilvl="0">
      <w:startOverride w:val="1"/>
    </w:lvlOverride>
  </w:num>
  <w:num w:numId="60">
    <w:abstractNumId w:val="22"/>
  </w:num>
  <w:num w:numId="61">
    <w:abstractNumId w:val="22"/>
  </w:num>
  <w:num w:numId="62">
    <w:abstractNumId w:val="11"/>
  </w:num>
  <w:num w:numId="63">
    <w:abstractNumId w:val="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CR"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n-US" w:vendorID="64" w:dllVersion="131078" w:nlCheck="1" w:checkStyle="1"/>
  <w:activeWritingStyle w:appName="MSWord" w:lang="es-CL" w:vendorID="64" w:dllVersion="131078" w:nlCheck="1" w:checkStyle="1"/>
  <w:activeWritingStyle w:appName="MSWord" w:lang="es-ES_tradnl" w:vendorID="64" w:dllVersion="131078" w:nlCheck="1" w:checkStyle="1"/>
  <w:activeWritingStyle w:appName="MSWord" w:lang="es-EC" w:vendorID="64" w:dllVersion="131078" w:nlCheck="1" w:checkStyle="1"/>
  <w:activeWritingStyle w:appName="MSWord" w:lang="es-A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2B3"/>
    <w:rsid w:val="00001420"/>
    <w:rsid w:val="00003AF2"/>
    <w:rsid w:val="000045B5"/>
    <w:rsid w:val="00007006"/>
    <w:rsid w:val="00007FCB"/>
    <w:rsid w:val="0001041D"/>
    <w:rsid w:val="000108D2"/>
    <w:rsid w:val="0001105C"/>
    <w:rsid w:val="000114EE"/>
    <w:rsid w:val="00013BE6"/>
    <w:rsid w:val="000141EE"/>
    <w:rsid w:val="00015737"/>
    <w:rsid w:val="000172A1"/>
    <w:rsid w:val="00020D94"/>
    <w:rsid w:val="00021185"/>
    <w:rsid w:val="00022AEC"/>
    <w:rsid w:val="000237EF"/>
    <w:rsid w:val="00023C2A"/>
    <w:rsid w:val="00026B4E"/>
    <w:rsid w:val="000353C4"/>
    <w:rsid w:val="00036CA5"/>
    <w:rsid w:val="00041318"/>
    <w:rsid w:val="00041EB3"/>
    <w:rsid w:val="0004202E"/>
    <w:rsid w:val="0004220C"/>
    <w:rsid w:val="00042AEB"/>
    <w:rsid w:val="00042EAD"/>
    <w:rsid w:val="000447F0"/>
    <w:rsid w:val="00044958"/>
    <w:rsid w:val="0004543B"/>
    <w:rsid w:val="0005182F"/>
    <w:rsid w:val="00051CF6"/>
    <w:rsid w:val="00054D46"/>
    <w:rsid w:val="00056D78"/>
    <w:rsid w:val="000572F2"/>
    <w:rsid w:val="00057CCF"/>
    <w:rsid w:val="00060623"/>
    <w:rsid w:val="000610E8"/>
    <w:rsid w:val="00061328"/>
    <w:rsid w:val="0006303F"/>
    <w:rsid w:val="000653FF"/>
    <w:rsid w:val="00067923"/>
    <w:rsid w:val="000709A4"/>
    <w:rsid w:val="0007269E"/>
    <w:rsid w:val="00072E7D"/>
    <w:rsid w:val="00074D80"/>
    <w:rsid w:val="00074E15"/>
    <w:rsid w:val="00075BB5"/>
    <w:rsid w:val="00076222"/>
    <w:rsid w:val="000833F5"/>
    <w:rsid w:val="00084DA1"/>
    <w:rsid w:val="000860F2"/>
    <w:rsid w:val="0009020C"/>
    <w:rsid w:val="000909D7"/>
    <w:rsid w:val="00090C31"/>
    <w:rsid w:val="00090DBC"/>
    <w:rsid w:val="00093667"/>
    <w:rsid w:val="000964E8"/>
    <w:rsid w:val="000A11BE"/>
    <w:rsid w:val="000A1D34"/>
    <w:rsid w:val="000A2BC3"/>
    <w:rsid w:val="000A3FB1"/>
    <w:rsid w:val="000A46BB"/>
    <w:rsid w:val="000A4BD3"/>
    <w:rsid w:val="000A63B9"/>
    <w:rsid w:val="000B5BA8"/>
    <w:rsid w:val="000B5EE1"/>
    <w:rsid w:val="000B663C"/>
    <w:rsid w:val="000C1F00"/>
    <w:rsid w:val="000C2807"/>
    <w:rsid w:val="000C637A"/>
    <w:rsid w:val="000C698A"/>
    <w:rsid w:val="000C7602"/>
    <w:rsid w:val="000C7B95"/>
    <w:rsid w:val="000D11C2"/>
    <w:rsid w:val="000D2AF6"/>
    <w:rsid w:val="000D32B9"/>
    <w:rsid w:val="000D5C47"/>
    <w:rsid w:val="000E08CA"/>
    <w:rsid w:val="000E10FE"/>
    <w:rsid w:val="000E4E87"/>
    <w:rsid w:val="000E63F4"/>
    <w:rsid w:val="000F0280"/>
    <w:rsid w:val="000F21E7"/>
    <w:rsid w:val="000F2D8D"/>
    <w:rsid w:val="000F5157"/>
    <w:rsid w:val="000F5CEA"/>
    <w:rsid w:val="000F7A22"/>
    <w:rsid w:val="00101670"/>
    <w:rsid w:val="0010344A"/>
    <w:rsid w:val="00104307"/>
    <w:rsid w:val="001055B7"/>
    <w:rsid w:val="001057E4"/>
    <w:rsid w:val="0010721B"/>
    <w:rsid w:val="001073E0"/>
    <w:rsid w:val="00110D10"/>
    <w:rsid w:val="00113522"/>
    <w:rsid w:val="001136ED"/>
    <w:rsid w:val="00114088"/>
    <w:rsid w:val="0011544F"/>
    <w:rsid w:val="001162F7"/>
    <w:rsid w:val="00117DAB"/>
    <w:rsid w:val="0012003B"/>
    <w:rsid w:val="00120081"/>
    <w:rsid w:val="00120F89"/>
    <w:rsid w:val="001226BB"/>
    <w:rsid w:val="00122CEA"/>
    <w:rsid w:val="00124466"/>
    <w:rsid w:val="0013311E"/>
    <w:rsid w:val="00135C14"/>
    <w:rsid w:val="001361B0"/>
    <w:rsid w:val="00137368"/>
    <w:rsid w:val="00137A26"/>
    <w:rsid w:val="001405F0"/>
    <w:rsid w:val="00140940"/>
    <w:rsid w:val="00140FDC"/>
    <w:rsid w:val="00142500"/>
    <w:rsid w:val="001427BE"/>
    <w:rsid w:val="0014321C"/>
    <w:rsid w:val="00143CFE"/>
    <w:rsid w:val="00144441"/>
    <w:rsid w:val="00146B3A"/>
    <w:rsid w:val="00147AA7"/>
    <w:rsid w:val="00150ABA"/>
    <w:rsid w:val="001510CE"/>
    <w:rsid w:val="001518F5"/>
    <w:rsid w:val="00151BE1"/>
    <w:rsid w:val="00152ACE"/>
    <w:rsid w:val="00152D7B"/>
    <w:rsid w:val="00152F53"/>
    <w:rsid w:val="0015360C"/>
    <w:rsid w:val="00154091"/>
    <w:rsid w:val="00154503"/>
    <w:rsid w:val="00160721"/>
    <w:rsid w:val="00161149"/>
    <w:rsid w:val="00162288"/>
    <w:rsid w:val="001624F3"/>
    <w:rsid w:val="00163A46"/>
    <w:rsid w:val="00163B0D"/>
    <w:rsid w:val="001654D0"/>
    <w:rsid w:val="001703C6"/>
    <w:rsid w:val="00170DFF"/>
    <w:rsid w:val="00171CFF"/>
    <w:rsid w:val="001724DF"/>
    <w:rsid w:val="00172CF0"/>
    <w:rsid w:val="001733A5"/>
    <w:rsid w:val="00173508"/>
    <w:rsid w:val="001750AA"/>
    <w:rsid w:val="00175BCB"/>
    <w:rsid w:val="0017783C"/>
    <w:rsid w:val="00181C3C"/>
    <w:rsid w:val="00182C19"/>
    <w:rsid w:val="00183BDA"/>
    <w:rsid w:val="001840BD"/>
    <w:rsid w:val="00185094"/>
    <w:rsid w:val="001861A2"/>
    <w:rsid w:val="00186DA4"/>
    <w:rsid w:val="001911AB"/>
    <w:rsid w:val="0019206A"/>
    <w:rsid w:val="001920FE"/>
    <w:rsid w:val="0019368A"/>
    <w:rsid w:val="00193982"/>
    <w:rsid w:val="0019545D"/>
    <w:rsid w:val="00196662"/>
    <w:rsid w:val="00196A3D"/>
    <w:rsid w:val="00196CCE"/>
    <w:rsid w:val="00196CDA"/>
    <w:rsid w:val="001A07F4"/>
    <w:rsid w:val="001A1D16"/>
    <w:rsid w:val="001A299E"/>
    <w:rsid w:val="001A2EA1"/>
    <w:rsid w:val="001A30D2"/>
    <w:rsid w:val="001A3392"/>
    <w:rsid w:val="001A4578"/>
    <w:rsid w:val="001A62FF"/>
    <w:rsid w:val="001A6350"/>
    <w:rsid w:val="001A67AC"/>
    <w:rsid w:val="001B4A60"/>
    <w:rsid w:val="001B5947"/>
    <w:rsid w:val="001B665B"/>
    <w:rsid w:val="001B7A1D"/>
    <w:rsid w:val="001C07B6"/>
    <w:rsid w:val="001C0CD1"/>
    <w:rsid w:val="001C165F"/>
    <w:rsid w:val="001C4034"/>
    <w:rsid w:val="001C443D"/>
    <w:rsid w:val="001C522B"/>
    <w:rsid w:val="001C6A59"/>
    <w:rsid w:val="001C7554"/>
    <w:rsid w:val="001D2ED3"/>
    <w:rsid w:val="001D61E9"/>
    <w:rsid w:val="001D6AFF"/>
    <w:rsid w:val="001E030E"/>
    <w:rsid w:val="001E206F"/>
    <w:rsid w:val="001E2AF6"/>
    <w:rsid w:val="001E4178"/>
    <w:rsid w:val="001E75BD"/>
    <w:rsid w:val="001E7A49"/>
    <w:rsid w:val="001F15F2"/>
    <w:rsid w:val="001F2F48"/>
    <w:rsid w:val="001F325A"/>
    <w:rsid w:val="001F4E33"/>
    <w:rsid w:val="001F521E"/>
    <w:rsid w:val="001F6EAD"/>
    <w:rsid w:val="00200397"/>
    <w:rsid w:val="002003A9"/>
    <w:rsid w:val="0020203F"/>
    <w:rsid w:val="00202639"/>
    <w:rsid w:val="0020297A"/>
    <w:rsid w:val="00203D39"/>
    <w:rsid w:val="00206ED5"/>
    <w:rsid w:val="00207F75"/>
    <w:rsid w:val="0021134A"/>
    <w:rsid w:val="00211ABB"/>
    <w:rsid w:val="002132A6"/>
    <w:rsid w:val="0021396D"/>
    <w:rsid w:val="0021414D"/>
    <w:rsid w:val="00216695"/>
    <w:rsid w:val="00220640"/>
    <w:rsid w:val="00220CB3"/>
    <w:rsid w:val="002252D8"/>
    <w:rsid w:val="0022598D"/>
    <w:rsid w:val="00226D91"/>
    <w:rsid w:val="00230B8A"/>
    <w:rsid w:val="00230CDE"/>
    <w:rsid w:val="002338EA"/>
    <w:rsid w:val="002340F5"/>
    <w:rsid w:val="00235727"/>
    <w:rsid w:val="0024083C"/>
    <w:rsid w:val="0024265A"/>
    <w:rsid w:val="00242C29"/>
    <w:rsid w:val="0024435E"/>
    <w:rsid w:val="0024480E"/>
    <w:rsid w:val="00247012"/>
    <w:rsid w:val="00250BFD"/>
    <w:rsid w:val="002513AB"/>
    <w:rsid w:val="0025428A"/>
    <w:rsid w:val="00254AED"/>
    <w:rsid w:val="00257001"/>
    <w:rsid w:val="00260DB5"/>
    <w:rsid w:val="00261233"/>
    <w:rsid w:val="00263D8D"/>
    <w:rsid w:val="0026794D"/>
    <w:rsid w:val="0027142A"/>
    <w:rsid w:val="00277159"/>
    <w:rsid w:val="00277BCA"/>
    <w:rsid w:val="002810D0"/>
    <w:rsid w:val="00281929"/>
    <w:rsid w:val="0028526C"/>
    <w:rsid w:val="00285974"/>
    <w:rsid w:val="00285E4F"/>
    <w:rsid w:val="00286550"/>
    <w:rsid w:val="0029077C"/>
    <w:rsid w:val="00291038"/>
    <w:rsid w:val="00293E2F"/>
    <w:rsid w:val="00294E5F"/>
    <w:rsid w:val="00294ECC"/>
    <w:rsid w:val="00295556"/>
    <w:rsid w:val="00296D02"/>
    <w:rsid w:val="00296D1F"/>
    <w:rsid w:val="0029730D"/>
    <w:rsid w:val="002A1AFB"/>
    <w:rsid w:val="002A2D37"/>
    <w:rsid w:val="002A35FE"/>
    <w:rsid w:val="002A374E"/>
    <w:rsid w:val="002A5548"/>
    <w:rsid w:val="002A6756"/>
    <w:rsid w:val="002A7B09"/>
    <w:rsid w:val="002B02C0"/>
    <w:rsid w:val="002B1152"/>
    <w:rsid w:val="002B14B3"/>
    <w:rsid w:val="002B3D4B"/>
    <w:rsid w:val="002B51E6"/>
    <w:rsid w:val="002B5DC1"/>
    <w:rsid w:val="002C17CD"/>
    <w:rsid w:val="002C188C"/>
    <w:rsid w:val="002C570F"/>
    <w:rsid w:val="002C5E8B"/>
    <w:rsid w:val="002C6122"/>
    <w:rsid w:val="002D086B"/>
    <w:rsid w:val="002D1337"/>
    <w:rsid w:val="002D2745"/>
    <w:rsid w:val="002D483B"/>
    <w:rsid w:val="002D615D"/>
    <w:rsid w:val="002D6F06"/>
    <w:rsid w:val="002D6F30"/>
    <w:rsid w:val="002E104A"/>
    <w:rsid w:val="002E2B5D"/>
    <w:rsid w:val="002E4173"/>
    <w:rsid w:val="002E60C6"/>
    <w:rsid w:val="002E6CEE"/>
    <w:rsid w:val="002E7484"/>
    <w:rsid w:val="002E7F7E"/>
    <w:rsid w:val="002F2994"/>
    <w:rsid w:val="002F3BE7"/>
    <w:rsid w:val="00300F63"/>
    <w:rsid w:val="00302DC8"/>
    <w:rsid w:val="00305FC1"/>
    <w:rsid w:val="003104AF"/>
    <w:rsid w:val="0031188F"/>
    <w:rsid w:val="003154C8"/>
    <w:rsid w:val="00315923"/>
    <w:rsid w:val="00315E44"/>
    <w:rsid w:val="0031701D"/>
    <w:rsid w:val="00317CE9"/>
    <w:rsid w:val="003206CB"/>
    <w:rsid w:val="00321693"/>
    <w:rsid w:val="00321B24"/>
    <w:rsid w:val="00324E8E"/>
    <w:rsid w:val="00324F51"/>
    <w:rsid w:val="00327151"/>
    <w:rsid w:val="00327EB5"/>
    <w:rsid w:val="00331B80"/>
    <w:rsid w:val="00337444"/>
    <w:rsid w:val="003377B0"/>
    <w:rsid w:val="003402ED"/>
    <w:rsid w:val="00341708"/>
    <w:rsid w:val="00341C43"/>
    <w:rsid w:val="00342CEB"/>
    <w:rsid w:val="00344CE0"/>
    <w:rsid w:val="003467A3"/>
    <w:rsid w:val="0034717E"/>
    <w:rsid w:val="00347FA2"/>
    <w:rsid w:val="0035029E"/>
    <w:rsid w:val="00350C79"/>
    <w:rsid w:val="00351016"/>
    <w:rsid w:val="003515BA"/>
    <w:rsid w:val="0035222C"/>
    <w:rsid w:val="0035304D"/>
    <w:rsid w:val="003534E0"/>
    <w:rsid w:val="00353789"/>
    <w:rsid w:val="00354F49"/>
    <w:rsid w:val="0035735E"/>
    <w:rsid w:val="00364441"/>
    <w:rsid w:val="0037052B"/>
    <w:rsid w:val="00370910"/>
    <w:rsid w:val="003709AD"/>
    <w:rsid w:val="00372A6D"/>
    <w:rsid w:val="00372BCF"/>
    <w:rsid w:val="00374B2C"/>
    <w:rsid w:val="00375378"/>
    <w:rsid w:val="00375FCC"/>
    <w:rsid w:val="003807CB"/>
    <w:rsid w:val="0038089D"/>
    <w:rsid w:val="00380ED5"/>
    <w:rsid w:val="0038353E"/>
    <w:rsid w:val="0038569E"/>
    <w:rsid w:val="00385E95"/>
    <w:rsid w:val="00387499"/>
    <w:rsid w:val="00387D8C"/>
    <w:rsid w:val="00390664"/>
    <w:rsid w:val="00390A09"/>
    <w:rsid w:val="00391755"/>
    <w:rsid w:val="0039218C"/>
    <w:rsid w:val="00392B41"/>
    <w:rsid w:val="003935C5"/>
    <w:rsid w:val="003947E0"/>
    <w:rsid w:val="003953FB"/>
    <w:rsid w:val="00396437"/>
    <w:rsid w:val="00396D58"/>
    <w:rsid w:val="003970F8"/>
    <w:rsid w:val="003A06AF"/>
    <w:rsid w:val="003A2994"/>
    <w:rsid w:val="003A35B4"/>
    <w:rsid w:val="003A4EDF"/>
    <w:rsid w:val="003A5EE8"/>
    <w:rsid w:val="003A6569"/>
    <w:rsid w:val="003A7709"/>
    <w:rsid w:val="003B15C9"/>
    <w:rsid w:val="003B1993"/>
    <w:rsid w:val="003B25B4"/>
    <w:rsid w:val="003B471F"/>
    <w:rsid w:val="003B6468"/>
    <w:rsid w:val="003B6CBF"/>
    <w:rsid w:val="003B7268"/>
    <w:rsid w:val="003B793B"/>
    <w:rsid w:val="003C2571"/>
    <w:rsid w:val="003C5112"/>
    <w:rsid w:val="003C5DFA"/>
    <w:rsid w:val="003C6F2D"/>
    <w:rsid w:val="003C76D1"/>
    <w:rsid w:val="003D0DFD"/>
    <w:rsid w:val="003D297C"/>
    <w:rsid w:val="003D3565"/>
    <w:rsid w:val="003D63DA"/>
    <w:rsid w:val="003D6E87"/>
    <w:rsid w:val="003D7689"/>
    <w:rsid w:val="003D79BF"/>
    <w:rsid w:val="003E06C0"/>
    <w:rsid w:val="003E3156"/>
    <w:rsid w:val="003E3176"/>
    <w:rsid w:val="003E34F8"/>
    <w:rsid w:val="003E3A3C"/>
    <w:rsid w:val="003E3B61"/>
    <w:rsid w:val="003E56F9"/>
    <w:rsid w:val="003F00BD"/>
    <w:rsid w:val="003F14D0"/>
    <w:rsid w:val="003F3C72"/>
    <w:rsid w:val="003F4B00"/>
    <w:rsid w:val="003F6E94"/>
    <w:rsid w:val="00400101"/>
    <w:rsid w:val="00401A44"/>
    <w:rsid w:val="00401B40"/>
    <w:rsid w:val="00401DDE"/>
    <w:rsid w:val="00403B71"/>
    <w:rsid w:val="00404774"/>
    <w:rsid w:val="00404F88"/>
    <w:rsid w:val="00405E36"/>
    <w:rsid w:val="00405E66"/>
    <w:rsid w:val="00411E0D"/>
    <w:rsid w:val="00412798"/>
    <w:rsid w:val="00414254"/>
    <w:rsid w:val="00417F63"/>
    <w:rsid w:val="00421FDB"/>
    <w:rsid w:val="004222BC"/>
    <w:rsid w:val="00422EF9"/>
    <w:rsid w:val="00424987"/>
    <w:rsid w:val="004250EC"/>
    <w:rsid w:val="004310A3"/>
    <w:rsid w:val="004318D5"/>
    <w:rsid w:val="00431950"/>
    <w:rsid w:val="00432792"/>
    <w:rsid w:val="0043397E"/>
    <w:rsid w:val="00440E26"/>
    <w:rsid w:val="00441AEC"/>
    <w:rsid w:val="00442726"/>
    <w:rsid w:val="004429AE"/>
    <w:rsid w:val="00442E7C"/>
    <w:rsid w:val="00445610"/>
    <w:rsid w:val="00445B92"/>
    <w:rsid w:val="00446FF1"/>
    <w:rsid w:val="004478A4"/>
    <w:rsid w:val="0045110A"/>
    <w:rsid w:val="00451549"/>
    <w:rsid w:val="00454A39"/>
    <w:rsid w:val="00454E8A"/>
    <w:rsid w:val="0045692D"/>
    <w:rsid w:val="004639AC"/>
    <w:rsid w:val="00463D44"/>
    <w:rsid w:val="00466291"/>
    <w:rsid w:val="0047045A"/>
    <w:rsid w:val="004716AB"/>
    <w:rsid w:val="004726CB"/>
    <w:rsid w:val="004727E4"/>
    <w:rsid w:val="0047282A"/>
    <w:rsid w:val="00480556"/>
    <w:rsid w:val="00480C15"/>
    <w:rsid w:val="0048165A"/>
    <w:rsid w:val="00484159"/>
    <w:rsid w:val="00486541"/>
    <w:rsid w:val="00486B34"/>
    <w:rsid w:val="00486C9C"/>
    <w:rsid w:val="00486D39"/>
    <w:rsid w:val="00490651"/>
    <w:rsid w:val="004933C4"/>
    <w:rsid w:val="0049540B"/>
    <w:rsid w:val="0049610D"/>
    <w:rsid w:val="00496BF5"/>
    <w:rsid w:val="004A156A"/>
    <w:rsid w:val="004A2276"/>
    <w:rsid w:val="004A2730"/>
    <w:rsid w:val="004A49FD"/>
    <w:rsid w:val="004B0256"/>
    <w:rsid w:val="004B14B5"/>
    <w:rsid w:val="004B1989"/>
    <w:rsid w:val="004B3B57"/>
    <w:rsid w:val="004B6B1D"/>
    <w:rsid w:val="004C0A6C"/>
    <w:rsid w:val="004C0C0F"/>
    <w:rsid w:val="004C10DB"/>
    <w:rsid w:val="004C3F59"/>
    <w:rsid w:val="004C54BA"/>
    <w:rsid w:val="004C6836"/>
    <w:rsid w:val="004C7126"/>
    <w:rsid w:val="004C7E9E"/>
    <w:rsid w:val="004D037A"/>
    <w:rsid w:val="004D037D"/>
    <w:rsid w:val="004D112B"/>
    <w:rsid w:val="004D1909"/>
    <w:rsid w:val="004D57ED"/>
    <w:rsid w:val="004D5CA5"/>
    <w:rsid w:val="004D665A"/>
    <w:rsid w:val="004E0C37"/>
    <w:rsid w:val="004E1F39"/>
    <w:rsid w:val="004E1F75"/>
    <w:rsid w:val="004E2978"/>
    <w:rsid w:val="004E2994"/>
    <w:rsid w:val="004E472B"/>
    <w:rsid w:val="004E4733"/>
    <w:rsid w:val="004E59B4"/>
    <w:rsid w:val="004E67B6"/>
    <w:rsid w:val="004E70F6"/>
    <w:rsid w:val="004F48A7"/>
    <w:rsid w:val="004F4B2E"/>
    <w:rsid w:val="005034F3"/>
    <w:rsid w:val="00503A58"/>
    <w:rsid w:val="005075C3"/>
    <w:rsid w:val="00507F8D"/>
    <w:rsid w:val="0051075B"/>
    <w:rsid w:val="00517262"/>
    <w:rsid w:val="00517A90"/>
    <w:rsid w:val="00517CAB"/>
    <w:rsid w:val="005205A6"/>
    <w:rsid w:val="00520B87"/>
    <w:rsid w:val="00522DA0"/>
    <w:rsid w:val="00523851"/>
    <w:rsid w:val="00526FDD"/>
    <w:rsid w:val="005304D2"/>
    <w:rsid w:val="00531284"/>
    <w:rsid w:val="005352CA"/>
    <w:rsid w:val="0053670C"/>
    <w:rsid w:val="0054123D"/>
    <w:rsid w:val="005417D7"/>
    <w:rsid w:val="00541EA1"/>
    <w:rsid w:val="005443E7"/>
    <w:rsid w:val="00545980"/>
    <w:rsid w:val="00552071"/>
    <w:rsid w:val="0055270A"/>
    <w:rsid w:val="0055343A"/>
    <w:rsid w:val="00553488"/>
    <w:rsid w:val="005574FC"/>
    <w:rsid w:val="00557E47"/>
    <w:rsid w:val="0056321C"/>
    <w:rsid w:val="005650B0"/>
    <w:rsid w:val="00565A4A"/>
    <w:rsid w:val="00565BD2"/>
    <w:rsid w:val="0056688A"/>
    <w:rsid w:val="005676D2"/>
    <w:rsid w:val="00570BD5"/>
    <w:rsid w:val="0057480E"/>
    <w:rsid w:val="005774F5"/>
    <w:rsid w:val="00580D60"/>
    <w:rsid w:val="00582ACA"/>
    <w:rsid w:val="00590614"/>
    <w:rsid w:val="00590E96"/>
    <w:rsid w:val="005926F2"/>
    <w:rsid w:val="00594E5A"/>
    <w:rsid w:val="00595262"/>
    <w:rsid w:val="0059593D"/>
    <w:rsid w:val="00595BB3"/>
    <w:rsid w:val="00596F82"/>
    <w:rsid w:val="00597B6A"/>
    <w:rsid w:val="005A0035"/>
    <w:rsid w:val="005A04BD"/>
    <w:rsid w:val="005A2358"/>
    <w:rsid w:val="005A3625"/>
    <w:rsid w:val="005A3B8B"/>
    <w:rsid w:val="005A5C17"/>
    <w:rsid w:val="005A5DDB"/>
    <w:rsid w:val="005A5E95"/>
    <w:rsid w:val="005B1DE1"/>
    <w:rsid w:val="005B4542"/>
    <w:rsid w:val="005B52C5"/>
    <w:rsid w:val="005C34C5"/>
    <w:rsid w:val="005C42E4"/>
    <w:rsid w:val="005C5085"/>
    <w:rsid w:val="005C7278"/>
    <w:rsid w:val="005C75FC"/>
    <w:rsid w:val="005C7CA8"/>
    <w:rsid w:val="005D06BC"/>
    <w:rsid w:val="005D18AC"/>
    <w:rsid w:val="005D693E"/>
    <w:rsid w:val="005E1943"/>
    <w:rsid w:val="005E1B9F"/>
    <w:rsid w:val="005E1D26"/>
    <w:rsid w:val="005E46B6"/>
    <w:rsid w:val="005E511A"/>
    <w:rsid w:val="005E53EA"/>
    <w:rsid w:val="005E5E3A"/>
    <w:rsid w:val="005E60E5"/>
    <w:rsid w:val="005E77A1"/>
    <w:rsid w:val="005E7DE8"/>
    <w:rsid w:val="005F2A50"/>
    <w:rsid w:val="005F2B79"/>
    <w:rsid w:val="005F3704"/>
    <w:rsid w:val="005F3973"/>
    <w:rsid w:val="005F52FA"/>
    <w:rsid w:val="005F7994"/>
    <w:rsid w:val="005F7A48"/>
    <w:rsid w:val="0060011D"/>
    <w:rsid w:val="00600A72"/>
    <w:rsid w:val="00601410"/>
    <w:rsid w:val="00601AAC"/>
    <w:rsid w:val="00604391"/>
    <w:rsid w:val="00606040"/>
    <w:rsid w:val="00606046"/>
    <w:rsid w:val="0060718B"/>
    <w:rsid w:val="00610D0B"/>
    <w:rsid w:val="00611845"/>
    <w:rsid w:val="00611BE7"/>
    <w:rsid w:val="00612CB7"/>
    <w:rsid w:val="00615158"/>
    <w:rsid w:val="00615EB6"/>
    <w:rsid w:val="00616BEB"/>
    <w:rsid w:val="00620E04"/>
    <w:rsid w:val="00621321"/>
    <w:rsid w:val="0062166B"/>
    <w:rsid w:val="00621ADE"/>
    <w:rsid w:val="00622621"/>
    <w:rsid w:val="00623495"/>
    <w:rsid w:val="00623618"/>
    <w:rsid w:val="0062765F"/>
    <w:rsid w:val="00627F11"/>
    <w:rsid w:val="00630DE4"/>
    <w:rsid w:val="00635163"/>
    <w:rsid w:val="0063644F"/>
    <w:rsid w:val="0063648B"/>
    <w:rsid w:val="006408E5"/>
    <w:rsid w:val="00640C9C"/>
    <w:rsid w:val="006425C8"/>
    <w:rsid w:val="00642A0A"/>
    <w:rsid w:val="006445EF"/>
    <w:rsid w:val="00644A34"/>
    <w:rsid w:val="00647933"/>
    <w:rsid w:val="0065058F"/>
    <w:rsid w:val="00651EAC"/>
    <w:rsid w:val="00653C8B"/>
    <w:rsid w:val="00654042"/>
    <w:rsid w:val="0066021D"/>
    <w:rsid w:val="00660864"/>
    <w:rsid w:val="00661FA9"/>
    <w:rsid w:val="006632D9"/>
    <w:rsid w:val="00666768"/>
    <w:rsid w:val="00666F6E"/>
    <w:rsid w:val="006701FE"/>
    <w:rsid w:val="00674110"/>
    <w:rsid w:val="00674A51"/>
    <w:rsid w:val="00676508"/>
    <w:rsid w:val="00676A99"/>
    <w:rsid w:val="00680A47"/>
    <w:rsid w:val="00680D36"/>
    <w:rsid w:val="00680F3C"/>
    <w:rsid w:val="00681321"/>
    <w:rsid w:val="006818B1"/>
    <w:rsid w:val="006840F4"/>
    <w:rsid w:val="0068678C"/>
    <w:rsid w:val="00691D59"/>
    <w:rsid w:val="006921EC"/>
    <w:rsid w:val="006942BE"/>
    <w:rsid w:val="00694A4E"/>
    <w:rsid w:val="00695218"/>
    <w:rsid w:val="006957E5"/>
    <w:rsid w:val="0069664B"/>
    <w:rsid w:val="00696D24"/>
    <w:rsid w:val="00697451"/>
    <w:rsid w:val="006A1B6B"/>
    <w:rsid w:val="006A1F34"/>
    <w:rsid w:val="006A297B"/>
    <w:rsid w:val="006A4B28"/>
    <w:rsid w:val="006A5E56"/>
    <w:rsid w:val="006A625E"/>
    <w:rsid w:val="006B0942"/>
    <w:rsid w:val="006B42F7"/>
    <w:rsid w:val="006B4DEF"/>
    <w:rsid w:val="006C0874"/>
    <w:rsid w:val="006C134A"/>
    <w:rsid w:val="006C2BEC"/>
    <w:rsid w:val="006C6B0B"/>
    <w:rsid w:val="006C769C"/>
    <w:rsid w:val="006D0813"/>
    <w:rsid w:val="006D13B2"/>
    <w:rsid w:val="006D186A"/>
    <w:rsid w:val="006D4948"/>
    <w:rsid w:val="006D58FB"/>
    <w:rsid w:val="006D6039"/>
    <w:rsid w:val="006D6627"/>
    <w:rsid w:val="006D7951"/>
    <w:rsid w:val="006D7DE8"/>
    <w:rsid w:val="006E06E7"/>
    <w:rsid w:val="006E0AD1"/>
    <w:rsid w:val="006E0D7A"/>
    <w:rsid w:val="006E2BBF"/>
    <w:rsid w:val="006E4F47"/>
    <w:rsid w:val="006E5122"/>
    <w:rsid w:val="006F017F"/>
    <w:rsid w:val="006F5524"/>
    <w:rsid w:val="006F6727"/>
    <w:rsid w:val="007021B4"/>
    <w:rsid w:val="00702AC7"/>
    <w:rsid w:val="007040F4"/>
    <w:rsid w:val="0070458A"/>
    <w:rsid w:val="007045BB"/>
    <w:rsid w:val="007054F7"/>
    <w:rsid w:val="007056B9"/>
    <w:rsid w:val="00712923"/>
    <w:rsid w:val="007133D8"/>
    <w:rsid w:val="0071555B"/>
    <w:rsid w:val="00717886"/>
    <w:rsid w:val="00721229"/>
    <w:rsid w:val="00725BFC"/>
    <w:rsid w:val="00725E5E"/>
    <w:rsid w:val="00727296"/>
    <w:rsid w:val="007325F3"/>
    <w:rsid w:val="0073622D"/>
    <w:rsid w:val="007363BA"/>
    <w:rsid w:val="007416C4"/>
    <w:rsid w:val="00741AA5"/>
    <w:rsid w:val="007423D1"/>
    <w:rsid w:val="0074286D"/>
    <w:rsid w:val="007430EA"/>
    <w:rsid w:val="0074711B"/>
    <w:rsid w:val="00747206"/>
    <w:rsid w:val="007473A7"/>
    <w:rsid w:val="00750AD4"/>
    <w:rsid w:val="0075283A"/>
    <w:rsid w:val="00752A6D"/>
    <w:rsid w:val="00754503"/>
    <w:rsid w:val="0075554D"/>
    <w:rsid w:val="0075567D"/>
    <w:rsid w:val="007559F9"/>
    <w:rsid w:val="007562FF"/>
    <w:rsid w:val="00761CA7"/>
    <w:rsid w:val="00762CC2"/>
    <w:rsid w:val="00763B25"/>
    <w:rsid w:val="007665F1"/>
    <w:rsid w:val="007668FE"/>
    <w:rsid w:val="00767474"/>
    <w:rsid w:val="00771C68"/>
    <w:rsid w:val="00773198"/>
    <w:rsid w:val="0077680E"/>
    <w:rsid w:val="00786A16"/>
    <w:rsid w:val="00787019"/>
    <w:rsid w:val="007879DD"/>
    <w:rsid w:val="00790A97"/>
    <w:rsid w:val="007934DA"/>
    <w:rsid w:val="00793586"/>
    <w:rsid w:val="0079380A"/>
    <w:rsid w:val="0079432A"/>
    <w:rsid w:val="007955F7"/>
    <w:rsid w:val="00797890"/>
    <w:rsid w:val="00797AFC"/>
    <w:rsid w:val="007A088C"/>
    <w:rsid w:val="007A18A4"/>
    <w:rsid w:val="007A6128"/>
    <w:rsid w:val="007A6DDE"/>
    <w:rsid w:val="007B12F3"/>
    <w:rsid w:val="007B3478"/>
    <w:rsid w:val="007B4500"/>
    <w:rsid w:val="007C1646"/>
    <w:rsid w:val="007C1A63"/>
    <w:rsid w:val="007C3E35"/>
    <w:rsid w:val="007C4CEA"/>
    <w:rsid w:val="007C554A"/>
    <w:rsid w:val="007C688C"/>
    <w:rsid w:val="007C6F32"/>
    <w:rsid w:val="007D016A"/>
    <w:rsid w:val="007D26D2"/>
    <w:rsid w:val="007D2C71"/>
    <w:rsid w:val="007D52B3"/>
    <w:rsid w:val="007D727B"/>
    <w:rsid w:val="007D7F7A"/>
    <w:rsid w:val="007E2B8A"/>
    <w:rsid w:val="007E3DF7"/>
    <w:rsid w:val="007E4C72"/>
    <w:rsid w:val="007E5794"/>
    <w:rsid w:val="007F326D"/>
    <w:rsid w:val="007F3323"/>
    <w:rsid w:val="007F3AFA"/>
    <w:rsid w:val="007F44C2"/>
    <w:rsid w:val="007F56B5"/>
    <w:rsid w:val="007F59E7"/>
    <w:rsid w:val="007F6071"/>
    <w:rsid w:val="007F63AC"/>
    <w:rsid w:val="007F77C4"/>
    <w:rsid w:val="00800E50"/>
    <w:rsid w:val="00800FA2"/>
    <w:rsid w:val="0080155B"/>
    <w:rsid w:val="00802C33"/>
    <w:rsid w:val="00803C8C"/>
    <w:rsid w:val="00804A8A"/>
    <w:rsid w:val="00810BAD"/>
    <w:rsid w:val="0081588B"/>
    <w:rsid w:val="008167A1"/>
    <w:rsid w:val="008176E9"/>
    <w:rsid w:val="008240D4"/>
    <w:rsid w:val="00827E33"/>
    <w:rsid w:val="008317C9"/>
    <w:rsid w:val="00831DE6"/>
    <w:rsid w:val="00832549"/>
    <w:rsid w:val="00832D3A"/>
    <w:rsid w:val="0083331D"/>
    <w:rsid w:val="0083446F"/>
    <w:rsid w:val="00834D48"/>
    <w:rsid w:val="008351FD"/>
    <w:rsid w:val="00837149"/>
    <w:rsid w:val="008405DF"/>
    <w:rsid w:val="00840976"/>
    <w:rsid w:val="00840A0C"/>
    <w:rsid w:val="00843485"/>
    <w:rsid w:val="00843660"/>
    <w:rsid w:val="008436C0"/>
    <w:rsid w:val="00844529"/>
    <w:rsid w:val="00845F0B"/>
    <w:rsid w:val="0085215A"/>
    <w:rsid w:val="00852A00"/>
    <w:rsid w:val="00852F13"/>
    <w:rsid w:val="00854CE8"/>
    <w:rsid w:val="008569B4"/>
    <w:rsid w:val="00863C4E"/>
    <w:rsid w:val="00864890"/>
    <w:rsid w:val="00865B26"/>
    <w:rsid w:val="00865C4B"/>
    <w:rsid w:val="0086740E"/>
    <w:rsid w:val="008736A2"/>
    <w:rsid w:val="00874FDA"/>
    <w:rsid w:val="008759A7"/>
    <w:rsid w:val="0087777F"/>
    <w:rsid w:val="00880AEA"/>
    <w:rsid w:val="008823EF"/>
    <w:rsid w:val="00883600"/>
    <w:rsid w:val="00884126"/>
    <w:rsid w:val="00884CD4"/>
    <w:rsid w:val="008937B2"/>
    <w:rsid w:val="008960EF"/>
    <w:rsid w:val="008972FA"/>
    <w:rsid w:val="008977EC"/>
    <w:rsid w:val="008A1918"/>
    <w:rsid w:val="008A2CF5"/>
    <w:rsid w:val="008A4217"/>
    <w:rsid w:val="008A59F4"/>
    <w:rsid w:val="008A63E5"/>
    <w:rsid w:val="008A6E47"/>
    <w:rsid w:val="008A72B9"/>
    <w:rsid w:val="008B239A"/>
    <w:rsid w:val="008B3A3D"/>
    <w:rsid w:val="008C1EBC"/>
    <w:rsid w:val="008C231E"/>
    <w:rsid w:val="008C3BCB"/>
    <w:rsid w:val="008C4F74"/>
    <w:rsid w:val="008C57B8"/>
    <w:rsid w:val="008C6023"/>
    <w:rsid w:val="008C6914"/>
    <w:rsid w:val="008C6FEA"/>
    <w:rsid w:val="008C7D42"/>
    <w:rsid w:val="008D0F80"/>
    <w:rsid w:val="008D3676"/>
    <w:rsid w:val="008D48E7"/>
    <w:rsid w:val="008E0917"/>
    <w:rsid w:val="008E2C6B"/>
    <w:rsid w:val="008E4DD3"/>
    <w:rsid w:val="008E6438"/>
    <w:rsid w:val="008E6DF9"/>
    <w:rsid w:val="008E79B9"/>
    <w:rsid w:val="008F41A7"/>
    <w:rsid w:val="009031FB"/>
    <w:rsid w:val="009046C8"/>
    <w:rsid w:val="009061BB"/>
    <w:rsid w:val="0090657C"/>
    <w:rsid w:val="00912D81"/>
    <w:rsid w:val="0091348E"/>
    <w:rsid w:val="00913DE3"/>
    <w:rsid w:val="009157BD"/>
    <w:rsid w:val="0091737F"/>
    <w:rsid w:val="00920430"/>
    <w:rsid w:val="009214E8"/>
    <w:rsid w:val="00921974"/>
    <w:rsid w:val="00922392"/>
    <w:rsid w:val="009226DD"/>
    <w:rsid w:val="009227B8"/>
    <w:rsid w:val="00922977"/>
    <w:rsid w:val="0092435A"/>
    <w:rsid w:val="00924604"/>
    <w:rsid w:val="009248C9"/>
    <w:rsid w:val="009251DD"/>
    <w:rsid w:val="00932D92"/>
    <w:rsid w:val="0093596F"/>
    <w:rsid w:val="00940F63"/>
    <w:rsid w:val="00941880"/>
    <w:rsid w:val="009425CB"/>
    <w:rsid w:val="00943867"/>
    <w:rsid w:val="00943FDD"/>
    <w:rsid w:val="00944F90"/>
    <w:rsid w:val="009454AD"/>
    <w:rsid w:val="00945BBE"/>
    <w:rsid w:val="0094792F"/>
    <w:rsid w:val="00952B7E"/>
    <w:rsid w:val="0095453E"/>
    <w:rsid w:val="00955773"/>
    <w:rsid w:val="00955850"/>
    <w:rsid w:val="00956C14"/>
    <w:rsid w:val="00960A9E"/>
    <w:rsid w:val="00961458"/>
    <w:rsid w:val="009615F0"/>
    <w:rsid w:val="00963B85"/>
    <w:rsid w:val="00963C6D"/>
    <w:rsid w:val="0096445D"/>
    <w:rsid w:val="0096645D"/>
    <w:rsid w:val="009667CB"/>
    <w:rsid w:val="00966986"/>
    <w:rsid w:val="00967338"/>
    <w:rsid w:val="00970BCE"/>
    <w:rsid w:val="009729F7"/>
    <w:rsid w:val="00972E17"/>
    <w:rsid w:val="0097447B"/>
    <w:rsid w:val="009752DB"/>
    <w:rsid w:val="0097625B"/>
    <w:rsid w:val="009777F5"/>
    <w:rsid w:val="00977E26"/>
    <w:rsid w:val="009809C9"/>
    <w:rsid w:val="00981CC3"/>
    <w:rsid w:val="00983F01"/>
    <w:rsid w:val="00983F51"/>
    <w:rsid w:val="00987A2B"/>
    <w:rsid w:val="00987F37"/>
    <w:rsid w:val="00991365"/>
    <w:rsid w:val="00991B03"/>
    <w:rsid w:val="00992333"/>
    <w:rsid w:val="009938D4"/>
    <w:rsid w:val="00993930"/>
    <w:rsid w:val="009944FD"/>
    <w:rsid w:val="009951C6"/>
    <w:rsid w:val="009952C0"/>
    <w:rsid w:val="00995493"/>
    <w:rsid w:val="009975DB"/>
    <w:rsid w:val="009979B7"/>
    <w:rsid w:val="009A0512"/>
    <w:rsid w:val="009A051D"/>
    <w:rsid w:val="009A543A"/>
    <w:rsid w:val="009A5EA0"/>
    <w:rsid w:val="009A6BD8"/>
    <w:rsid w:val="009B4CAB"/>
    <w:rsid w:val="009B5FB6"/>
    <w:rsid w:val="009B6C6F"/>
    <w:rsid w:val="009B7A51"/>
    <w:rsid w:val="009C13C9"/>
    <w:rsid w:val="009C221D"/>
    <w:rsid w:val="009C2BEC"/>
    <w:rsid w:val="009D028F"/>
    <w:rsid w:val="009D029B"/>
    <w:rsid w:val="009D0497"/>
    <w:rsid w:val="009D0545"/>
    <w:rsid w:val="009D0593"/>
    <w:rsid w:val="009D1BE0"/>
    <w:rsid w:val="009D4B59"/>
    <w:rsid w:val="009D6E92"/>
    <w:rsid w:val="009D7BF2"/>
    <w:rsid w:val="009E17B1"/>
    <w:rsid w:val="009E26C0"/>
    <w:rsid w:val="009E4FFE"/>
    <w:rsid w:val="009F006B"/>
    <w:rsid w:val="009F238B"/>
    <w:rsid w:val="009F2743"/>
    <w:rsid w:val="009F274E"/>
    <w:rsid w:val="009F3978"/>
    <w:rsid w:val="009F4E75"/>
    <w:rsid w:val="009F59B6"/>
    <w:rsid w:val="00A00907"/>
    <w:rsid w:val="00A03204"/>
    <w:rsid w:val="00A049D4"/>
    <w:rsid w:val="00A04CE3"/>
    <w:rsid w:val="00A2217F"/>
    <w:rsid w:val="00A233F5"/>
    <w:rsid w:val="00A252E1"/>
    <w:rsid w:val="00A25A03"/>
    <w:rsid w:val="00A25E24"/>
    <w:rsid w:val="00A25E47"/>
    <w:rsid w:val="00A278F4"/>
    <w:rsid w:val="00A303E8"/>
    <w:rsid w:val="00A3149C"/>
    <w:rsid w:val="00A322B8"/>
    <w:rsid w:val="00A368A0"/>
    <w:rsid w:val="00A402E2"/>
    <w:rsid w:val="00A4122B"/>
    <w:rsid w:val="00A42DFB"/>
    <w:rsid w:val="00A42E08"/>
    <w:rsid w:val="00A4520F"/>
    <w:rsid w:val="00A45324"/>
    <w:rsid w:val="00A52B45"/>
    <w:rsid w:val="00A535BB"/>
    <w:rsid w:val="00A53607"/>
    <w:rsid w:val="00A55149"/>
    <w:rsid w:val="00A55CA1"/>
    <w:rsid w:val="00A5780B"/>
    <w:rsid w:val="00A603C2"/>
    <w:rsid w:val="00A64AFF"/>
    <w:rsid w:val="00A6647A"/>
    <w:rsid w:val="00A67766"/>
    <w:rsid w:val="00A7098D"/>
    <w:rsid w:val="00A7150A"/>
    <w:rsid w:val="00A71A5D"/>
    <w:rsid w:val="00A72FA5"/>
    <w:rsid w:val="00A72FB3"/>
    <w:rsid w:val="00A731F7"/>
    <w:rsid w:val="00A755CB"/>
    <w:rsid w:val="00A81443"/>
    <w:rsid w:val="00A81657"/>
    <w:rsid w:val="00A86B65"/>
    <w:rsid w:val="00A90055"/>
    <w:rsid w:val="00A90ABA"/>
    <w:rsid w:val="00A90F28"/>
    <w:rsid w:val="00A9129A"/>
    <w:rsid w:val="00A923B4"/>
    <w:rsid w:val="00A9365C"/>
    <w:rsid w:val="00A96044"/>
    <w:rsid w:val="00AA0E10"/>
    <w:rsid w:val="00AA2296"/>
    <w:rsid w:val="00AA245C"/>
    <w:rsid w:val="00AA3647"/>
    <w:rsid w:val="00AA55C9"/>
    <w:rsid w:val="00AA734F"/>
    <w:rsid w:val="00AA7817"/>
    <w:rsid w:val="00AA7C9C"/>
    <w:rsid w:val="00AB011E"/>
    <w:rsid w:val="00AB021A"/>
    <w:rsid w:val="00AB1639"/>
    <w:rsid w:val="00AB25F5"/>
    <w:rsid w:val="00AB31F3"/>
    <w:rsid w:val="00AB3221"/>
    <w:rsid w:val="00AB592D"/>
    <w:rsid w:val="00AB5F6E"/>
    <w:rsid w:val="00AB62FD"/>
    <w:rsid w:val="00AB66B7"/>
    <w:rsid w:val="00AC1585"/>
    <w:rsid w:val="00AC15A6"/>
    <w:rsid w:val="00AC1F7B"/>
    <w:rsid w:val="00AC2BCF"/>
    <w:rsid w:val="00AC3F2F"/>
    <w:rsid w:val="00AC46C6"/>
    <w:rsid w:val="00AC5A90"/>
    <w:rsid w:val="00AC6463"/>
    <w:rsid w:val="00AC6F02"/>
    <w:rsid w:val="00AD160D"/>
    <w:rsid w:val="00AD52A8"/>
    <w:rsid w:val="00AD5D58"/>
    <w:rsid w:val="00AD7798"/>
    <w:rsid w:val="00AE3119"/>
    <w:rsid w:val="00AE4D86"/>
    <w:rsid w:val="00AE5093"/>
    <w:rsid w:val="00AE682C"/>
    <w:rsid w:val="00AF0E89"/>
    <w:rsid w:val="00AF1BAA"/>
    <w:rsid w:val="00AF2637"/>
    <w:rsid w:val="00B00F67"/>
    <w:rsid w:val="00B03994"/>
    <w:rsid w:val="00B05A34"/>
    <w:rsid w:val="00B072AB"/>
    <w:rsid w:val="00B10296"/>
    <w:rsid w:val="00B10AED"/>
    <w:rsid w:val="00B12A2E"/>
    <w:rsid w:val="00B142E0"/>
    <w:rsid w:val="00B15A99"/>
    <w:rsid w:val="00B15E17"/>
    <w:rsid w:val="00B17E54"/>
    <w:rsid w:val="00B21B8C"/>
    <w:rsid w:val="00B21F68"/>
    <w:rsid w:val="00B2296E"/>
    <w:rsid w:val="00B25952"/>
    <w:rsid w:val="00B26E60"/>
    <w:rsid w:val="00B2773A"/>
    <w:rsid w:val="00B27895"/>
    <w:rsid w:val="00B27CE8"/>
    <w:rsid w:val="00B30544"/>
    <w:rsid w:val="00B308C2"/>
    <w:rsid w:val="00B30A0C"/>
    <w:rsid w:val="00B31431"/>
    <w:rsid w:val="00B36838"/>
    <w:rsid w:val="00B40059"/>
    <w:rsid w:val="00B413A2"/>
    <w:rsid w:val="00B427EF"/>
    <w:rsid w:val="00B50851"/>
    <w:rsid w:val="00B553EC"/>
    <w:rsid w:val="00B56879"/>
    <w:rsid w:val="00B61EEF"/>
    <w:rsid w:val="00B633E3"/>
    <w:rsid w:val="00B64365"/>
    <w:rsid w:val="00B64490"/>
    <w:rsid w:val="00B663E4"/>
    <w:rsid w:val="00B67FBC"/>
    <w:rsid w:val="00B73E5C"/>
    <w:rsid w:val="00B77FEF"/>
    <w:rsid w:val="00B813C6"/>
    <w:rsid w:val="00B82BFC"/>
    <w:rsid w:val="00B8316C"/>
    <w:rsid w:val="00B83A6B"/>
    <w:rsid w:val="00B84D21"/>
    <w:rsid w:val="00B85660"/>
    <w:rsid w:val="00B85ECE"/>
    <w:rsid w:val="00B86522"/>
    <w:rsid w:val="00B874BA"/>
    <w:rsid w:val="00B90321"/>
    <w:rsid w:val="00B94E4F"/>
    <w:rsid w:val="00BA0EE8"/>
    <w:rsid w:val="00BA1341"/>
    <w:rsid w:val="00BA167A"/>
    <w:rsid w:val="00BA2C39"/>
    <w:rsid w:val="00BA2C5C"/>
    <w:rsid w:val="00BA36FD"/>
    <w:rsid w:val="00BA6E46"/>
    <w:rsid w:val="00BB102F"/>
    <w:rsid w:val="00BB19EC"/>
    <w:rsid w:val="00BB1FB2"/>
    <w:rsid w:val="00BB2AB8"/>
    <w:rsid w:val="00BB4AD0"/>
    <w:rsid w:val="00BB51E7"/>
    <w:rsid w:val="00BC18EE"/>
    <w:rsid w:val="00BC44EC"/>
    <w:rsid w:val="00BC4A28"/>
    <w:rsid w:val="00BC5752"/>
    <w:rsid w:val="00BC7C5B"/>
    <w:rsid w:val="00BD03D7"/>
    <w:rsid w:val="00BD2327"/>
    <w:rsid w:val="00BD4816"/>
    <w:rsid w:val="00BD4D3F"/>
    <w:rsid w:val="00BD639F"/>
    <w:rsid w:val="00BD63A1"/>
    <w:rsid w:val="00BD695F"/>
    <w:rsid w:val="00BD770D"/>
    <w:rsid w:val="00BD79C8"/>
    <w:rsid w:val="00BD7F0F"/>
    <w:rsid w:val="00BE340D"/>
    <w:rsid w:val="00BE350F"/>
    <w:rsid w:val="00BE527E"/>
    <w:rsid w:val="00BE57D8"/>
    <w:rsid w:val="00BE6D02"/>
    <w:rsid w:val="00BF0A1D"/>
    <w:rsid w:val="00BF3296"/>
    <w:rsid w:val="00BF495A"/>
    <w:rsid w:val="00BF4AC2"/>
    <w:rsid w:val="00BF58A8"/>
    <w:rsid w:val="00BF5D64"/>
    <w:rsid w:val="00BF6EE3"/>
    <w:rsid w:val="00BF7EF7"/>
    <w:rsid w:val="00C00B52"/>
    <w:rsid w:val="00C0121F"/>
    <w:rsid w:val="00C016CD"/>
    <w:rsid w:val="00C02514"/>
    <w:rsid w:val="00C02552"/>
    <w:rsid w:val="00C02870"/>
    <w:rsid w:val="00C02933"/>
    <w:rsid w:val="00C03C5F"/>
    <w:rsid w:val="00C109F6"/>
    <w:rsid w:val="00C115B7"/>
    <w:rsid w:val="00C13A62"/>
    <w:rsid w:val="00C1613A"/>
    <w:rsid w:val="00C16FFB"/>
    <w:rsid w:val="00C17E4B"/>
    <w:rsid w:val="00C2000D"/>
    <w:rsid w:val="00C21DC0"/>
    <w:rsid w:val="00C229CD"/>
    <w:rsid w:val="00C2349C"/>
    <w:rsid w:val="00C23DE7"/>
    <w:rsid w:val="00C27DF3"/>
    <w:rsid w:val="00C305C5"/>
    <w:rsid w:val="00C30789"/>
    <w:rsid w:val="00C3139D"/>
    <w:rsid w:val="00C31979"/>
    <w:rsid w:val="00C32396"/>
    <w:rsid w:val="00C33A00"/>
    <w:rsid w:val="00C34F8F"/>
    <w:rsid w:val="00C3736D"/>
    <w:rsid w:val="00C40037"/>
    <w:rsid w:val="00C40D36"/>
    <w:rsid w:val="00C41595"/>
    <w:rsid w:val="00C41F9A"/>
    <w:rsid w:val="00C432C4"/>
    <w:rsid w:val="00C44A85"/>
    <w:rsid w:val="00C46C28"/>
    <w:rsid w:val="00C52A9B"/>
    <w:rsid w:val="00C549B6"/>
    <w:rsid w:val="00C562B3"/>
    <w:rsid w:val="00C57020"/>
    <w:rsid w:val="00C60767"/>
    <w:rsid w:val="00C60ED0"/>
    <w:rsid w:val="00C628EC"/>
    <w:rsid w:val="00C62AE3"/>
    <w:rsid w:val="00C64B47"/>
    <w:rsid w:val="00C65EE5"/>
    <w:rsid w:val="00C70FCF"/>
    <w:rsid w:val="00C721B5"/>
    <w:rsid w:val="00C724A9"/>
    <w:rsid w:val="00C75288"/>
    <w:rsid w:val="00C7727E"/>
    <w:rsid w:val="00C801FC"/>
    <w:rsid w:val="00C80201"/>
    <w:rsid w:val="00C81BD7"/>
    <w:rsid w:val="00C820BB"/>
    <w:rsid w:val="00C82818"/>
    <w:rsid w:val="00C82F7D"/>
    <w:rsid w:val="00C830CB"/>
    <w:rsid w:val="00C84AE7"/>
    <w:rsid w:val="00C84E66"/>
    <w:rsid w:val="00C855E7"/>
    <w:rsid w:val="00C85885"/>
    <w:rsid w:val="00C874FB"/>
    <w:rsid w:val="00C87957"/>
    <w:rsid w:val="00C87A54"/>
    <w:rsid w:val="00C87CEB"/>
    <w:rsid w:val="00C905A5"/>
    <w:rsid w:val="00C939A2"/>
    <w:rsid w:val="00C978C6"/>
    <w:rsid w:val="00CA0A55"/>
    <w:rsid w:val="00CA12BE"/>
    <w:rsid w:val="00CA12D5"/>
    <w:rsid w:val="00CA1B80"/>
    <w:rsid w:val="00CA21BF"/>
    <w:rsid w:val="00CA349C"/>
    <w:rsid w:val="00CA3C57"/>
    <w:rsid w:val="00CA4286"/>
    <w:rsid w:val="00CA54F9"/>
    <w:rsid w:val="00CA583A"/>
    <w:rsid w:val="00CA670A"/>
    <w:rsid w:val="00CB05BC"/>
    <w:rsid w:val="00CB1691"/>
    <w:rsid w:val="00CB32ED"/>
    <w:rsid w:val="00CB3BAB"/>
    <w:rsid w:val="00CC04BF"/>
    <w:rsid w:val="00CC254A"/>
    <w:rsid w:val="00CC2684"/>
    <w:rsid w:val="00CC35EB"/>
    <w:rsid w:val="00CC6AAB"/>
    <w:rsid w:val="00CD04D8"/>
    <w:rsid w:val="00CD1462"/>
    <w:rsid w:val="00CD25E0"/>
    <w:rsid w:val="00CD3040"/>
    <w:rsid w:val="00CD4D69"/>
    <w:rsid w:val="00CD5F31"/>
    <w:rsid w:val="00CD70B2"/>
    <w:rsid w:val="00CD7955"/>
    <w:rsid w:val="00CE2BA6"/>
    <w:rsid w:val="00CE4782"/>
    <w:rsid w:val="00CE677B"/>
    <w:rsid w:val="00CF07BC"/>
    <w:rsid w:val="00CF1667"/>
    <w:rsid w:val="00CF1A1D"/>
    <w:rsid w:val="00CF249E"/>
    <w:rsid w:val="00CF3421"/>
    <w:rsid w:val="00CF4F22"/>
    <w:rsid w:val="00D020E0"/>
    <w:rsid w:val="00D02157"/>
    <w:rsid w:val="00D02819"/>
    <w:rsid w:val="00D0311D"/>
    <w:rsid w:val="00D03817"/>
    <w:rsid w:val="00D04546"/>
    <w:rsid w:val="00D05988"/>
    <w:rsid w:val="00D076A5"/>
    <w:rsid w:val="00D10839"/>
    <w:rsid w:val="00D146A9"/>
    <w:rsid w:val="00D17056"/>
    <w:rsid w:val="00D17144"/>
    <w:rsid w:val="00D17AA0"/>
    <w:rsid w:val="00D20AD8"/>
    <w:rsid w:val="00D20C6D"/>
    <w:rsid w:val="00D23B2C"/>
    <w:rsid w:val="00D24072"/>
    <w:rsid w:val="00D24AC7"/>
    <w:rsid w:val="00D24E5C"/>
    <w:rsid w:val="00D254FC"/>
    <w:rsid w:val="00D2764A"/>
    <w:rsid w:val="00D27F22"/>
    <w:rsid w:val="00D30075"/>
    <w:rsid w:val="00D3097A"/>
    <w:rsid w:val="00D31A53"/>
    <w:rsid w:val="00D33A4B"/>
    <w:rsid w:val="00D35780"/>
    <w:rsid w:val="00D35802"/>
    <w:rsid w:val="00D35FB3"/>
    <w:rsid w:val="00D36EB9"/>
    <w:rsid w:val="00D379A2"/>
    <w:rsid w:val="00D40659"/>
    <w:rsid w:val="00D44111"/>
    <w:rsid w:val="00D446C7"/>
    <w:rsid w:val="00D44802"/>
    <w:rsid w:val="00D4706E"/>
    <w:rsid w:val="00D47470"/>
    <w:rsid w:val="00D47BAE"/>
    <w:rsid w:val="00D516BF"/>
    <w:rsid w:val="00D5173E"/>
    <w:rsid w:val="00D52157"/>
    <w:rsid w:val="00D52856"/>
    <w:rsid w:val="00D543CC"/>
    <w:rsid w:val="00D544DC"/>
    <w:rsid w:val="00D55D6B"/>
    <w:rsid w:val="00D55E54"/>
    <w:rsid w:val="00D623DA"/>
    <w:rsid w:val="00D62432"/>
    <w:rsid w:val="00D625A4"/>
    <w:rsid w:val="00D6273E"/>
    <w:rsid w:val="00D63F37"/>
    <w:rsid w:val="00D6630E"/>
    <w:rsid w:val="00D678C4"/>
    <w:rsid w:val="00D67DFB"/>
    <w:rsid w:val="00D708A8"/>
    <w:rsid w:val="00D71D8D"/>
    <w:rsid w:val="00D72ADD"/>
    <w:rsid w:val="00D73828"/>
    <w:rsid w:val="00D75FA1"/>
    <w:rsid w:val="00D761E9"/>
    <w:rsid w:val="00D84976"/>
    <w:rsid w:val="00D85EE8"/>
    <w:rsid w:val="00D860D3"/>
    <w:rsid w:val="00D874C9"/>
    <w:rsid w:val="00D90655"/>
    <w:rsid w:val="00D915DE"/>
    <w:rsid w:val="00D93310"/>
    <w:rsid w:val="00D93A8F"/>
    <w:rsid w:val="00D93EB6"/>
    <w:rsid w:val="00D95F12"/>
    <w:rsid w:val="00D961FC"/>
    <w:rsid w:val="00D96D26"/>
    <w:rsid w:val="00D9723C"/>
    <w:rsid w:val="00DA21CC"/>
    <w:rsid w:val="00DA251F"/>
    <w:rsid w:val="00DA27E1"/>
    <w:rsid w:val="00DA283C"/>
    <w:rsid w:val="00DA2868"/>
    <w:rsid w:val="00DA4858"/>
    <w:rsid w:val="00DA515F"/>
    <w:rsid w:val="00DA5593"/>
    <w:rsid w:val="00DA5F69"/>
    <w:rsid w:val="00DB052A"/>
    <w:rsid w:val="00DB1468"/>
    <w:rsid w:val="00DB18A0"/>
    <w:rsid w:val="00DB2777"/>
    <w:rsid w:val="00DB6CC4"/>
    <w:rsid w:val="00DC17FE"/>
    <w:rsid w:val="00DC279F"/>
    <w:rsid w:val="00DC2ABC"/>
    <w:rsid w:val="00DC56E8"/>
    <w:rsid w:val="00DC5817"/>
    <w:rsid w:val="00DC5C23"/>
    <w:rsid w:val="00DC7E86"/>
    <w:rsid w:val="00DD13B9"/>
    <w:rsid w:val="00DD30B2"/>
    <w:rsid w:val="00DD345D"/>
    <w:rsid w:val="00DD3E32"/>
    <w:rsid w:val="00DD6CC8"/>
    <w:rsid w:val="00DE233E"/>
    <w:rsid w:val="00DE34FF"/>
    <w:rsid w:val="00DE396E"/>
    <w:rsid w:val="00DE6D67"/>
    <w:rsid w:val="00DF4402"/>
    <w:rsid w:val="00DF4EFF"/>
    <w:rsid w:val="00DF6838"/>
    <w:rsid w:val="00DF7C02"/>
    <w:rsid w:val="00E00C22"/>
    <w:rsid w:val="00E034EB"/>
    <w:rsid w:val="00E05410"/>
    <w:rsid w:val="00E07E5F"/>
    <w:rsid w:val="00E126BE"/>
    <w:rsid w:val="00E12C56"/>
    <w:rsid w:val="00E1330D"/>
    <w:rsid w:val="00E134A0"/>
    <w:rsid w:val="00E141B7"/>
    <w:rsid w:val="00E147E2"/>
    <w:rsid w:val="00E16179"/>
    <w:rsid w:val="00E16985"/>
    <w:rsid w:val="00E17FEE"/>
    <w:rsid w:val="00E22394"/>
    <w:rsid w:val="00E23CB0"/>
    <w:rsid w:val="00E26170"/>
    <w:rsid w:val="00E26751"/>
    <w:rsid w:val="00E306F1"/>
    <w:rsid w:val="00E3076C"/>
    <w:rsid w:val="00E30CD6"/>
    <w:rsid w:val="00E31FA4"/>
    <w:rsid w:val="00E32399"/>
    <w:rsid w:val="00E35DEA"/>
    <w:rsid w:val="00E364F3"/>
    <w:rsid w:val="00E41E75"/>
    <w:rsid w:val="00E41F07"/>
    <w:rsid w:val="00E45370"/>
    <w:rsid w:val="00E4683D"/>
    <w:rsid w:val="00E46CF2"/>
    <w:rsid w:val="00E5021D"/>
    <w:rsid w:val="00E505BE"/>
    <w:rsid w:val="00E50E2C"/>
    <w:rsid w:val="00E5132A"/>
    <w:rsid w:val="00E54456"/>
    <w:rsid w:val="00E56A71"/>
    <w:rsid w:val="00E5725A"/>
    <w:rsid w:val="00E6219D"/>
    <w:rsid w:val="00E63464"/>
    <w:rsid w:val="00E64C8D"/>
    <w:rsid w:val="00E66782"/>
    <w:rsid w:val="00E70DB4"/>
    <w:rsid w:val="00E71E46"/>
    <w:rsid w:val="00E72824"/>
    <w:rsid w:val="00E72E5A"/>
    <w:rsid w:val="00E72EF5"/>
    <w:rsid w:val="00E7432E"/>
    <w:rsid w:val="00E7529D"/>
    <w:rsid w:val="00E7598F"/>
    <w:rsid w:val="00E7663C"/>
    <w:rsid w:val="00E76687"/>
    <w:rsid w:val="00E767BC"/>
    <w:rsid w:val="00E771D0"/>
    <w:rsid w:val="00E77A6E"/>
    <w:rsid w:val="00E77AC2"/>
    <w:rsid w:val="00E80377"/>
    <w:rsid w:val="00E8192F"/>
    <w:rsid w:val="00E81934"/>
    <w:rsid w:val="00E831E4"/>
    <w:rsid w:val="00E86087"/>
    <w:rsid w:val="00E913E5"/>
    <w:rsid w:val="00E9288F"/>
    <w:rsid w:val="00E94A74"/>
    <w:rsid w:val="00E95A5D"/>
    <w:rsid w:val="00E9653D"/>
    <w:rsid w:val="00E97184"/>
    <w:rsid w:val="00E97335"/>
    <w:rsid w:val="00E97A56"/>
    <w:rsid w:val="00EA0554"/>
    <w:rsid w:val="00EA0D26"/>
    <w:rsid w:val="00EA0E7C"/>
    <w:rsid w:val="00EA2641"/>
    <w:rsid w:val="00EA2E29"/>
    <w:rsid w:val="00EA3E8C"/>
    <w:rsid w:val="00EA549D"/>
    <w:rsid w:val="00EA5B7B"/>
    <w:rsid w:val="00EA6A99"/>
    <w:rsid w:val="00EA70D2"/>
    <w:rsid w:val="00EA7B36"/>
    <w:rsid w:val="00EB0B38"/>
    <w:rsid w:val="00EB16BD"/>
    <w:rsid w:val="00EB4602"/>
    <w:rsid w:val="00EB5FF6"/>
    <w:rsid w:val="00EB605E"/>
    <w:rsid w:val="00EB6A5C"/>
    <w:rsid w:val="00EB6A6A"/>
    <w:rsid w:val="00EC24A9"/>
    <w:rsid w:val="00EC30A5"/>
    <w:rsid w:val="00EC4CFC"/>
    <w:rsid w:val="00EC5434"/>
    <w:rsid w:val="00EC5823"/>
    <w:rsid w:val="00ED0FF1"/>
    <w:rsid w:val="00ED21A4"/>
    <w:rsid w:val="00ED4819"/>
    <w:rsid w:val="00ED577E"/>
    <w:rsid w:val="00ED5C5E"/>
    <w:rsid w:val="00ED5DBB"/>
    <w:rsid w:val="00EE302A"/>
    <w:rsid w:val="00EE3F03"/>
    <w:rsid w:val="00EE4673"/>
    <w:rsid w:val="00EE5F28"/>
    <w:rsid w:val="00EF032E"/>
    <w:rsid w:val="00EF0CC3"/>
    <w:rsid w:val="00EF68F3"/>
    <w:rsid w:val="00EF7763"/>
    <w:rsid w:val="00F00B31"/>
    <w:rsid w:val="00F00BFE"/>
    <w:rsid w:val="00F0132D"/>
    <w:rsid w:val="00F04761"/>
    <w:rsid w:val="00F06FAC"/>
    <w:rsid w:val="00F142B2"/>
    <w:rsid w:val="00F152C4"/>
    <w:rsid w:val="00F16596"/>
    <w:rsid w:val="00F170F7"/>
    <w:rsid w:val="00F20254"/>
    <w:rsid w:val="00F211A9"/>
    <w:rsid w:val="00F21447"/>
    <w:rsid w:val="00F21E5D"/>
    <w:rsid w:val="00F22A4F"/>
    <w:rsid w:val="00F249DD"/>
    <w:rsid w:val="00F24A15"/>
    <w:rsid w:val="00F26F16"/>
    <w:rsid w:val="00F2745D"/>
    <w:rsid w:val="00F315EA"/>
    <w:rsid w:val="00F32738"/>
    <w:rsid w:val="00F3342D"/>
    <w:rsid w:val="00F34F24"/>
    <w:rsid w:val="00F3682F"/>
    <w:rsid w:val="00F37DD7"/>
    <w:rsid w:val="00F40CEF"/>
    <w:rsid w:val="00F42701"/>
    <w:rsid w:val="00F44990"/>
    <w:rsid w:val="00F453E8"/>
    <w:rsid w:val="00F46803"/>
    <w:rsid w:val="00F468A3"/>
    <w:rsid w:val="00F46E8E"/>
    <w:rsid w:val="00F46FD2"/>
    <w:rsid w:val="00F474F3"/>
    <w:rsid w:val="00F51FF7"/>
    <w:rsid w:val="00F54351"/>
    <w:rsid w:val="00F54679"/>
    <w:rsid w:val="00F55E00"/>
    <w:rsid w:val="00F56141"/>
    <w:rsid w:val="00F65284"/>
    <w:rsid w:val="00F76EAB"/>
    <w:rsid w:val="00F77CD0"/>
    <w:rsid w:val="00F8000F"/>
    <w:rsid w:val="00F80164"/>
    <w:rsid w:val="00F80A1C"/>
    <w:rsid w:val="00F80F76"/>
    <w:rsid w:val="00F81EB2"/>
    <w:rsid w:val="00F822BE"/>
    <w:rsid w:val="00F83148"/>
    <w:rsid w:val="00F846EC"/>
    <w:rsid w:val="00F848BE"/>
    <w:rsid w:val="00F85388"/>
    <w:rsid w:val="00F866D0"/>
    <w:rsid w:val="00F907EE"/>
    <w:rsid w:val="00F908F1"/>
    <w:rsid w:val="00F9126F"/>
    <w:rsid w:val="00F9130B"/>
    <w:rsid w:val="00F92079"/>
    <w:rsid w:val="00F922E7"/>
    <w:rsid w:val="00F926B0"/>
    <w:rsid w:val="00F94033"/>
    <w:rsid w:val="00F957CB"/>
    <w:rsid w:val="00F95940"/>
    <w:rsid w:val="00F979E6"/>
    <w:rsid w:val="00F97F49"/>
    <w:rsid w:val="00FA021C"/>
    <w:rsid w:val="00FA03C6"/>
    <w:rsid w:val="00FA1A4D"/>
    <w:rsid w:val="00FA2B8C"/>
    <w:rsid w:val="00FA3EB7"/>
    <w:rsid w:val="00FB1D7B"/>
    <w:rsid w:val="00FB27B7"/>
    <w:rsid w:val="00FB28F5"/>
    <w:rsid w:val="00FB32A6"/>
    <w:rsid w:val="00FB3528"/>
    <w:rsid w:val="00FB378A"/>
    <w:rsid w:val="00FB4770"/>
    <w:rsid w:val="00FB6006"/>
    <w:rsid w:val="00FB6CB3"/>
    <w:rsid w:val="00FB73F2"/>
    <w:rsid w:val="00FC1B84"/>
    <w:rsid w:val="00FC3247"/>
    <w:rsid w:val="00FD0671"/>
    <w:rsid w:val="00FD2E8A"/>
    <w:rsid w:val="00FD2F54"/>
    <w:rsid w:val="00FD3FC8"/>
    <w:rsid w:val="00FD6069"/>
    <w:rsid w:val="00FD6208"/>
    <w:rsid w:val="00FD7744"/>
    <w:rsid w:val="00FD7EBB"/>
    <w:rsid w:val="00FE1E9A"/>
    <w:rsid w:val="00FE2B73"/>
    <w:rsid w:val="00FE4604"/>
    <w:rsid w:val="00FE6CCD"/>
    <w:rsid w:val="00FE786D"/>
    <w:rsid w:val="00FF2C34"/>
    <w:rsid w:val="00FF3600"/>
    <w:rsid w:val="00FF4943"/>
    <w:rsid w:val="00FF7A52"/>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B985B512-9BB8-4327-8F4B-2E52505AB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C" w:eastAsia="es-EC"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0F4"/>
    <w:rPr>
      <w:sz w:val="24"/>
      <w:szCs w:val="24"/>
      <w:lang w:val="en-US" w:eastAsia="en-US"/>
    </w:rPr>
  </w:style>
  <w:style w:type="paragraph" w:styleId="Ttulo1">
    <w:name w:val="heading 1"/>
    <w:basedOn w:val="Normal"/>
    <w:next w:val="Normal"/>
    <w:link w:val="Ttulo1Car"/>
    <w:uiPriority w:val="99"/>
    <w:qFormat/>
    <w:rsid w:val="00FB4770"/>
    <w:pPr>
      <w:numPr>
        <w:numId w:val="7"/>
      </w:numPr>
      <w:outlineLvl w:val="0"/>
    </w:pPr>
    <w:rPr>
      <w:rFonts w:ascii="Verdana" w:hAnsi="Verdana"/>
      <w:b/>
      <w:smallCaps/>
    </w:rPr>
  </w:style>
  <w:style w:type="paragraph" w:styleId="Ttulo2">
    <w:name w:val="heading 2"/>
    <w:basedOn w:val="Normal"/>
    <w:next w:val="Normal"/>
    <w:link w:val="Ttulo2Car"/>
    <w:uiPriority w:val="99"/>
    <w:qFormat/>
    <w:rsid w:val="00A42DFB"/>
    <w:pPr>
      <w:numPr>
        <w:numId w:val="9"/>
      </w:numPr>
      <w:outlineLvl w:val="1"/>
    </w:pPr>
    <w:rPr>
      <w:rFonts w:ascii="Verdana" w:hAnsi="Verdana"/>
      <w:b/>
      <w:sz w:val="20"/>
      <w:szCs w:val="20"/>
      <w:lang w:val="es-ES_tradnl"/>
    </w:rPr>
  </w:style>
  <w:style w:type="paragraph" w:styleId="Ttulo3">
    <w:name w:val="heading 3"/>
    <w:basedOn w:val="Normal"/>
    <w:next w:val="Normal"/>
    <w:link w:val="Ttulo3Car"/>
    <w:uiPriority w:val="99"/>
    <w:qFormat/>
    <w:rsid w:val="00A42DFB"/>
    <w:pPr>
      <w:keepNext/>
      <w:numPr>
        <w:ilvl w:val="2"/>
        <w:numId w:val="10"/>
      </w:numPr>
      <w:spacing w:before="240" w:after="60"/>
      <w:jc w:val="both"/>
      <w:outlineLvl w:val="2"/>
    </w:pPr>
    <w:rPr>
      <w:rFonts w:ascii="Verdana" w:hAnsi="Verdana" w:cs="Arial"/>
      <w:b/>
      <w:bCs/>
      <w:i/>
      <w:sz w:val="20"/>
      <w:szCs w:val="20"/>
    </w:rPr>
  </w:style>
  <w:style w:type="paragraph" w:styleId="Ttulo4">
    <w:name w:val="heading 4"/>
    <w:basedOn w:val="Normal"/>
    <w:next w:val="Normal"/>
    <w:link w:val="Ttulo4Car"/>
    <w:uiPriority w:val="99"/>
    <w:qFormat/>
    <w:rsid w:val="00F979E6"/>
    <w:pPr>
      <w:keepNext/>
      <w:numPr>
        <w:numId w:val="53"/>
      </w:numPr>
      <w:spacing w:before="240" w:after="60"/>
      <w:jc w:val="both"/>
      <w:outlineLvl w:val="3"/>
    </w:pPr>
    <w:rPr>
      <w:rFonts w:ascii="Verdana" w:hAnsi="Verdana"/>
      <w:bCs/>
      <w:i/>
      <w:sz w:val="20"/>
      <w:szCs w:val="20"/>
      <w:lang w:val="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FB4770"/>
    <w:rPr>
      <w:rFonts w:ascii="Verdana" w:hAnsi="Verdana" w:cs="Times New Roman"/>
      <w:b/>
      <w:smallCaps/>
      <w:sz w:val="24"/>
      <w:szCs w:val="24"/>
    </w:rPr>
  </w:style>
  <w:style w:type="character" w:customStyle="1" w:styleId="Ttulo2Car">
    <w:name w:val="Título 2 Car"/>
    <w:link w:val="Ttulo2"/>
    <w:uiPriority w:val="99"/>
    <w:semiHidden/>
    <w:locked/>
    <w:rsid w:val="00152D7B"/>
    <w:rPr>
      <w:rFonts w:ascii="Cambria" w:hAnsi="Cambria" w:cs="Times New Roman"/>
      <w:b/>
      <w:bCs/>
      <w:i/>
      <w:iCs/>
      <w:sz w:val="28"/>
      <w:szCs w:val="28"/>
    </w:rPr>
  </w:style>
  <w:style w:type="character" w:customStyle="1" w:styleId="Ttulo3Car">
    <w:name w:val="Título 3 Car"/>
    <w:link w:val="Ttulo3"/>
    <w:uiPriority w:val="99"/>
    <w:semiHidden/>
    <w:locked/>
    <w:rsid w:val="00152D7B"/>
    <w:rPr>
      <w:rFonts w:ascii="Cambria" w:hAnsi="Cambria" w:cs="Times New Roman"/>
      <w:b/>
      <w:bCs/>
      <w:sz w:val="26"/>
      <w:szCs w:val="26"/>
    </w:rPr>
  </w:style>
  <w:style w:type="character" w:customStyle="1" w:styleId="Ttulo4Car">
    <w:name w:val="Título 4 Car"/>
    <w:link w:val="Ttulo4"/>
    <w:uiPriority w:val="99"/>
    <w:locked/>
    <w:rsid w:val="00B813C6"/>
    <w:rPr>
      <w:rFonts w:ascii="Verdana" w:hAnsi="Verdana" w:cs="Times New Roman"/>
      <w:bCs/>
      <w:i/>
      <w:lang w:val="es-CR"/>
    </w:rPr>
  </w:style>
  <w:style w:type="paragraph" w:styleId="TDC1">
    <w:name w:val="toc 1"/>
    <w:basedOn w:val="Normal"/>
    <w:next w:val="Normal"/>
    <w:autoRedefine/>
    <w:uiPriority w:val="99"/>
    <w:rsid w:val="00A55CA1"/>
    <w:pPr>
      <w:tabs>
        <w:tab w:val="right" w:leader="dot" w:pos="8630"/>
      </w:tabs>
      <w:spacing w:before="120" w:after="120"/>
    </w:pPr>
    <w:rPr>
      <w:b/>
      <w:bCs/>
      <w:caps/>
      <w:noProof/>
      <w:sz w:val="20"/>
      <w:szCs w:val="20"/>
      <w:lang w:val="es-MX"/>
    </w:rPr>
  </w:style>
  <w:style w:type="paragraph" w:styleId="TDC2">
    <w:name w:val="toc 2"/>
    <w:basedOn w:val="Normal"/>
    <w:next w:val="Normal"/>
    <w:autoRedefine/>
    <w:uiPriority w:val="99"/>
    <w:rsid w:val="006840F4"/>
    <w:pPr>
      <w:ind w:left="240"/>
    </w:pPr>
    <w:rPr>
      <w:smallCaps/>
      <w:sz w:val="20"/>
      <w:szCs w:val="20"/>
    </w:rPr>
  </w:style>
  <w:style w:type="paragraph" w:styleId="Piedepgina">
    <w:name w:val="footer"/>
    <w:basedOn w:val="Normal"/>
    <w:link w:val="PiedepginaCar"/>
    <w:uiPriority w:val="99"/>
    <w:rsid w:val="006840F4"/>
    <w:pPr>
      <w:tabs>
        <w:tab w:val="center" w:pos="4320"/>
        <w:tab w:val="right" w:pos="8640"/>
      </w:tabs>
    </w:pPr>
  </w:style>
  <w:style w:type="character" w:customStyle="1" w:styleId="PiedepginaCar">
    <w:name w:val="Pie de página Car"/>
    <w:link w:val="Piedepgina"/>
    <w:uiPriority w:val="99"/>
    <w:locked/>
    <w:rsid w:val="00E7529D"/>
    <w:rPr>
      <w:rFonts w:cs="Times New Roman"/>
      <w:sz w:val="24"/>
      <w:szCs w:val="24"/>
    </w:rPr>
  </w:style>
  <w:style w:type="character" w:styleId="Nmerodepgina">
    <w:name w:val="page number"/>
    <w:uiPriority w:val="99"/>
    <w:rsid w:val="006840F4"/>
    <w:rPr>
      <w:rFonts w:cs="Times New Roman"/>
    </w:rPr>
  </w:style>
  <w:style w:type="paragraph" w:styleId="Encabezado">
    <w:name w:val="header"/>
    <w:basedOn w:val="Normal"/>
    <w:link w:val="EncabezadoCar"/>
    <w:uiPriority w:val="99"/>
    <w:rsid w:val="006840F4"/>
    <w:pPr>
      <w:tabs>
        <w:tab w:val="center" w:pos="4320"/>
        <w:tab w:val="right" w:pos="8640"/>
      </w:tabs>
    </w:pPr>
  </w:style>
  <w:style w:type="character" w:customStyle="1" w:styleId="EncabezadoCar">
    <w:name w:val="Encabezado Car"/>
    <w:link w:val="Encabezado"/>
    <w:uiPriority w:val="99"/>
    <w:locked/>
    <w:rsid w:val="00922392"/>
    <w:rPr>
      <w:rFonts w:cs="Times New Roman"/>
      <w:sz w:val="24"/>
      <w:szCs w:val="24"/>
      <w:lang w:val="en-US" w:eastAsia="en-US" w:bidi="ar-SA"/>
    </w:rPr>
  </w:style>
  <w:style w:type="paragraph" w:styleId="Textonotapie">
    <w:name w:val="footnote text"/>
    <w:aliases w:val="Footnote Text Char Char Char Char Char,Footnote Text Char Char Char Char,FA Fu,Footnote reference,Footnote Text Char Char Char,NOTA AL PIE TESIS PUCP,Footnote Text Cha,FA Fußnotentext,FA Fuﬂnotentext,Texto nota pie Car,Ca,FA Fu?notente"/>
    <w:basedOn w:val="Normal"/>
    <w:link w:val="TextonotapieCar1"/>
    <w:rsid w:val="006840F4"/>
    <w:rPr>
      <w:sz w:val="20"/>
      <w:szCs w:val="20"/>
    </w:rPr>
  </w:style>
  <w:style w:type="character" w:customStyle="1" w:styleId="FootnoteTextChar">
    <w:name w:val="Footnote Text Char"/>
    <w:aliases w:val="Footnote Text Char Char Char Char Char Char,Footnote Text Char Char Char Char Char1,FA Fu Char,Footnote reference Char,Footnote Text Char Char Char Char1,NOTA AL PIE TESIS PUCP Char,Footnote Text Cha Char,FA Fußnotentext Char,Ca Char"/>
    <w:link w:val="Textonotapie"/>
    <w:semiHidden/>
    <w:locked/>
    <w:rsid w:val="00152D7B"/>
    <w:rPr>
      <w:rFonts w:cs="Times New Roman"/>
      <w:sz w:val="20"/>
      <w:szCs w:val="20"/>
    </w:rPr>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
    <w:uiPriority w:val="99"/>
    <w:rsid w:val="006840F4"/>
    <w:rPr>
      <w:rFonts w:cs="Times New Roman"/>
      <w:vertAlign w:val="superscript"/>
    </w:rPr>
  </w:style>
  <w:style w:type="character" w:customStyle="1" w:styleId="TextonotapieCar1">
    <w:name w:val="Texto nota pie Car1"/>
    <w:aliases w:val="Footnote Text Char Char Char Char Char Car,Footnote Text Char Char Char Char Car,FA Fu Car,Footnote reference Car,Footnote Text Char Char Char Car,NOTA AL PIE TESIS PUCP Car,Footnote Text Cha Car,FA Fußnotentext Car,Ca Car"/>
    <w:link w:val="Textonotapie"/>
    <w:uiPriority w:val="99"/>
    <w:locked/>
    <w:rsid w:val="006840F4"/>
    <w:rPr>
      <w:rFonts w:cs="Times New Roman"/>
      <w:lang w:val="en-US" w:eastAsia="en-US" w:bidi="ar-SA"/>
    </w:rPr>
  </w:style>
  <w:style w:type="character" w:styleId="Hipervnculo">
    <w:name w:val="Hyperlink"/>
    <w:uiPriority w:val="99"/>
    <w:rsid w:val="006840F4"/>
    <w:rPr>
      <w:rFonts w:cs="Times New Roman"/>
      <w:color w:val="0000FF"/>
      <w:u w:val="single"/>
    </w:rPr>
  </w:style>
  <w:style w:type="paragraph" w:customStyle="1" w:styleId="StyleHeading111ptJustifiedLeft031Firstline0">
    <w:name w:val="Style Heading 1 + 11 pt Justified Left:  0.31&quot; First line:  0&quot;"/>
    <w:basedOn w:val="Ttulo1"/>
    <w:uiPriority w:val="99"/>
    <w:rsid w:val="006840F4"/>
    <w:pPr>
      <w:ind w:left="450" w:firstLine="0"/>
      <w:jc w:val="center"/>
    </w:pPr>
    <w:rPr>
      <w:bCs/>
      <w:sz w:val="22"/>
      <w:szCs w:val="20"/>
    </w:rPr>
  </w:style>
  <w:style w:type="paragraph" w:customStyle="1" w:styleId="StyleHeading111ptJustified">
    <w:name w:val="Style Heading 1 + 11 pt Justified"/>
    <w:basedOn w:val="Ttulo1"/>
    <w:uiPriority w:val="99"/>
    <w:rsid w:val="006840F4"/>
    <w:pPr>
      <w:jc w:val="center"/>
    </w:pPr>
    <w:rPr>
      <w:bCs/>
      <w:sz w:val="22"/>
      <w:szCs w:val="20"/>
    </w:rPr>
  </w:style>
  <w:style w:type="paragraph" w:styleId="TDC3">
    <w:name w:val="toc 3"/>
    <w:basedOn w:val="Normal"/>
    <w:next w:val="Normal"/>
    <w:autoRedefine/>
    <w:uiPriority w:val="99"/>
    <w:rsid w:val="006840F4"/>
    <w:pPr>
      <w:ind w:left="480"/>
    </w:pPr>
    <w:rPr>
      <w:i/>
      <w:iCs/>
      <w:sz w:val="20"/>
      <w:szCs w:val="20"/>
    </w:rPr>
  </w:style>
  <w:style w:type="paragraph" w:customStyle="1" w:styleId="StyleHeading3Verdana11pt">
    <w:name w:val="Style Heading 3 + Verdana 11 pt"/>
    <w:basedOn w:val="Ttulo3"/>
    <w:uiPriority w:val="99"/>
    <w:rsid w:val="006840F4"/>
    <w:rPr>
      <w:b w:val="0"/>
      <w:bCs w:val="0"/>
      <w:i w:val="0"/>
      <w:sz w:val="22"/>
    </w:rPr>
  </w:style>
  <w:style w:type="paragraph" w:styleId="TDC4">
    <w:name w:val="toc 4"/>
    <w:basedOn w:val="Normal"/>
    <w:next w:val="Normal"/>
    <w:autoRedefine/>
    <w:uiPriority w:val="99"/>
    <w:semiHidden/>
    <w:rsid w:val="006840F4"/>
    <w:pPr>
      <w:ind w:left="720"/>
    </w:pPr>
    <w:rPr>
      <w:sz w:val="18"/>
      <w:szCs w:val="18"/>
    </w:rPr>
  </w:style>
  <w:style w:type="paragraph" w:styleId="TDC5">
    <w:name w:val="toc 5"/>
    <w:basedOn w:val="Normal"/>
    <w:next w:val="Normal"/>
    <w:autoRedefine/>
    <w:uiPriority w:val="99"/>
    <w:semiHidden/>
    <w:rsid w:val="006840F4"/>
    <w:pPr>
      <w:ind w:left="960"/>
    </w:pPr>
    <w:rPr>
      <w:sz w:val="18"/>
      <w:szCs w:val="18"/>
    </w:rPr>
  </w:style>
  <w:style w:type="paragraph" w:styleId="TDC6">
    <w:name w:val="toc 6"/>
    <w:basedOn w:val="Normal"/>
    <w:next w:val="Normal"/>
    <w:autoRedefine/>
    <w:uiPriority w:val="99"/>
    <w:semiHidden/>
    <w:rsid w:val="006840F4"/>
    <w:pPr>
      <w:ind w:left="1200"/>
    </w:pPr>
    <w:rPr>
      <w:sz w:val="18"/>
      <w:szCs w:val="18"/>
    </w:rPr>
  </w:style>
  <w:style w:type="paragraph" w:styleId="TDC7">
    <w:name w:val="toc 7"/>
    <w:basedOn w:val="Normal"/>
    <w:next w:val="Normal"/>
    <w:autoRedefine/>
    <w:uiPriority w:val="99"/>
    <w:semiHidden/>
    <w:rsid w:val="006840F4"/>
    <w:pPr>
      <w:ind w:left="1440"/>
    </w:pPr>
    <w:rPr>
      <w:sz w:val="18"/>
      <w:szCs w:val="18"/>
    </w:rPr>
  </w:style>
  <w:style w:type="paragraph" w:styleId="TDC8">
    <w:name w:val="toc 8"/>
    <w:basedOn w:val="Normal"/>
    <w:next w:val="Normal"/>
    <w:autoRedefine/>
    <w:uiPriority w:val="99"/>
    <w:semiHidden/>
    <w:rsid w:val="006840F4"/>
    <w:pPr>
      <w:ind w:left="1680"/>
    </w:pPr>
    <w:rPr>
      <w:sz w:val="18"/>
      <w:szCs w:val="18"/>
    </w:rPr>
  </w:style>
  <w:style w:type="paragraph" w:styleId="TDC9">
    <w:name w:val="toc 9"/>
    <w:basedOn w:val="Normal"/>
    <w:next w:val="Normal"/>
    <w:autoRedefine/>
    <w:uiPriority w:val="99"/>
    <w:semiHidden/>
    <w:rsid w:val="006840F4"/>
    <w:pPr>
      <w:ind w:left="1920"/>
    </w:pPr>
    <w:rPr>
      <w:sz w:val="18"/>
      <w:szCs w:val="18"/>
    </w:rPr>
  </w:style>
  <w:style w:type="paragraph" w:customStyle="1" w:styleId="StyleHeading111pt">
    <w:name w:val="Style Heading 1 + 11 pt"/>
    <w:basedOn w:val="Ttulo1"/>
    <w:uiPriority w:val="99"/>
    <w:rsid w:val="006840F4"/>
    <w:pPr>
      <w:jc w:val="center"/>
    </w:pPr>
    <w:rPr>
      <w:bCs/>
      <w:sz w:val="22"/>
    </w:rPr>
  </w:style>
  <w:style w:type="paragraph" w:styleId="Textodeglobo">
    <w:name w:val="Balloon Text"/>
    <w:basedOn w:val="Normal"/>
    <w:link w:val="TextodegloboCar"/>
    <w:uiPriority w:val="99"/>
    <w:semiHidden/>
    <w:rsid w:val="006840F4"/>
    <w:rPr>
      <w:rFonts w:ascii="Tahoma" w:hAnsi="Tahoma" w:cs="Tahoma"/>
      <w:sz w:val="16"/>
      <w:szCs w:val="16"/>
    </w:rPr>
  </w:style>
  <w:style w:type="character" w:customStyle="1" w:styleId="TextodegloboCar">
    <w:name w:val="Texto de globo Car"/>
    <w:link w:val="Textodeglobo"/>
    <w:uiPriority w:val="99"/>
    <w:semiHidden/>
    <w:locked/>
    <w:rsid w:val="00152D7B"/>
    <w:rPr>
      <w:rFonts w:cs="Times New Roman"/>
      <w:sz w:val="2"/>
    </w:rPr>
  </w:style>
  <w:style w:type="character" w:styleId="Refdecomentario">
    <w:name w:val="annotation reference"/>
    <w:uiPriority w:val="99"/>
    <w:semiHidden/>
    <w:rsid w:val="006840F4"/>
    <w:rPr>
      <w:rFonts w:cs="Times New Roman"/>
      <w:sz w:val="18"/>
    </w:rPr>
  </w:style>
  <w:style w:type="paragraph" w:styleId="Textocomentario">
    <w:name w:val="annotation text"/>
    <w:basedOn w:val="Normal"/>
    <w:link w:val="TextocomentarioCar"/>
    <w:uiPriority w:val="99"/>
    <w:semiHidden/>
    <w:rsid w:val="006840F4"/>
  </w:style>
  <w:style w:type="character" w:customStyle="1" w:styleId="TextocomentarioCar">
    <w:name w:val="Texto comentario Car"/>
    <w:link w:val="Textocomentario"/>
    <w:uiPriority w:val="99"/>
    <w:semiHidden/>
    <w:locked/>
    <w:rsid w:val="00152D7B"/>
    <w:rPr>
      <w:rFonts w:cs="Times New Roman"/>
      <w:sz w:val="20"/>
      <w:szCs w:val="20"/>
    </w:rPr>
  </w:style>
  <w:style w:type="paragraph" w:styleId="Asuntodelcomentario">
    <w:name w:val="annotation subject"/>
    <w:basedOn w:val="Textocomentario"/>
    <w:next w:val="Textocomentario"/>
    <w:link w:val="AsuntodelcomentarioCar"/>
    <w:uiPriority w:val="99"/>
    <w:semiHidden/>
    <w:rsid w:val="006840F4"/>
  </w:style>
  <w:style w:type="character" w:customStyle="1" w:styleId="AsuntodelcomentarioCar">
    <w:name w:val="Asunto del comentario Car"/>
    <w:link w:val="Asuntodelcomentario"/>
    <w:uiPriority w:val="99"/>
    <w:semiHidden/>
    <w:locked/>
    <w:rsid w:val="00152D7B"/>
    <w:rPr>
      <w:rFonts w:cs="Times New Roman"/>
      <w:b/>
      <w:bCs/>
      <w:sz w:val="20"/>
      <w:szCs w:val="20"/>
    </w:rPr>
  </w:style>
  <w:style w:type="paragraph" w:styleId="Prrafodelista">
    <w:name w:val="List Paragraph"/>
    <w:basedOn w:val="Normal"/>
    <w:uiPriority w:val="99"/>
    <w:qFormat/>
    <w:rsid w:val="00DA5F69"/>
    <w:pPr>
      <w:ind w:left="720"/>
    </w:pPr>
  </w:style>
  <w:style w:type="paragraph" w:styleId="TtulodeTDC">
    <w:name w:val="TOC Heading"/>
    <w:basedOn w:val="Ttulo1"/>
    <w:next w:val="Normal"/>
    <w:uiPriority w:val="99"/>
    <w:qFormat/>
    <w:rsid w:val="003C76D1"/>
    <w:pPr>
      <w:keepNext/>
      <w:keepLines/>
      <w:numPr>
        <w:numId w:val="0"/>
      </w:numPr>
      <w:spacing w:before="480" w:line="276" w:lineRule="auto"/>
      <w:outlineLvl w:val="9"/>
    </w:pPr>
    <w:rPr>
      <w:rFonts w:ascii="Cambria" w:hAnsi="Cambria"/>
      <w:bCs/>
      <w:smallCaps w:val="0"/>
      <w:color w:val="365F91"/>
      <w:sz w:val="28"/>
      <w:szCs w:val="28"/>
    </w:rPr>
  </w:style>
  <w:style w:type="paragraph" w:styleId="Textonotaalfinal">
    <w:name w:val="endnote text"/>
    <w:basedOn w:val="Normal"/>
    <w:link w:val="TextonotaalfinalCar"/>
    <w:uiPriority w:val="99"/>
    <w:rsid w:val="006C0874"/>
    <w:pPr>
      <w:widowControl w:val="0"/>
      <w:tabs>
        <w:tab w:val="left" w:pos="720"/>
        <w:tab w:val="left" w:pos="1440"/>
        <w:tab w:val="left" w:pos="2160"/>
        <w:tab w:val="left" w:pos="2880"/>
        <w:tab w:val="left" w:pos="3600"/>
        <w:tab w:val="left" w:pos="4320"/>
        <w:tab w:val="left" w:pos="5760"/>
        <w:tab w:val="left" w:pos="6480"/>
        <w:tab w:val="left" w:pos="7200"/>
        <w:tab w:val="left" w:pos="7920"/>
      </w:tabs>
      <w:jc w:val="both"/>
    </w:pPr>
    <w:rPr>
      <w:rFonts w:ascii="CG Times" w:eastAsia="MS Mincho" w:hAnsi="CG Times"/>
      <w:sz w:val="22"/>
      <w:szCs w:val="20"/>
      <w:lang w:val="es-ES"/>
    </w:rPr>
  </w:style>
  <w:style w:type="character" w:customStyle="1" w:styleId="TextonotaalfinalCar">
    <w:name w:val="Texto nota al final Car"/>
    <w:link w:val="Textonotaalfinal"/>
    <w:uiPriority w:val="99"/>
    <w:locked/>
    <w:rsid w:val="006C0874"/>
    <w:rPr>
      <w:rFonts w:ascii="CG Times" w:eastAsia="MS Mincho" w:hAnsi="CG Times" w:cs="Times New Roman"/>
      <w:sz w:val="22"/>
      <w:lang w:val="es-ES"/>
    </w:rPr>
  </w:style>
  <w:style w:type="character" w:styleId="CitaHTML">
    <w:name w:val="HTML Cite"/>
    <w:uiPriority w:val="99"/>
    <w:rsid w:val="005926F2"/>
    <w:rPr>
      <w:rFonts w:cs="Times New Roman"/>
      <w:i/>
      <w:iCs/>
    </w:rPr>
  </w:style>
  <w:style w:type="character" w:customStyle="1" w:styleId="apple-style-span">
    <w:name w:val="apple-style-span"/>
    <w:uiPriority w:val="99"/>
    <w:rsid w:val="005A5C17"/>
    <w:rPr>
      <w:rFonts w:cs="Times New Roman"/>
    </w:rPr>
  </w:style>
  <w:style w:type="character" w:customStyle="1" w:styleId="apple-converted-space">
    <w:name w:val="apple-converted-space"/>
    <w:uiPriority w:val="99"/>
    <w:rsid w:val="005A5C17"/>
    <w:rPr>
      <w:rFonts w:cs="Times New Roman"/>
    </w:rPr>
  </w:style>
  <w:style w:type="character" w:customStyle="1" w:styleId="BodyTextChar1">
    <w:name w:val="Body Text Char1"/>
    <w:aliases w:val="Body Text Char Char,Body Text Char Car Car Car Car Car Car Car Car Car Car Car Car Car Char,Body Text Char Car Car Car Car Car Car Car Car Car Car Car Car Char"/>
    <w:uiPriority w:val="99"/>
    <w:semiHidden/>
    <w:locked/>
    <w:rsid w:val="000C7602"/>
    <w:rPr>
      <w:rFonts w:ascii="Verdana" w:hAnsi="Verdana"/>
      <w:lang w:val="en-US"/>
    </w:rPr>
  </w:style>
  <w:style w:type="paragraph" w:styleId="Textoindependiente">
    <w:name w:val="Body Text"/>
    <w:aliases w:val="Body Text Char,Body Text Char Car Car Car Car Car Car Car Car Car Car Car Car Car,Body Text Char Car Car Car Car Car Car Car Car Car Car Car Car"/>
    <w:basedOn w:val="Normal"/>
    <w:link w:val="TextoindependienteCar"/>
    <w:uiPriority w:val="99"/>
    <w:semiHidden/>
    <w:rsid w:val="000C7602"/>
    <w:pPr>
      <w:jc w:val="both"/>
    </w:pPr>
    <w:rPr>
      <w:rFonts w:ascii="Verdana" w:hAnsi="Verdana"/>
      <w:sz w:val="20"/>
      <w:szCs w:val="20"/>
    </w:rPr>
  </w:style>
  <w:style w:type="character" w:customStyle="1" w:styleId="TextoindependienteCar">
    <w:name w:val="Texto independiente Car"/>
    <w:aliases w:val="Body Text Char Car,Body Text Char Car Car Car Car Car Car Car Car Car Car Car Car Car Car,Body Text Char Car Car Car Car Car Car Car Car Car Car Car Car Car1"/>
    <w:link w:val="Textoindependiente"/>
    <w:uiPriority w:val="99"/>
    <w:semiHidden/>
    <w:locked/>
    <w:rsid w:val="00152D7B"/>
    <w:rPr>
      <w:rFonts w:cs="Times New Roman"/>
      <w:sz w:val="24"/>
      <w:szCs w:val="24"/>
    </w:rPr>
  </w:style>
  <w:style w:type="character" w:customStyle="1" w:styleId="Smbolodenotaalpie">
    <w:name w:val="Símbolo de nota al pie"/>
    <w:uiPriority w:val="99"/>
    <w:rsid w:val="00803C8C"/>
    <w:rPr>
      <w:rFonts w:ascii="Verdana" w:hAnsi="Verdana" w:cs="Verdana"/>
      <w:sz w:val="20"/>
      <w:szCs w:val="20"/>
      <w:vertAlign w:val="superscript"/>
    </w:rPr>
  </w:style>
  <w:style w:type="character" w:styleId="nfasis">
    <w:name w:val="Emphasis"/>
    <w:uiPriority w:val="99"/>
    <w:qFormat/>
    <w:rsid w:val="00803C8C"/>
    <w:rPr>
      <w:rFonts w:cs="Times New Roman"/>
      <w:i/>
      <w:iCs/>
    </w:rPr>
  </w:style>
  <w:style w:type="paragraph" w:styleId="ndice1">
    <w:name w:val="index 1"/>
    <w:basedOn w:val="Normal"/>
    <w:next w:val="Normal"/>
    <w:autoRedefine/>
    <w:uiPriority w:val="99"/>
    <w:rsid w:val="004E472B"/>
    <w:pPr>
      <w:ind w:left="240" w:hanging="240"/>
    </w:pPr>
  </w:style>
  <w:style w:type="paragraph" w:styleId="Mapadeldocumento">
    <w:name w:val="Document Map"/>
    <w:basedOn w:val="Normal"/>
    <w:link w:val="MapadeldocumentoCar"/>
    <w:uiPriority w:val="99"/>
    <w:rsid w:val="00294ECC"/>
    <w:rPr>
      <w:rFonts w:ascii="Tahoma" w:hAnsi="Tahoma" w:cs="Tahoma"/>
      <w:sz w:val="16"/>
      <w:szCs w:val="16"/>
    </w:rPr>
  </w:style>
  <w:style w:type="character" w:customStyle="1" w:styleId="MapadeldocumentoCar">
    <w:name w:val="Mapa del documento Car"/>
    <w:link w:val="Mapadeldocumento"/>
    <w:uiPriority w:val="99"/>
    <w:locked/>
    <w:rsid w:val="00294ECC"/>
    <w:rPr>
      <w:rFonts w:ascii="Tahoma" w:hAnsi="Tahoma" w:cs="Tahoma"/>
      <w:sz w:val="16"/>
      <w:szCs w:val="16"/>
    </w:rPr>
  </w:style>
  <w:style w:type="character" w:styleId="Textoennegrita">
    <w:name w:val="Strong"/>
    <w:uiPriority w:val="99"/>
    <w:qFormat/>
    <w:rsid w:val="00F211A9"/>
    <w:rPr>
      <w:rFonts w:cs="Times New Roman"/>
      <w:b/>
      <w:bCs/>
    </w:rPr>
  </w:style>
  <w:style w:type="table" w:styleId="Tablaconcuadrcula">
    <w:name w:val="Table Grid"/>
    <w:basedOn w:val="Tablanormal"/>
    <w:uiPriority w:val="99"/>
    <w:rsid w:val="005E77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9752DB"/>
    <w:rPr>
      <w:sz w:val="24"/>
      <w:szCs w:val="24"/>
      <w:lang w:val="en-US" w:eastAsia="en-US"/>
    </w:rPr>
  </w:style>
  <w:style w:type="character" w:styleId="Hipervnculovisitado">
    <w:name w:val="FollowedHyperlink"/>
    <w:uiPriority w:val="99"/>
    <w:semiHidden/>
    <w:locked/>
    <w:rsid w:val="00D31A53"/>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969297">
      <w:bodyDiv w:val="1"/>
      <w:marLeft w:val="0"/>
      <w:marRight w:val="0"/>
      <w:marTop w:val="0"/>
      <w:marBottom w:val="0"/>
      <w:divBdr>
        <w:top w:val="none" w:sz="0" w:space="0" w:color="auto"/>
        <w:left w:val="none" w:sz="0" w:space="0" w:color="auto"/>
        <w:bottom w:val="none" w:sz="0" w:space="0" w:color="auto"/>
        <w:right w:val="none" w:sz="0" w:space="0" w:color="auto"/>
      </w:divBdr>
    </w:div>
    <w:div w:id="1648391613">
      <w:marLeft w:val="0"/>
      <w:marRight w:val="0"/>
      <w:marTop w:val="0"/>
      <w:marBottom w:val="0"/>
      <w:divBdr>
        <w:top w:val="none" w:sz="0" w:space="0" w:color="auto"/>
        <w:left w:val="none" w:sz="0" w:space="0" w:color="auto"/>
        <w:bottom w:val="none" w:sz="0" w:space="0" w:color="auto"/>
        <w:right w:val="none" w:sz="0" w:space="0" w:color="auto"/>
      </w:divBdr>
    </w:div>
    <w:div w:id="1648391616">
      <w:marLeft w:val="0"/>
      <w:marRight w:val="0"/>
      <w:marTop w:val="0"/>
      <w:marBottom w:val="0"/>
      <w:divBdr>
        <w:top w:val="none" w:sz="0" w:space="0" w:color="auto"/>
        <w:left w:val="none" w:sz="0" w:space="0" w:color="auto"/>
        <w:bottom w:val="none" w:sz="0" w:space="0" w:color="auto"/>
        <w:right w:val="none" w:sz="0" w:space="0" w:color="auto"/>
      </w:divBdr>
    </w:div>
    <w:div w:id="1648391618">
      <w:marLeft w:val="0"/>
      <w:marRight w:val="0"/>
      <w:marTop w:val="0"/>
      <w:marBottom w:val="0"/>
      <w:divBdr>
        <w:top w:val="none" w:sz="0" w:space="0" w:color="auto"/>
        <w:left w:val="none" w:sz="0" w:space="0" w:color="auto"/>
        <w:bottom w:val="none" w:sz="0" w:space="0" w:color="auto"/>
        <w:right w:val="none" w:sz="0" w:space="0" w:color="auto"/>
      </w:divBdr>
    </w:div>
    <w:div w:id="1648391619">
      <w:marLeft w:val="0"/>
      <w:marRight w:val="0"/>
      <w:marTop w:val="0"/>
      <w:marBottom w:val="0"/>
      <w:divBdr>
        <w:top w:val="none" w:sz="0" w:space="0" w:color="auto"/>
        <w:left w:val="none" w:sz="0" w:space="0" w:color="auto"/>
        <w:bottom w:val="none" w:sz="0" w:space="0" w:color="auto"/>
        <w:right w:val="none" w:sz="0" w:space="0" w:color="auto"/>
      </w:divBdr>
      <w:divsChild>
        <w:div w:id="1648391626">
          <w:marLeft w:val="0"/>
          <w:marRight w:val="0"/>
          <w:marTop w:val="0"/>
          <w:marBottom w:val="0"/>
          <w:divBdr>
            <w:top w:val="none" w:sz="0" w:space="0" w:color="auto"/>
            <w:left w:val="none" w:sz="0" w:space="0" w:color="auto"/>
            <w:bottom w:val="none" w:sz="0" w:space="0" w:color="auto"/>
            <w:right w:val="none" w:sz="0" w:space="0" w:color="auto"/>
          </w:divBdr>
          <w:divsChild>
            <w:div w:id="1648391625">
              <w:marLeft w:val="0"/>
              <w:marRight w:val="0"/>
              <w:marTop w:val="0"/>
              <w:marBottom w:val="0"/>
              <w:divBdr>
                <w:top w:val="none" w:sz="0" w:space="0" w:color="auto"/>
                <w:left w:val="none" w:sz="0" w:space="0" w:color="auto"/>
                <w:bottom w:val="none" w:sz="0" w:space="0" w:color="auto"/>
                <w:right w:val="none" w:sz="0" w:space="0" w:color="auto"/>
              </w:divBdr>
              <w:divsChild>
                <w:div w:id="1648391617">
                  <w:marLeft w:val="0"/>
                  <w:marRight w:val="0"/>
                  <w:marTop w:val="0"/>
                  <w:marBottom w:val="0"/>
                  <w:divBdr>
                    <w:top w:val="none" w:sz="0" w:space="0" w:color="auto"/>
                    <w:left w:val="none" w:sz="0" w:space="0" w:color="auto"/>
                    <w:bottom w:val="none" w:sz="0" w:space="0" w:color="auto"/>
                    <w:right w:val="none" w:sz="0" w:space="0" w:color="auto"/>
                  </w:divBdr>
                  <w:divsChild>
                    <w:div w:id="1648391614">
                      <w:marLeft w:val="0"/>
                      <w:marRight w:val="0"/>
                      <w:marTop w:val="0"/>
                      <w:marBottom w:val="0"/>
                      <w:divBdr>
                        <w:top w:val="none" w:sz="0" w:space="0" w:color="auto"/>
                        <w:left w:val="none" w:sz="0" w:space="0" w:color="auto"/>
                        <w:bottom w:val="none" w:sz="0" w:space="0" w:color="auto"/>
                        <w:right w:val="none" w:sz="0" w:space="0" w:color="auto"/>
                      </w:divBdr>
                      <w:divsChild>
                        <w:div w:id="1648391621">
                          <w:marLeft w:val="0"/>
                          <w:marRight w:val="0"/>
                          <w:marTop w:val="0"/>
                          <w:marBottom w:val="0"/>
                          <w:divBdr>
                            <w:top w:val="none" w:sz="0" w:space="0" w:color="auto"/>
                            <w:left w:val="none" w:sz="0" w:space="0" w:color="auto"/>
                            <w:bottom w:val="none" w:sz="0" w:space="0" w:color="auto"/>
                            <w:right w:val="none" w:sz="0" w:space="0" w:color="auto"/>
                          </w:divBdr>
                          <w:divsChild>
                            <w:div w:id="1648391620">
                              <w:marLeft w:val="0"/>
                              <w:marRight w:val="0"/>
                              <w:marTop w:val="0"/>
                              <w:marBottom w:val="0"/>
                              <w:divBdr>
                                <w:top w:val="none" w:sz="0" w:space="0" w:color="auto"/>
                                <w:left w:val="none" w:sz="0" w:space="0" w:color="auto"/>
                                <w:bottom w:val="none" w:sz="0" w:space="0" w:color="auto"/>
                                <w:right w:val="none" w:sz="0" w:space="0" w:color="auto"/>
                              </w:divBdr>
                              <w:divsChild>
                                <w:div w:id="164839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8391622">
      <w:marLeft w:val="0"/>
      <w:marRight w:val="0"/>
      <w:marTop w:val="0"/>
      <w:marBottom w:val="0"/>
      <w:divBdr>
        <w:top w:val="none" w:sz="0" w:space="0" w:color="auto"/>
        <w:left w:val="none" w:sz="0" w:space="0" w:color="auto"/>
        <w:bottom w:val="none" w:sz="0" w:space="0" w:color="auto"/>
        <w:right w:val="none" w:sz="0" w:space="0" w:color="auto"/>
      </w:divBdr>
    </w:div>
    <w:div w:id="1648391623">
      <w:marLeft w:val="0"/>
      <w:marRight w:val="0"/>
      <w:marTop w:val="0"/>
      <w:marBottom w:val="0"/>
      <w:divBdr>
        <w:top w:val="none" w:sz="0" w:space="0" w:color="auto"/>
        <w:left w:val="none" w:sz="0" w:space="0" w:color="auto"/>
        <w:bottom w:val="none" w:sz="0" w:space="0" w:color="auto"/>
        <w:right w:val="none" w:sz="0" w:space="0" w:color="auto"/>
      </w:divBdr>
    </w:div>
    <w:div w:id="1648391624">
      <w:marLeft w:val="0"/>
      <w:marRight w:val="0"/>
      <w:marTop w:val="0"/>
      <w:marBottom w:val="0"/>
      <w:divBdr>
        <w:top w:val="none" w:sz="0" w:space="0" w:color="auto"/>
        <w:left w:val="none" w:sz="0" w:space="0" w:color="auto"/>
        <w:bottom w:val="none" w:sz="0" w:space="0" w:color="auto"/>
        <w:right w:val="none" w:sz="0" w:space="0" w:color="auto"/>
      </w:divBdr>
    </w:div>
    <w:div w:id="1648391627">
      <w:marLeft w:val="0"/>
      <w:marRight w:val="0"/>
      <w:marTop w:val="0"/>
      <w:marBottom w:val="0"/>
      <w:divBdr>
        <w:top w:val="none" w:sz="0" w:space="0" w:color="auto"/>
        <w:left w:val="none" w:sz="0" w:space="0" w:color="auto"/>
        <w:bottom w:val="none" w:sz="0" w:space="0" w:color="auto"/>
        <w:right w:val="none" w:sz="0" w:space="0" w:color="auto"/>
      </w:divBdr>
    </w:div>
    <w:div w:id="1648391628">
      <w:marLeft w:val="0"/>
      <w:marRight w:val="0"/>
      <w:marTop w:val="0"/>
      <w:marBottom w:val="0"/>
      <w:divBdr>
        <w:top w:val="none" w:sz="0" w:space="0" w:color="auto"/>
        <w:left w:val="none" w:sz="0" w:space="0" w:color="auto"/>
        <w:bottom w:val="none" w:sz="0" w:space="0" w:color="auto"/>
        <w:right w:val="none" w:sz="0" w:space="0" w:color="auto"/>
      </w:divBdr>
    </w:div>
    <w:div w:id="164839162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corteidh.or.cr/docs/casos/articulos/seriec_228_esp.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cd.coe.int/wcd/ViewDoc.jsp?Ref=CCJE(2010)2&amp;Language=lanEnglish&amp;Ver=original&amp;BackColorInternet=DBDCF2&amp;BackColorIntranet=FDC864&amp;BackColorLogged=FDC86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4E7EB-B898-411E-9CD6-64FF085B7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20618</Words>
  <Characters>113405</Characters>
  <Application>Microsoft Office Word</Application>
  <DocSecurity>0</DocSecurity>
  <Lines>945</Lines>
  <Paragraphs>267</Paragraphs>
  <ScaleCrop>false</ScaleCrop>
  <HeadingPairs>
    <vt:vector size="2" baseType="variant">
      <vt:variant>
        <vt:lpstr>Título</vt:lpstr>
      </vt:variant>
      <vt:variant>
        <vt:i4>1</vt:i4>
      </vt:variant>
    </vt:vector>
  </HeadingPairs>
  <TitlesOfParts>
    <vt:vector size="1" baseType="lpstr">
      <vt:lpstr>Corte Interamericana de Derechos Humanos</vt:lpstr>
    </vt:vector>
  </TitlesOfParts>
  <Company>Corte IDH</Company>
  <LinksUpToDate>false</LinksUpToDate>
  <CharactersWithSpaces>133756</CharactersWithSpaces>
  <SharedDoc>false</SharedDoc>
  <HLinks>
    <vt:vector size="210" baseType="variant">
      <vt:variant>
        <vt:i4>1179705</vt:i4>
      </vt:variant>
      <vt:variant>
        <vt:i4>183</vt:i4>
      </vt:variant>
      <vt:variant>
        <vt:i4>0</vt:i4>
      </vt:variant>
      <vt:variant>
        <vt:i4>5</vt:i4>
      </vt:variant>
      <vt:variant>
        <vt:lpwstr/>
      </vt:variant>
      <vt:variant>
        <vt:lpwstr>_Toc255292703</vt:lpwstr>
      </vt:variant>
      <vt:variant>
        <vt:i4>1179707</vt:i4>
      </vt:variant>
      <vt:variant>
        <vt:i4>176</vt:i4>
      </vt:variant>
      <vt:variant>
        <vt:i4>0</vt:i4>
      </vt:variant>
      <vt:variant>
        <vt:i4>5</vt:i4>
      </vt:variant>
      <vt:variant>
        <vt:lpwstr/>
      </vt:variant>
      <vt:variant>
        <vt:lpwstr>_Toc295986432</vt:lpwstr>
      </vt:variant>
      <vt:variant>
        <vt:i4>1179707</vt:i4>
      </vt:variant>
      <vt:variant>
        <vt:i4>170</vt:i4>
      </vt:variant>
      <vt:variant>
        <vt:i4>0</vt:i4>
      </vt:variant>
      <vt:variant>
        <vt:i4>5</vt:i4>
      </vt:variant>
      <vt:variant>
        <vt:lpwstr/>
      </vt:variant>
      <vt:variant>
        <vt:lpwstr>_Toc295986431</vt:lpwstr>
      </vt:variant>
      <vt:variant>
        <vt:i4>1179707</vt:i4>
      </vt:variant>
      <vt:variant>
        <vt:i4>164</vt:i4>
      </vt:variant>
      <vt:variant>
        <vt:i4>0</vt:i4>
      </vt:variant>
      <vt:variant>
        <vt:i4>5</vt:i4>
      </vt:variant>
      <vt:variant>
        <vt:lpwstr/>
      </vt:variant>
      <vt:variant>
        <vt:lpwstr>_Toc295986430</vt:lpwstr>
      </vt:variant>
      <vt:variant>
        <vt:i4>1245243</vt:i4>
      </vt:variant>
      <vt:variant>
        <vt:i4>158</vt:i4>
      </vt:variant>
      <vt:variant>
        <vt:i4>0</vt:i4>
      </vt:variant>
      <vt:variant>
        <vt:i4>5</vt:i4>
      </vt:variant>
      <vt:variant>
        <vt:lpwstr/>
      </vt:variant>
      <vt:variant>
        <vt:lpwstr>_Toc295986429</vt:lpwstr>
      </vt:variant>
      <vt:variant>
        <vt:i4>1245243</vt:i4>
      </vt:variant>
      <vt:variant>
        <vt:i4>152</vt:i4>
      </vt:variant>
      <vt:variant>
        <vt:i4>0</vt:i4>
      </vt:variant>
      <vt:variant>
        <vt:i4>5</vt:i4>
      </vt:variant>
      <vt:variant>
        <vt:lpwstr/>
      </vt:variant>
      <vt:variant>
        <vt:lpwstr>_Toc295986428</vt:lpwstr>
      </vt:variant>
      <vt:variant>
        <vt:i4>1245243</vt:i4>
      </vt:variant>
      <vt:variant>
        <vt:i4>146</vt:i4>
      </vt:variant>
      <vt:variant>
        <vt:i4>0</vt:i4>
      </vt:variant>
      <vt:variant>
        <vt:i4>5</vt:i4>
      </vt:variant>
      <vt:variant>
        <vt:lpwstr/>
      </vt:variant>
      <vt:variant>
        <vt:lpwstr>_Toc295986427</vt:lpwstr>
      </vt:variant>
      <vt:variant>
        <vt:i4>1245243</vt:i4>
      </vt:variant>
      <vt:variant>
        <vt:i4>140</vt:i4>
      </vt:variant>
      <vt:variant>
        <vt:i4>0</vt:i4>
      </vt:variant>
      <vt:variant>
        <vt:i4>5</vt:i4>
      </vt:variant>
      <vt:variant>
        <vt:lpwstr/>
      </vt:variant>
      <vt:variant>
        <vt:lpwstr>_Toc295986426</vt:lpwstr>
      </vt:variant>
      <vt:variant>
        <vt:i4>1245243</vt:i4>
      </vt:variant>
      <vt:variant>
        <vt:i4>134</vt:i4>
      </vt:variant>
      <vt:variant>
        <vt:i4>0</vt:i4>
      </vt:variant>
      <vt:variant>
        <vt:i4>5</vt:i4>
      </vt:variant>
      <vt:variant>
        <vt:lpwstr/>
      </vt:variant>
      <vt:variant>
        <vt:lpwstr>_Toc295986425</vt:lpwstr>
      </vt:variant>
      <vt:variant>
        <vt:i4>1245243</vt:i4>
      </vt:variant>
      <vt:variant>
        <vt:i4>131</vt:i4>
      </vt:variant>
      <vt:variant>
        <vt:i4>0</vt:i4>
      </vt:variant>
      <vt:variant>
        <vt:i4>5</vt:i4>
      </vt:variant>
      <vt:variant>
        <vt:lpwstr/>
      </vt:variant>
      <vt:variant>
        <vt:lpwstr>_Toc295986424</vt:lpwstr>
      </vt:variant>
      <vt:variant>
        <vt:i4>1245243</vt:i4>
      </vt:variant>
      <vt:variant>
        <vt:i4>128</vt:i4>
      </vt:variant>
      <vt:variant>
        <vt:i4>0</vt:i4>
      </vt:variant>
      <vt:variant>
        <vt:i4>5</vt:i4>
      </vt:variant>
      <vt:variant>
        <vt:lpwstr/>
      </vt:variant>
      <vt:variant>
        <vt:lpwstr>_Toc295986423</vt:lpwstr>
      </vt:variant>
      <vt:variant>
        <vt:i4>1245243</vt:i4>
      </vt:variant>
      <vt:variant>
        <vt:i4>122</vt:i4>
      </vt:variant>
      <vt:variant>
        <vt:i4>0</vt:i4>
      </vt:variant>
      <vt:variant>
        <vt:i4>5</vt:i4>
      </vt:variant>
      <vt:variant>
        <vt:lpwstr/>
      </vt:variant>
      <vt:variant>
        <vt:lpwstr>_Toc295986422</vt:lpwstr>
      </vt:variant>
      <vt:variant>
        <vt:i4>1245243</vt:i4>
      </vt:variant>
      <vt:variant>
        <vt:i4>119</vt:i4>
      </vt:variant>
      <vt:variant>
        <vt:i4>0</vt:i4>
      </vt:variant>
      <vt:variant>
        <vt:i4>5</vt:i4>
      </vt:variant>
      <vt:variant>
        <vt:lpwstr/>
      </vt:variant>
      <vt:variant>
        <vt:lpwstr>_Toc295986421</vt:lpwstr>
      </vt:variant>
      <vt:variant>
        <vt:i4>1245243</vt:i4>
      </vt:variant>
      <vt:variant>
        <vt:i4>116</vt:i4>
      </vt:variant>
      <vt:variant>
        <vt:i4>0</vt:i4>
      </vt:variant>
      <vt:variant>
        <vt:i4>5</vt:i4>
      </vt:variant>
      <vt:variant>
        <vt:lpwstr/>
      </vt:variant>
      <vt:variant>
        <vt:lpwstr>_Toc295986420</vt:lpwstr>
      </vt:variant>
      <vt:variant>
        <vt:i4>1048635</vt:i4>
      </vt:variant>
      <vt:variant>
        <vt:i4>110</vt:i4>
      </vt:variant>
      <vt:variant>
        <vt:i4>0</vt:i4>
      </vt:variant>
      <vt:variant>
        <vt:i4>5</vt:i4>
      </vt:variant>
      <vt:variant>
        <vt:lpwstr/>
      </vt:variant>
      <vt:variant>
        <vt:lpwstr>_Toc295986419</vt:lpwstr>
      </vt:variant>
      <vt:variant>
        <vt:i4>1048635</vt:i4>
      </vt:variant>
      <vt:variant>
        <vt:i4>104</vt:i4>
      </vt:variant>
      <vt:variant>
        <vt:i4>0</vt:i4>
      </vt:variant>
      <vt:variant>
        <vt:i4>5</vt:i4>
      </vt:variant>
      <vt:variant>
        <vt:lpwstr/>
      </vt:variant>
      <vt:variant>
        <vt:lpwstr>_Toc295986418</vt:lpwstr>
      </vt:variant>
      <vt:variant>
        <vt:i4>1048635</vt:i4>
      </vt:variant>
      <vt:variant>
        <vt:i4>98</vt:i4>
      </vt:variant>
      <vt:variant>
        <vt:i4>0</vt:i4>
      </vt:variant>
      <vt:variant>
        <vt:i4>5</vt:i4>
      </vt:variant>
      <vt:variant>
        <vt:lpwstr/>
      </vt:variant>
      <vt:variant>
        <vt:lpwstr>_Toc295986417</vt:lpwstr>
      </vt:variant>
      <vt:variant>
        <vt:i4>1048635</vt:i4>
      </vt:variant>
      <vt:variant>
        <vt:i4>92</vt:i4>
      </vt:variant>
      <vt:variant>
        <vt:i4>0</vt:i4>
      </vt:variant>
      <vt:variant>
        <vt:i4>5</vt:i4>
      </vt:variant>
      <vt:variant>
        <vt:lpwstr/>
      </vt:variant>
      <vt:variant>
        <vt:lpwstr>_Toc295986416</vt:lpwstr>
      </vt:variant>
      <vt:variant>
        <vt:i4>1048635</vt:i4>
      </vt:variant>
      <vt:variant>
        <vt:i4>86</vt:i4>
      </vt:variant>
      <vt:variant>
        <vt:i4>0</vt:i4>
      </vt:variant>
      <vt:variant>
        <vt:i4>5</vt:i4>
      </vt:variant>
      <vt:variant>
        <vt:lpwstr/>
      </vt:variant>
      <vt:variant>
        <vt:lpwstr>_Toc295986415</vt:lpwstr>
      </vt:variant>
      <vt:variant>
        <vt:i4>1048635</vt:i4>
      </vt:variant>
      <vt:variant>
        <vt:i4>80</vt:i4>
      </vt:variant>
      <vt:variant>
        <vt:i4>0</vt:i4>
      </vt:variant>
      <vt:variant>
        <vt:i4>5</vt:i4>
      </vt:variant>
      <vt:variant>
        <vt:lpwstr/>
      </vt:variant>
      <vt:variant>
        <vt:lpwstr>_Toc295986414</vt:lpwstr>
      </vt:variant>
      <vt:variant>
        <vt:i4>1048635</vt:i4>
      </vt:variant>
      <vt:variant>
        <vt:i4>74</vt:i4>
      </vt:variant>
      <vt:variant>
        <vt:i4>0</vt:i4>
      </vt:variant>
      <vt:variant>
        <vt:i4>5</vt:i4>
      </vt:variant>
      <vt:variant>
        <vt:lpwstr/>
      </vt:variant>
      <vt:variant>
        <vt:lpwstr>_Toc295986413</vt:lpwstr>
      </vt:variant>
      <vt:variant>
        <vt:i4>1048635</vt:i4>
      </vt:variant>
      <vt:variant>
        <vt:i4>68</vt:i4>
      </vt:variant>
      <vt:variant>
        <vt:i4>0</vt:i4>
      </vt:variant>
      <vt:variant>
        <vt:i4>5</vt:i4>
      </vt:variant>
      <vt:variant>
        <vt:lpwstr/>
      </vt:variant>
      <vt:variant>
        <vt:lpwstr>_Toc295986412</vt:lpwstr>
      </vt:variant>
      <vt:variant>
        <vt:i4>1048635</vt:i4>
      </vt:variant>
      <vt:variant>
        <vt:i4>65</vt:i4>
      </vt:variant>
      <vt:variant>
        <vt:i4>0</vt:i4>
      </vt:variant>
      <vt:variant>
        <vt:i4>5</vt:i4>
      </vt:variant>
      <vt:variant>
        <vt:lpwstr/>
      </vt:variant>
      <vt:variant>
        <vt:lpwstr>_Toc295986411</vt:lpwstr>
      </vt:variant>
      <vt:variant>
        <vt:i4>1048635</vt:i4>
      </vt:variant>
      <vt:variant>
        <vt:i4>59</vt:i4>
      </vt:variant>
      <vt:variant>
        <vt:i4>0</vt:i4>
      </vt:variant>
      <vt:variant>
        <vt:i4>5</vt:i4>
      </vt:variant>
      <vt:variant>
        <vt:lpwstr/>
      </vt:variant>
      <vt:variant>
        <vt:lpwstr>_Toc295986410</vt:lpwstr>
      </vt:variant>
      <vt:variant>
        <vt:i4>1114171</vt:i4>
      </vt:variant>
      <vt:variant>
        <vt:i4>53</vt:i4>
      </vt:variant>
      <vt:variant>
        <vt:i4>0</vt:i4>
      </vt:variant>
      <vt:variant>
        <vt:i4>5</vt:i4>
      </vt:variant>
      <vt:variant>
        <vt:lpwstr/>
      </vt:variant>
      <vt:variant>
        <vt:lpwstr>_Toc295986409</vt:lpwstr>
      </vt:variant>
      <vt:variant>
        <vt:i4>1114171</vt:i4>
      </vt:variant>
      <vt:variant>
        <vt:i4>47</vt:i4>
      </vt:variant>
      <vt:variant>
        <vt:i4>0</vt:i4>
      </vt:variant>
      <vt:variant>
        <vt:i4>5</vt:i4>
      </vt:variant>
      <vt:variant>
        <vt:lpwstr/>
      </vt:variant>
      <vt:variant>
        <vt:lpwstr>_Toc295986408</vt:lpwstr>
      </vt:variant>
      <vt:variant>
        <vt:i4>1114171</vt:i4>
      </vt:variant>
      <vt:variant>
        <vt:i4>41</vt:i4>
      </vt:variant>
      <vt:variant>
        <vt:i4>0</vt:i4>
      </vt:variant>
      <vt:variant>
        <vt:i4>5</vt:i4>
      </vt:variant>
      <vt:variant>
        <vt:lpwstr/>
      </vt:variant>
      <vt:variant>
        <vt:lpwstr>_Toc295986407</vt:lpwstr>
      </vt:variant>
      <vt:variant>
        <vt:i4>1114171</vt:i4>
      </vt:variant>
      <vt:variant>
        <vt:i4>35</vt:i4>
      </vt:variant>
      <vt:variant>
        <vt:i4>0</vt:i4>
      </vt:variant>
      <vt:variant>
        <vt:i4>5</vt:i4>
      </vt:variant>
      <vt:variant>
        <vt:lpwstr/>
      </vt:variant>
      <vt:variant>
        <vt:lpwstr>_Toc295986406</vt:lpwstr>
      </vt:variant>
      <vt:variant>
        <vt:i4>1114171</vt:i4>
      </vt:variant>
      <vt:variant>
        <vt:i4>29</vt:i4>
      </vt:variant>
      <vt:variant>
        <vt:i4>0</vt:i4>
      </vt:variant>
      <vt:variant>
        <vt:i4>5</vt:i4>
      </vt:variant>
      <vt:variant>
        <vt:lpwstr/>
      </vt:variant>
      <vt:variant>
        <vt:lpwstr>_Toc295986405</vt:lpwstr>
      </vt:variant>
      <vt:variant>
        <vt:i4>1114171</vt:i4>
      </vt:variant>
      <vt:variant>
        <vt:i4>23</vt:i4>
      </vt:variant>
      <vt:variant>
        <vt:i4>0</vt:i4>
      </vt:variant>
      <vt:variant>
        <vt:i4>5</vt:i4>
      </vt:variant>
      <vt:variant>
        <vt:lpwstr/>
      </vt:variant>
      <vt:variant>
        <vt:lpwstr>_Toc295986404</vt:lpwstr>
      </vt:variant>
      <vt:variant>
        <vt:i4>1114171</vt:i4>
      </vt:variant>
      <vt:variant>
        <vt:i4>17</vt:i4>
      </vt:variant>
      <vt:variant>
        <vt:i4>0</vt:i4>
      </vt:variant>
      <vt:variant>
        <vt:i4>5</vt:i4>
      </vt:variant>
      <vt:variant>
        <vt:lpwstr/>
      </vt:variant>
      <vt:variant>
        <vt:lpwstr>_Toc295986403</vt:lpwstr>
      </vt:variant>
      <vt:variant>
        <vt:i4>1114171</vt:i4>
      </vt:variant>
      <vt:variant>
        <vt:i4>11</vt:i4>
      </vt:variant>
      <vt:variant>
        <vt:i4>0</vt:i4>
      </vt:variant>
      <vt:variant>
        <vt:i4>5</vt:i4>
      </vt:variant>
      <vt:variant>
        <vt:lpwstr/>
      </vt:variant>
      <vt:variant>
        <vt:lpwstr>_Toc295986402</vt:lpwstr>
      </vt:variant>
      <vt:variant>
        <vt:i4>1114171</vt:i4>
      </vt:variant>
      <vt:variant>
        <vt:i4>5</vt:i4>
      </vt:variant>
      <vt:variant>
        <vt:i4>0</vt:i4>
      </vt:variant>
      <vt:variant>
        <vt:i4>5</vt:i4>
      </vt:variant>
      <vt:variant>
        <vt:lpwstr/>
      </vt:variant>
      <vt:variant>
        <vt:lpwstr>_Toc295986401</vt:lpwstr>
      </vt:variant>
      <vt:variant>
        <vt:i4>5373959</vt:i4>
      </vt:variant>
      <vt:variant>
        <vt:i4>0</vt:i4>
      </vt:variant>
      <vt:variant>
        <vt:i4>0</vt:i4>
      </vt:variant>
      <vt:variant>
        <vt:i4>5</vt:i4>
      </vt:variant>
      <vt:variant>
        <vt:lpwstr>http://corteidh.or.cr/docs/casos/articulos/seriec_228_esp.pdf</vt:lpwstr>
      </vt:variant>
      <vt:variant>
        <vt:lpwstr/>
      </vt:variant>
      <vt:variant>
        <vt:i4>65621</vt:i4>
      </vt:variant>
      <vt:variant>
        <vt:i4>0</vt:i4>
      </vt:variant>
      <vt:variant>
        <vt:i4>0</vt:i4>
      </vt:variant>
      <vt:variant>
        <vt:i4>5</vt:i4>
      </vt:variant>
      <vt:variant>
        <vt:lpwstr>https://wcd.coe.int/wcd/ViewDoc.jsp?Ref=CCJE(2010)2&amp;Language=lanEnglish&amp;Ver=original&amp;BackColorInternet=DBDCF2&amp;BackColorIntranet=FDC864&amp;BackColorLogged=FDC864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Corte Interamericana de Derechos Humanos</dc:title>
  <dc:subject/>
  <dc:creator>Corte IDH</dc:creator>
  <cp:keywords/>
  <dc:description/>
  <cp:lastModifiedBy>Portalanza Bolivar</cp:lastModifiedBy>
  <cp:revision>3</cp:revision>
  <cp:lastPrinted>2011-08-24T19:14:00Z</cp:lastPrinted>
  <dcterms:created xsi:type="dcterms:W3CDTF">2015-04-14T16:21:00Z</dcterms:created>
  <dcterms:modified xsi:type="dcterms:W3CDTF">2015-04-14T16:21:00Z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0x010100997E9638F0575445A7A20ACA3589B1CE</vt:lpwstr>
  </property>
</Properties>
</file>