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25D" w:rsidRPr="006B7455" w:rsidRDefault="000B525D" w:rsidP="000B525D">
      <w:pPr>
        <w:pStyle w:val="Ttulo2"/>
        <w:numPr>
          <w:ilvl w:val="1"/>
          <w:numId w:val="1"/>
        </w:numPr>
        <w:spacing w:before="0" w:line="360" w:lineRule="auto"/>
        <w:jc w:val="both"/>
        <w:rPr>
          <w:rFonts w:eastAsia="BatangChe"/>
          <w:szCs w:val="24"/>
        </w:rPr>
      </w:pPr>
      <w:bookmarkStart w:id="0" w:name="_Toc500843590"/>
      <w:bookmarkStart w:id="1" w:name="_GoBack"/>
      <w:bookmarkEnd w:id="1"/>
      <w:r w:rsidRPr="006B7455">
        <w:rPr>
          <w:rFonts w:eastAsia="BatangChe"/>
          <w:szCs w:val="24"/>
        </w:rPr>
        <w:t>Responsabilidad Internacional del Estado: Hecho ilícito internacional</w:t>
      </w:r>
      <w:bookmarkEnd w:id="0"/>
    </w:p>
    <w:p w:rsidR="000B525D" w:rsidRPr="006B7455" w:rsidRDefault="000B525D" w:rsidP="000B525D">
      <w:pPr>
        <w:spacing w:after="0" w:line="360" w:lineRule="auto"/>
        <w:jc w:val="both"/>
        <w:rPr>
          <w:rFonts w:ascii="Bookman Old Style" w:eastAsia="BatangChe" w:hAnsi="Bookman Old Style"/>
          <w:sz w:val="24"/>
          <w:szCs w:val="24"/>
        </w:rPr>
      </w:pPr>
    </w:p>
    <w:p w:rsidR="000B525D" w:rsidRDefault="000B525D" w:rsidP="000B525D">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Los Estados, al ser sujetos del derecho internacional</w:t>
      </w:r>
      <w:r w:rsidRPr="006B7455">
        <w:rPr>
          <w:rStyle w:val="Refdenotaalpie"/>
          <w:rFonts w:ascii="Bookman Old Style" w:eastAsia="BatangChe" w:hAnsi="Bookman Old Style"/>
          <w:sz w:val="24"/>
          <w:szCs w:val="24"/>
        </w:rPr>
        <w:footnoteReference w:id="1"/>
      </w:r>
      <w:r w:rsidRPr="006B7455">
        <w:rPr>
          <w:rFonts w:ascii="Bookman Old Style" w:eastAsia="BatangChe" w:hAnsi="Bookman Old Style"/>
          <w:sz w:val="24"/>
          <w:szCs w:val="24"/>
        </w:rPr>
        <w:t>, están obligados a respetar el orden jurídico internacional y, en caso de incumplimiento, resarcir el daño y, si es posible, retrotraer las cosas a su estado normal</w:t>
      </w:r>
      <w:r w:rsidRPr="006B7455">
        <w:rPr>
          <w:rStyle w:val="Refdenotaalpie"/>
          <w:rFonts w:ascii="Bookman Old Style" w:eastAsia="BatangChe" w:hAnsi="Bookman Old Style"/>
          <w:sz w:val="24"/>
          <w:szCs w:val="24"/>
        </w:rPr>
        <w:footnoteReference w:id="2"/>
      </w:r>
      <w:r w:rsidRPr="006B7455">
        <w:rPr>
          <w:rFonts w:ascii="Bookman Old Style" w:eastAsia="BatangChe" w:hAnsi="Bookman Old Style"/>
          <w:sz w:val="24"/>
          <w:szCs w:val="24"/>
        </w:rPr>
        <w:t xml:space="preserve">. Por ende, el Estado, al ratificar un instrumento internacional, compromete su responsabilidad ante el incumplimiento de las obligaciones asumidas en </w:t>
      </w:r>
      <w:proofErr w:type="gramStart"/>
      <w:r w:rsidRPr="006B7455">
        <w:rPr>
          <w:rFonts w:ascii="Bookman Old Style" w:eastAsia="BatangChe" w:hAnsi="Bookman Old Style"/>
          <w:sz w:val="24"/>
          <w:szCs w:val="24"/>
        </w:rPr>
        <w:t>observancia</w:t>
      </w:r>
      <w:proofErr w:type="gramEnd"/>
      <w:r w:rsidRPr="006B7455">
        <w:rPr>
          <w:rFonts w:ascii="Bookman Old Style" w:eastAsia="BatangChe" w:hAnsi="Bookman Old Style"/>
          <w:sz w:val="24"/>
          <w:szCs w:val="24"/>
        </w:rPr>
        <w:t xml:space="preserve"> del orden jurídico internacional. </w:t>
      </w:r>
    </w:p>
    <w:p w:rsidR="000B525D" w:rsidRPr="006B7455" w:rsidRDefault="000B525D" w:rsidP="000B525D">
      <w:pPr>
        <w:spacing w:after="0" w:line="360" w:lineRule="auto"/>
        <w:jc w:val="both"/>
        <w:rPr>
          <w:rFonts w:ascii="Bookman Old Style" w:eastAsia="BatangChe" w:hAnsi="Bookman Old Style"/>
          <w:sz w:val="24"/>
          <w:szCs w:val="24"/>
        </w:rPr>
      </w:pPr>
    </w:p>
    <w:p w:rsidR="000B525D" w:rsidRPr="006B7455" w:rsidRDefault="000B525D" w:rsidP="000B525D">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La responsabilidad internacional es un principio del derecho internacional, el cual consiste en asumir las consecuencias de la comisión de un hecho internacionalmente ilícito</w:t>
      </w:r>
      <w:r w:rsidRPr="006B7455">
        <w:rPr>
          <w:rStyle w:val="Refdenotaalpie"/>
          <w:rFonts w:ascii="Bookman Old Style" w:eastAsia="BatangChe" w:hAnsi="Bookman Old Style"/>
          <w:sz w:val="24"/>
          <w:szCs w:val="24"/>
        </w:rPr>
        <w:footnoteReference w:id="3"/>
      </w:r>
      <w:r w:rsidRPr="006B7455">
        <w:rPr>
          <w:rFonts w:ascii="Bookman Old Style" w:eastAsia="BatangChe" w:hAnsi="Bookman Old Style"/>
          <w:sz w:val="24"/>
          <w:szCs w:val="24"/>
        </w:rPr>
        <w:t>, que “lleva consigo la obligación de reparar la falta así cometida. La reparación es, pues, complemento indispensable para la debida aplicación de un convenio, sin que sea preciso que así se haya estipulado en el mismo”</w:t>
      </w:r>
      <w:r w:rsidRPr="006B7455">
        <w:rPr>
          <w:rStyle w:val="Refdenotaalpie"/>
          <w:rFonts w:ascii="Bookman Old Style" w:eastAsia="BatangChe" w:hAnsi="Bookman Old Style"/>
          <w:sz w:val="24"/>
          <w:szCs w:val="24"/>
        </w:rPr>
        <w:footnoteReference w:id="4"/>
      </w:r>
      <w:r w:rsidRPr="006B7455">
        <w:rPr>
          <w:rFonts w:ascii="Bookman Old Style" w:eastAsia="BatangChe" w:hAnsi="Bookman Old Style"/>
          <w:sz w:val="24"/>
          <w:szCs w:val="24"/>
        </w:rPr>
        <w:t>.</w:t>
      </w:r>
    </w:p>
    <w:p w:rsidR="000B525D" w:rsidRDefault="000B525D" w:rsidP="000B525D">
      <w:pPr>
        <w:spacing w:after="0" w:line="360" w:lineRule="auto"/>
        <w:jc w:val="both"/>
        <w:rPr>
          <w:rFonts w:ascii="Bookman Old Style" w:eastAsia="BatangChe" w:hAnsi="Bookman Old Style"/>
          <w:sz w:val="24"/>
          <w:szCs w:val="24"/>
        </w:rPr>
      </w:pPr>
    </w:p>
    <w:p w:rsidR="000B525D" w:rsidRPr="006B7455" w:rsidRDefault="000B525D" w:rsidP="000B525D">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En este sentido, en el ámbito interamericano, la Corte IDH ha señalado:</w:t>
      </w:r>
    </w:p>
    <w:p w:rsidR="000B525D" w:rsidRPr="006B7455" w:rsidRDefault="000B525D" w:rsidP="000B525D">
      <w:pPr>
        <w:spacing w:after="0" w:line="360" w:lineRule="auto"/>
        <w:ind w:left="708"/>
        <w:jc w:val="both"/>
        <w:rPr>
          <w:rFonts w:ascii="Bookman Old Style" w:eastAsia="BatangChe" w:hAnsi="Bookman Old Style"/>
          <w:sz w:val="24"/>
          <w:szCs w:val="24"/>
        </w:rPr>
      </w:pPr>
      <w:r w:rsidRPr="006B7455">
        <w:rPr>
          <w:rFonts w:ascii="Bookman Old Style" w:eastAsia="BatangChe" w:hAnsi="Bookman Old Style"/>
          <w:sz w:val="24"/>
          <w:szCs w:val="24"/>
        </w:rPr>
        <w:t>“[…] toda violación de una obligación internacional que haya producido daño, comporta el deber de repararlo adecuadamente, y que esa disposición recoge una norma consuetudinaria que constituye uno de los principios fundamentales del Derecho Internacional contemporáneo sobre responsabilidad de un Estado”</w:t>
      </w:r>
      <w:r w:rsidRPr="006B7455">
        <w:rPr>
          <w:rStyle w:val="Refdenotaalpie"/>
          <w:rFonts w:ascii="Bookman Old Style" w:eastAsia="BatangChe" w:hAnsi="Bookman Old Style"/>
          <w:sz w:val="24"/>
          <w:szCs w:val="24"/>
        </w:rPr>
        <w:footnoteReference w:id="5"/>
      </w:r>
      <w:r w:rsidRPr="006B7455">
        <w:rPr>
          <w:rFonts w:ascii="Bookman Old Style" w:eastAsia="BatangChe" w:hAnsi="Bookman Old Style"/>
          <w:sz w:val="24"/>
          <w:szCs w:val="24"/>
        </w:rPr>
        <w:t>.</w:t>
      </w:r>
    </w:p>
    <w:p w:rsidR="000B525D" w:rsidRDefault="000B525D" w:rsidP="000B525D">
      <w:pPr>
        <w:spacing w:after="0" w:line="360" w:lineRule="auto"/>
        <w:jc w:val="both"/>
        <w:rPr>
          <w:rFonts w:ascii="Bookman Old Style" w:eastAsia="BatangChe" w:hAnsi="Bookman Old Style"/>
          <w:sz w:val="24"/>
          <w:szCs w:val="24"/>
        </w:rPr>
      </w:pPr>
    </w:p>
    <w:p w:rsidR="000B525D" w:rsidRDefault="000B525D" w:rsidP="000B525D">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lastRenderedPageBreak/>
        <w:t>Adicionalmente, cabe mencionar que esta noción de responsabilidad internacional, contempla una doble dimensión</w:t>
      </w:r>
      <w:r w:rsidRPr="000959B0">
        <w:rPr>
          <w:rFonts w:ascii="Bookman Old Style" w:eastAsia="BatangChe" w:hAnsi="Bookman Old Style"/>
          <w:sz w:val="24"/>
          <w:szCs w:val="24"/>
        </w:rPr>
        <w:t xml:space="preserve"> </w:t>
      </w:r>
      <w:r w:rsidRPr="006B7455">
        <w:rPr>
          <w:rFonts w:ascii="Bookman Old Style" w:eastAsia="BatangChe" w:hAnsi="Bookman Old Style"/>
          <w:sz w:val="24"/>
          <w:szCs w:val="24"/>
        </w:rPr>
        <w:t>jurídica y política:</w:t>
      </w:r>
    </w:p>
    <w:p w:rsidR="000B525D" w:rsidRPr="006B7455" w:rsidRDefault="000B525D" w:rsidP="000B525D">
      <w:pPr>
        <w:spacing w:after="0" w:line="360" w:lineRule="auto"/>
        <w:jc w:val="both"/>
        <w:rPr>
          <w:rFonts w:ascii="Bookman Old Style" w:eastAsia="BatangChe" w:hAnsi="Bookman Old Style"/>
          <w:sz w:val="24"/>
          <w:szCs w:val="24"/>
        </w:rPr>
      </w:pPr>
    </w:p>
    <w:p w:rsidR="000B525D" w:rsidRPr="006B7455" w:rsidRDefault="000B525D" w:rsidP="000B525D">
      <w:pPr>
        <w:spacing w:after="0" w:line="360" w:lineRule="auto"/>
        <w:ind w:left="708"/>
        <w:jc w:val="both"/>
        <w:rPr>
          <w:rFonts w:ascii="Bookman Old Style" w:eastAsia="BatangChe" w:hAnsi="Bookman Old Style"/>
          <w:sz w:val="24"/>
          <w:szCs w:val="24"/>
        </w:rPr>
      </w:pPr>
      <w:r w:rsidRPr="006B7455">
        <w:rPr>
          <w:rFonts w:ascii="Bookman Old Style" w:eastAsia="BatangChe" w:hAnsi="Bookman Old Style"/>
          <w:sz w:val="24"/>
          <w:szCs w:val="24"/>
        </w:rPr>
        <w:t>“[…] Jurídica porque esta noción encierra la parte vertebral del derecho internacional, y política porque ella vino a reemplazar las vías de hecho a que acudían antiguamente los Estados para hacer efectivas sus pretensiones [...]”</w:t>
      </w:r>
      <w:r w:rsidRPr="006B7455">
        <w:rPr>
          <w:rStyle w:val="Refdenotaalpie"/>
          <w:rFonts w:ascii="Bookman Old Style" w:eastAsia="BatangChe" w:hAnsi="Bookman Old Style"/>
          <w:sz w:val="24"/>
          <w:szCs w:val="24"/>
        </w:rPr>
        <w:footnoteReference w:id="6"/>
      </w:r>
    </w:p>
    <w:p w:rsidR="000B525D" w:rsidRDefault="000B525D" w:rsidP="000B525D">
      <w:pPr>
        <w:spacing w:after="0" w:line="360" w:lineRule="auto"/>
        <w:jc w:val="both"/>
        <w:rPr>
          <w:rFonts w:ascii="Bookman Old Style" w:eastAsia="BatangChe" w:hAnsi="Bookman Old Style"/>
          <w:sz w:val="24"/>
          <w:szCs w:val="24"/>
        </w:rPr>
      </w:pPr>
    </w:p>
    <w:p w:rsidR="000B525D" w:rsidRPr="006B7455" w:rsidRDefault="000B525D" w:rsidP="000B525D">
      <w:pPr>
        <w:spacing w:after="0" w:line="360" w:lineRule="auto"/>
        <w:jc w:val="both"/>
        <w:rPr>
          <w:rFonts w:ascii="Bookman Old Style" w:eastAsia="BatangChe" w:hAnsi="Bookman Old Style"/>
          <w:sz w:val="24"/>
          <w:szCs w:val="24"/>
        </w:rPr>
      </w:pPr>
      <w:r>
        <w:rPr>
          <w:rFonts w:ascii="Bookman Old Style" w:eastAsia="BatangChe" w:hAnsi="Bookman Old Style"/>
          <w:sz w:val="24"/>
          <w:szCs w:val="24"/>
        </w:rPr>
        <w:t>D</w:t>
      </w:r>
      <w:r w:rsidRPr="006B7455">
        <w:rPr>
          <w:rFonts w:ascii="Bookman Old Style" w:eastAsia="BatangChe" w:hAnsi="Bookman Old Style"/>
          <w:sz w:val="24"/>
          <w:szCs w:val="24"/>
        </w:rPr>
        <w:t xml:space="preserve">e acuerdo a Antonio </w:t>
      </w:r>
      <w:proofErr w:type="spellStart"/>
      <w:r w:rsidRPr="006B7455">
        <w:rPr>
          <w:rFonts w:ascii="Bookman Old Style" w:eastAsia="BatangChe" w:hAnsi="Bookman Old Style"/>
          <w:sz w:val="24"/>
          <w:szCs w:val="24"/>
        </w:rPr>
        <w:t>Cassese</w:t>
      </w:r>
      <w:proofErr w:type="spellEnd"/>
      <w:r w:rsidRPr="006B7455">
        <w:rPr>
          <w:rFonts w:ascii="Bookman Old Style" w:eastAsia="BatangChe" w:hAnsi="Bookman Old Style"/>
          <w:sz w:val="24"/>
          <w:szCs w:val="24"/>
        </w:rPr>
        <w:t>, ex presidente del Tribunal Penal Internacional para la ex- Yugoslavia, para que se configure un hecho internacionalmente ilícito, se deben cumplir elementos subjetivos, como la imputabilidad a un Estado de la conducta (acción u omisión) en contra de las obligaciones internacionales; en algunos casos, la culpa de los Estados al realizar el acto ilícito; y objetivos, que son: la inobservancia de una obligación internacional, un daño material o moral a otro sujeto del derecho internacional, y la ausencia de cualquiera de las circunstancias que excluyen la ilicitud.</w:t>
      </w:r>
      <w:r w:rsidRPr="006B7455">
        <w:rPr>
          <w:rStyle w:val="Refdenotaalpie"/>
          <w:rFonts w:ascii="Bookman Old Style" w:eastAsia="BatangChe" w:hAnsi="Bookman Old Style"/>
          <w:sz w:val="24"/>
          <w:szCs w:val="24"/>
        </w:rPr>
        <w:footnoteReference w:id="7"/>
      </w:r>
    </w:p>
    <w:p w:rsidR="000B525D" w:rsidRDefault="000B525D" w:rsidP="000B525D">
      <w:pPr>
        <w:spacing w:after="0" w:line="360" w:lineRule="auto"/>
        <w:jc w:val="both"/>
        <w:rPr>
          <w:rFonts w:ascii="Bookman Old Style" w:eastAsia="BatangChe" w:hAnsi="Bookman Old Style"/>
          <w:sz w:val="24"/>
          <w:szCs w:val="24"/>
        </w:rPr>
      </w:pPr>
    </w:p>
    <w:p w:rsidR="000B525D" w:rsidRPr="006B7455" w:rsidRDefault="000B525D" w:rsidP="000B525D">
      <w:pPr>
        <w:spacing w:after="0" w:line="360" w:lineRule="auto"/>
        <w:jc w:val="both"/>
        <w:rPr>
          <w:rFonts w:ascii="Bookman Old Style" w:eastAsia="BatangChe" w:hAnsi="Bookman Old Style"/>
          <w:sz w:val="24"/>
          <w:szCs w:val="24"/>
        </w:rPr>
      </w:pPr>
      <w:r>
        <w:rPr>
          <w:rFonts w:ascii="Bookman Old Style" w:eastAsia="BatangChe" w:hAnsi="Bookman Old Style"/>
          <w:sz w:val="24"/>
          <w:szCs w:val="24"/>
        </w:rPr>
        <w:t>E</w:t>
      </w:r>
      <w:r w:rsidRPr="006B7455">
        <w:rPr>
          <w:rFonts w:ascii="Bookman Old Style" w:eastAsia="BatangChe" w:hAnsi="Bookman Old Style"/>
          <w:sz w:val="24"/>
          <w:szCs w:val="24"/>
        </w:rPr>
        <w:t>n el año 2002, la Asamblea General de Naciones Unidas aprobó la Resolución No. 56/83, denominada “Responsabilidad Internacional del Estado por hechos internacionalmente ilícitos”</w:t>
      </w:r>
      <w:r w:rsidRPr="006B7455">
        <w:rPr>
          <w:rStyle w:val="Refdenotaalpie"/>
          <w:rFonts w:ascii="Bookman Old Style" w:eastAsia="BatangChe" w:hAnsi="Bookman Old Style"/>
          <w:sz w:val="24"/>
          <w:szCs w:val="24"/>
        </w:rPr>
        <w:footnoteReference w:id="8"/>
      </w:r>
      <w:r w:rsidRPr="006B7455">
        <w:rPr>
          <w:rFonts w:ascii="Bookman Old Style" w:eastAsia="BatangChe" w:hAnsi="Bookman Old Style"/>
          <w:sz w:val="24"/>
          <w:szCs w:val="24"/>
        </w:rPr>
        <w:t xml:space="preserve">, dicho instrumento indica en su artículo 1 que todo hecho internacionalmente ilícito del Estado genera su responsabilidad internacional.  </w:t>
      </w:r>
    </w:p>
    <w:p w:rsidR="000B525D" w:rsidRPr="006B7455" w:rsidRDefault="000B525D" w:rsidP="000B525D">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 xml:space="preserve">Por su parte, el artículo 2 de la mencionada resolución establece los elementos del hecho internacionalmente ilícito, indicando lo siguiente: </w:t>
      </w:r>
    </w:p>
    <w:p w:rsidR="000B525D" w:rsidRDefault="000B525D" w:rsidP="000B525D">
      <w:pPr>
        <w:spacing w:after="0" w:line="360" w:lineRule="auto"/>
        <w:ind w:left="708"/>
        <w:jc w:val="both"/>
        <w:rPr>
          <w:rFonts w:ascii="Bookman Old Style" w:eastAsia="BatangChe" w:hAnsi="Bookman Old Style"/>
          <w:sz w:val="24"/>
          <w:szCs w:val="24"/>
        </w:rPr>
      </w:pPr>
    </w:p>
    <w:p w:rsidR="000B525D" w:rsidRPr="006B7455" w:rsidRDefault="000B525D" w:rsidP="000B525D">
      <w:pPr>
        <w:spacing w:after="0" w:line="360" w:lineRule="auto"/>
        <w:ind w:left="708"/>
        <w:jc w:val="both"/>
        <w:rPr>
          <w:rFonts w:ascii="Bookman Old Style" w:eastAsia="BatangChe" w:hAnsi="Bookman Old Style"/>
          <w:sz w:val="24"/>
          <w:szCs w:val="24"/>
        </w:rPr>
      </w:pPr>
      <w:r w:rsidRPr="006B7455">
        <w:rPr>
          <w:rFonts w:ascii="Bookman Old Style" w:eastAsia="BatangChe" w:hAnsi="Bookman Old Style"/>
          <w:sz w:val="24"/>
          <w:szCs w:val="24"/>
        </w:rPr>
        <w:t>“Artículo 2: Elementos del hecho internacionalmente ilícito del Estado:</w:t>
      </w:r>
    </w:p>
    <w:p w:rsidR="000B525D" w:rsidRPr="006B7455" w:rsidRDefault="000B525D" w:rsidP="000B525D">
      <w:pPr>
        <w:spacing w:after="0" w:line="360" w:lineRule="auto"/>
        <w:ind w:left="708"/>
        <w:jc w:val="both"/>
        <w:rPr>
          <w:rFonts w:ascii="Bookman Old Style" w:eastAsia="BatangChe" w:hAnsi="Bookman Old Style"/>
          <w:sz w:val="24"/>
          <w:szCs w:val="24"/>
        </w:rPr>
      </w:pPr>
      <w:r w:rsidRPr="006B7455">
        <w:rPr>
          <w:rFonts w:ascii="Bookman Old Style" w:eastAsia="BatangChe" w:hAnsi="Bookman Old Style"/>
          <w:sz w:val="24"/>
          <w:szCs w:val="24"/>
        </w:rPr>
        <w:lastRenderedPageBreak/>
        <w:t>Hay hecho internacionalmente ilícito del Estado cuando un comportamiento consistente en una acción u omisión:</w:t>
      </w:r>
    </w:p>
    <w:p w:rsidR="000B525D" w:rsidRPr="006B7455" w:rsidRDefault="000B525D" w:rsidP="000B525D">
      <w:pPr>
        <w:spacing w:after="0" w:line="360" w:lineRule="auto"/>
        <w:ind w:firstLine="708"/>
        <w:jc w:val="both"/>
        <w:rPr>
          <w:rFonts w:ascii="Bookman Old Style" w:eastAsia="BatangChe" w:hAnsi="Bookman Old Style"/>
          <w:sz w:val="24"/>
          <w:szCs w:val="24"/>
        </w:rPr>
      </w:pPr>
      <w:r w:rsidRPr="006B7455">
        <w:rPr>
          <w:rFonts w:ascii="Bookman Old Style" w:eastAsia="BatangChe" w:hAnsi="Bookman Old Style"/>
          <w:sz w:val="24"/>
          <w:szCs w:val="24"/>
        </w:rPr>
        <w:t>a) Es atribuible al Estado según el derecho internacional; y</w:t>
      </w:r>
    </w:p>
    <w:p w:rsidR="000B525D" w:rsidRPr="006B7455" w:rsidRDefault="000B525D" w:rsidP="000B525D">
      <w:pPr>
        <w:spacing w:after="0" w:line="360" w:lineRule="auto"/>
        <w:ind w:left="708"/>
        <w:jc w:val="both"/>
        <w:rPr>
          <w:rFonts w:ascii="Bookman Old Style" w:eastAsia="BatangChe" w:hAnsi="Bookman Old Style"/>
          <w:sz w:val="24"/>
          <w:szCs w:val="24"/>
        </w:rPr>
      </w:pPr>
      <w:r w:rsidRPr="006B7455">
        <w:rPr>
          <w:rFonts w:ascii="Bookman Old Style" w:eastAsia="BatangChe" w:hAnsi="Bookman Old Style"/>
          <w:sz w:val="24"/>
          <w:szCs w:val="24"/>
        </w:rPr>
        <w:t>b) Constituye una violación de una obligación internacional del Estado”</w:t>
      </w:r>
      <w:r w:rsidRPr="006B7455">
        <w:rPr>
          <w:rStyle w:val="Refdenotaalpie"/>
          <w:rFonts w:ascii="Bookman Old Style" w:eastAsia="BatangChe" w:hAnsi="Bookman Old Style"/>
          <w:sz w:val="24"/>
          <w:szCs w:val="24"/>
        </w:rPr>
        <w:footnoteReference w:id="9"/>
      </w:r>
      <w:r w:rsidRPr="006B7455">
        <w:rPr>
          <w:rFonts w:ascii="Bookman Old Style" w:eastAsia="BatangChe" w:hAnsi="Bookman Old Style"/>
          <w:sz w:val="24"/>
          <w:szCs w:val="24"/>
        </w:rPr>
        <w:t>.</w:t>
      </w:r>
    </w:p>
    <w:p w:rsidR="000B525D" w:rsidRDefault="000B525D" w:rsidP="000B525D">
      <w:pPr>
        <w:spacing w:after="0" w:line="360" w:lineRule="auto"/>
        <w:jc w:val="both"/>
        <w:rPr>
          <w:rFonts w:ascii="Bookman Old Style" w:eastAsia="BatangChe" w:hAnsi="Bookman Old Style"/>
          <w:sz w:val="24"/>
          <w:szCs w:val="24"/>
        </w:rPr>
      </w:pPr>
    </w:p>
    <w:p w:rsidR="000B525D" w:rsidRPr="006B7455" w:rsidRDefault="000B525D" w:rsidP="000B525D">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 xml:space="preserve">Respecto al primer elemento, este se relaciona con la acción u omisión atribuible al Estado, ya sea que ejerza funciones legislativas, ejecutivas, judiciales o de otra índole, cualquiera que sea su posición en la organización </w:t>
      </w:r>
      <w:r>
        <w:rPr>
          <w:rFonts w:ascii="Bookman Old Style" w:eastAsia="BatangChe" w:hAnsi="Bookman Old Style"/>
          <w:sz w:val="24"/>
          <w:szCs w:val="24"/>
        </w:rPr>
        <w:t xml:space="preserve">estatal </w:t>
      </w:r>
      <w:r w:rsidRPr="006B7455">
        <w:rPr>
          <w:rFonts w:ascii="Bookman Old Style" w:eastAsia="BatangChe" w:hAnsi="Bookman Old Style"/>
          <w:sz w:val="24"/>
          <w:szCs w:val="24"/>
        </w:rPr>
        <w:t>y tanto si pertenece al gobierno central como a una división territorial del Estado</w:t>
      </w:r>
      <w:r w:rsidRPr="006B7455">
        <w:rPr>
          <w:rStyle w:val="Refdenotaalpie"/>
          <w:rFonts w:ascii="Bookman Old Style" w:eastAsia="BatangChe" w:hAnsi="Bookman Old Style"/>
          <w:sz w:val="24"/>
          <w:szCs w:val="24"/>
        </w:rPr>
        <w:footnoteReference w:id="10"/>
      </w:r>
      <w:r w:rsidRPr="006B7455">
        <w:rPr>
          <w:rFonts w:ascii="Bookman Old Style" w:eastAsia="BatangChe" w:hAnsi="Bookman Old Style"/>
          <w:sz w:val="24"/>
          <w:szCs w:val="24"/>
        </w:rPr>
        <w:t xml:space="preserve">. </w:t>
      </w:r>
    </w:p>
    <w:p w:rsidR="000B525D" w:rsidRDefault="000B525D" w:rsidP="000B525D">
      <w:pPr>
        <w:spacing w:after="0" w:line="360" w:lineRule="auto"/>
        <w:jc w:val="both"/>
        <w:rPr>
          <w:rFonts w:ascii="Bookman Old Style" w:eastAsia="BatangChe" w:hAnsi="Bookman Old Style"/>
          <w:sz w:val="24"/>
          <w:szCs w:val="24"/>
        </w:rPr>
      </w:pPr>
    </w:p>
    <w:p w:rsidR="000B525D" w:rsidRPr="006B7455" w:rsidRDefault="000B525D" w:rsidP="000B525D">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De igual manera, puede presentarse el caso de responsabilidad por</w:t>
      </w:r>
      <w:r>
        <w:rPr>
          <w:rFonts w:ascii="Bookman Old Style" w:eastAsia="BatangChe" w:hAnsi="Bookman Old Style"/>
          <w:sz w:val="24"/>
          <w:szCs w:val="24"/>
        </w:rPr>
        <w:t xml:space="preserve"> </w:t>
      </w:r>
      <w:r w:rsidRPr="006B7455">
        <w:rPr>
          <w:rFonts w:ascii="Bookman Old Style" w:eastAsia="BatangChe" w:hAnsi="Bookman Old Style"/>
          <w:sz w:val="24"/>
          <w:szCs w:val="24"/>
        </w:rPr>
        <w:t xml:space="preserve">órganos incompetentes, lo que equivale a responder por los hechos violatorios de los particulares del Estado. Este deber de responder nace en virtud de </w:t>
      </w:r>
      <w:r>
        <w:rPr>
          <w:rFonts w:ascii="Bookman Old Style" w:eastAsia="BatangChe" w:hAnsi="Bookman Old Style"/>
          <w:sz w:val="24"/>
          <w:szCs w:val="24"/>
        </w:rPr>
        <w:t>su</w:t>
      </w:r>
      <w:r w:rsidRPr="006B7455">
        <w:rPr>
          <w:rFonts w:ascii="Bookman Old Style" w:eastAsia="BatangChe" w:hAnsi="Bookman Old Style"/>
          <w:sz w:val="24"/>
          <w:szCs w:val="24"/>
        </w:rPr>
        <w:t xml:space="preserve"> obligación de prevenir actos de sus nacionales en perjuicio de los derechos de los demás Estados y de los extranjeros, y de</w:t>
      </w:r>
      <w:r>
        <w:rPr>
          <w:rFonts w:ascii="Bookman Old Style" w:eastAsia="BatangChe" w:hAnsi="Bookman Old Style"/>
          <w:sz w:val="24"/>
          <w:szCs w:val="24"/>
        </w:rPr>
        <w:t xml:space="preserve"> </w:t>
      </w:r>
      <w:r w:rsidRPr="006B7455">
        <w:rPr>
          <w:rFonts w:ascii="Bookman Old Style" w:eastAsia="BatangChe" w:hAnsi="Bookman Old Style"/>
          <w:sz w:val="24"/>
          <w:szCs w:val="24"/>
        </w:rPr>
        <w:t xml:space="preserve">sancionarlos, </w:t>
      </w:r>
      <w:r>
        <w:rPr>
          <w:rFonts w:ascii="Bookman Old Style" w:eastAsia="BatangChe" w:hAnsi="Bookman Old Style"/>
          <w:sz w:val="24"/>
          <w:szCs w:val="24"/>
        </w:rPr>
        <w:t xml:space="preserve">comprometiendo su responsabilidad internacional </w:t>
      </w:r>
      <w:r w:rsidRPr="006B7455">
        <w:rPr>
          <w:rFonts w:ascii="Bookman Old Style" w:eastAsia="BatangChe" w:hAnsi="Bookman Old Style"/>
          <w:sz w:val="24"/>
          <w:szCs w:val="24"/>
        </w:rPr>
        <w:t>por la omisión de su deber</w:t>
      </w:r>
      <w:r w:rsidRPr="006B7455">
        <w:rPr>
          <w:rStyle w:val="Refdenotaalpie"/>
          <w:rFonts w:ascii="Bookman Old Style" w:eastAsia="BatangChe" w:hAnsi="Bookman Old Style"/>
          <w:sz w:val="24"/>
          <w:szCs w:val="24"/>
        </w:rPr>
        <w:footnoteReference w:id="11"/>
      </w:r>
      <w:r w:rsidRPr="006B7455">
        <w:rPr>
          <w:rFonts w:ascii="Bookman Old Style" w:eastAsia="BatangChe" w:hAnsi="Bookman Old Style"/>
          <w:sz w:val="24"/>
          <w:szCs w:val="24"/>
        </w:rPr>
        <w:t>.</w:t>
      </w:r>
    </w:p>
    <w:p w:rsidR="000B525D" w:rsidRDefault="000B525D" w:rsidP="000B525D">
      <w:pPr>
        <w:spacing w:after="0" w:line="360" w:lineRule="auto"/>
        <w:jc w:val="both"/>
        <w:rPr>
          <w:rFonts w:ascii="Bookman Old Style" w:eastAsia="BatangChe" w:hAnsi="Bookman Old Style"/>
          <w:sz w:val="24"/>
          <w:szCs w:val="24"/>
        </w:rPr>
      </w:pPr>
    </w:p>
    <w:p w:rsidR="000B525D" w:rsidRPr="006B7455" w:rsidRDefault="000B525D" w:rsidP="000B525D">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 xml:space="preserve">Con relación al segundo punto, este determina que se genera un hecho internacionalmente ilícito cuando se violenta una obligación internacional asumida por los Estados a través de la suscripción, ratificación o adhesión a un tratado o convenio internacional. </w:t>
      </w:r>
    </w:p>
    <w:p w:rsidR="000B525D" w:rsidRPr="006B7455" w:rsidRDefault="000B525D" w:rsidP="000B525D">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Una característica importante de la responsabilidad internacional consiste en que “el elemento de culpa no es una condición necesaria para determinar la responsabilidad”.</w:t>
      </w:r>
      <w:r w:rsidRPr="006B7455">
        <w:rPr>
          <w:rStyle w:val="Refdenotaalpie"/>
          <w:rFonts w:ascii="Bookman Old Style" w:eastAsia="BatangChe" w:hAnsi="Bookman Old Style"/>
          <w:sz w:val="24"/>
          <w:szCs w:val="24"/>
        </w:rPr>
        <w:footnoteReference w:id="12"/>
      </w:r>
      <w:r w:rsidRPr="006B7455">
        <w:rPr>
          <w:rFonts w:ascii="Bookman Old Style" w:eastAsia="BatangChe" w:hAnsi="Bookman Old Style"/>
          <w:sz w:val="24"/>
          <w:szCs w:val="24"/>
        </w:rPr>
        <w:t xml:space="preserve"> Es decir, un Estado es responsable según el derecho </w:t>
      </w:r>
      <w:r w:rsidRPr="006B7455">
        <w:rPr>
          <w:rFonts w:ascii="Bookman Old Style" w:eastAsia="BatangChe" w:hAnsi="Bookman Old Style"/>
          <w:sz w:val="24"/>
          <w:szCs w:val="24"/>
        </w:rPr>
        <w:lastRenderedPageBreak/>
        <w:t>internacional, incluso si no se encuentran los elementos de culpa o dolo del agente autor del acto, por lo que “la conducta de un Estado como persona jurídica se evalúa en función de una estándar [de responsabilidad] objetiva”.</w:t>
      </w:r>
      <w:r w:rsidRPr="006B7455">
        <w:rPr>
          <w:rStyle w:val="Refdenotaalpie"/>
          <w:rFonts w:ascii="Bookman Old Style" w:eastAsia="BatangChe" w:hAnsi="Bookman Old Style"/>
          <w:sz w:val="24"/>
          <w:szCs w:val="24"/>
        </w:rPr>
        <w:footnoteReference w:id="13"/>
      </w:r>
    </w:p>
    <w:p w:rsidR="000B525D" w:rsidRDefault="000B525D" w:rsidP="000B525D">
      <w:pPr>
        <w:spacing w:after="0" w:line="360" w:lineRule="auto"/>
        <w:jc w:val="both"/>
        <w:rPr>
          <w:rFonts w:ascii="Bookman Old Style" w:eastAsia="BatangChe" w:hAnsi="Bookman Old Style"/>
          <w:sz w:val="24"/>
          <w:szCs w:val="24"/>
        </w:rPr>
      </w:pPr>
    </w:p>
    <w:p w:rsidR="000B525D" w:rsidRPr="006B7455" w:rsidRDefault="000B525D" w:rsidP="000B525D">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 xml:space="preserve">Con relación a lo anterior, y en el ámbito del Sistema Interamericano, la investigadora Juana María Ibáñez sostiene que: </w:t>
      </w:r>
    </w:p>
    <w:p w:rsidR="000B525D" w:rsidRDefault="000B525D" w:rsidP="000B525D">
      <w:pPr>
        <w:spacing w:after="0" w:line="360" w:lineRule="auto"/>
        <w:ind w:left="705"/>
        <w:jc w:val="both"/>
        <w:rPr>
          <w:rFonts w:ascii="Bookman Old Style" w:eastAsia="BatangChe" w:hAnsi="Bookman Old Style"/>
          <w:sz w:val="24"/>
          <w:szCs w:val="24"/>
        </w:rPr>
      </w:pPr>
    </w:p>
    <w:p w:rsidR="000B525D" w:rsidRPr="006B7455" w:rsidRDefault="000B525D" w:rsidP="000B525D">
      <w:pPr>
        <w:spacing w:after="0" w:line="360" w:lineRule="auto"/>
        <w:ind w:left="705"/>
        <w:jc w:val="both"/>
        <w:rPr>
          <w:rFonts w:ascii="Bookman Old Style" w:eastAsia="BatangChe" w:hAnsi="Bookman Old Style"/>
          <w:sz w:val="24"/>
          <w:szCs w:val="24"/>
        </w:rPr>
      </w:pPr>
      <w:r w:rsidRPr="006B7455">
        <w:rPr>
          <w:rFonts w:ascii="Bookman Old Style" w:eastAsia="BatangChe" w:hAnsi="Bookman Old Style"/>
          <w:sz w:val="24"/>
          <w:szCs w:val="24"/>
        </w:rPr>
        <w:t xml:space="preserve">“[…] tratándose de obligaciones estatales en el Sistema Interamericano, es importante tener en cuenta que los propios Estados han consentido respecto a la obligatoriedad de las mismas al hacerse parte de la Convención Americana y de los demás tratados del </w:t>
      </w:r>
      <w:r w:rsidRPr="006B7455">
        <w:rPr>
          <w:rFonts w:ascii="Bookman Old Style" w:eastAsia="BatangChe" w:hAnsi="Bookman Old Style"/>
          <w:i/>
          <w:iCs/>
          <w:sz w:val="24"/>
          <w:szCs w:val="24"/>
        </w:rPr>
        <w:t xml:space="preserve">corpus </w:t>
      </w:r>
      <w:proofErr w:type="spellStart"/>
      <w:r w:rsidRPr="006B7455">
        <w:rPr>
          <w:rFonts w:ascii="Bookman Old Style" w:eastAsia="BatangChe" w:hAnsi="Bookman Old Style"/>
          <w:i/>
          <w:iCs/>
          <w:sz w:val="24"/>
          <w:szCs w:val="24"/>
        </w:rPr>
        <w:t>juris</w:t>
      </w:r>
      <w:proofErr w:type="spellEnd"/>
      <w:r w:rsidRPr="006B7455">
        <w:rPr>
          <w:rFonts w:ascii="Bookman Old Style" w:eastAsia="BatangChe" w:hAnsi="Bookman Old Style"/>
          <w:i/>
          <w:iCs/>
          <w:sz w:val="24"/>
          <w:szCs w:val="24"/>
        </w:rPr>
        <w:t xml:space="preserve"> </w:t>
      </w:r>
      <w:r w:rsidRPr="006B7455">
        <w:rPr>
          <w:rFonts w:ascii="Bookman Old Style" w:eastAsia="BatangChe" w:hAnsi="Bookman Old Style"/>
          <w:sz w:val="24"/>
          <w:szCs w:val="24"/>
        </w:rPr>
        <w:t>interamericano, constituyéndose por ello en agentes responsables del cumplimiento de los deberes involucrados. Dicho deber se transmite a todos los poderes, órganos y autoridades, los que, en consecuencia, pueden generar responsabilidad internacional del Estado por sus acciones u omisiones frente a la violación de uno o más derechos reconocidos en los tratados concernidos”</w:t>
      </w:r>
      <w:r w:rsidRPr="006B7455">
        <w:rPr>
          <w:rStyle w:val="Refdenotaalpie"/>
          <w:rFonts w:ascii="Bookman Old Style" w:eastAsia="BatangChe" w:hAnsi="Bookman Old Style"/>
          <w:sz w:val="24"/>
          <w:szCs w:val="24"/>
        </w:rPr>
        <w:footnoteReference w:id="14"/>
      </w:r>
      <w:r w:rsidRPr="006B7455">
        <w:rPr>
          <w:rFonts w:ascii="Bookman Old Style" w:eastAsia="BatangChe" w:hAnsi="Bookman Old Style"/>
          <w:sz w:val="24"/>
          <w:szCs w:val="24"/>
        </w:rPr>
        <w:t>.</w:t>
      </w:r>
    </w:p>
    <w:p w:rsidR="000B525D" w:rsidRDefault="000B525D" w:rsidP="000B525D">
      <w:pPr>
        <w:spacing w:after="0" w:line="360" w:lineRule="auto"/>
        <w:jc w:val="both"/>
        <w:rPr>
          <w:rFonts w:ascii="Bookman Old Style" w:eastAsia="BatangChe" w:hAnsi="Bookman Old Style"/>
          <w:sz w:val="24"/>
          <w:szCs w:val="24"/>
        </w:rPr>
      </w:pPr>
    </w:p>
    <w:p w:rsidR="000B525D" w:rsidRDefault="000B525D" w:rsidP="000B525D">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En el caso del SIDH, las obligaciones y derechos se encuentran determinados principalmente en la Convención Americana sobre Derechos Humanos, en tal sentido, se presenta la responsabilidad de</w:t>
      </w:r>
      <w:r>
        <w:rPr>
          <w:rFonts w:ascii="Bookman Old Style" w:eastAsia="BatangChe" w:hAnsi="Bookman Old Style"/>
          <w:sz w:val="24"/>
          <w:szCs w:val="24"/>
        </w:rPr>
        <w:t xml:space="preserve"> </w:t>
      </w:r>
      <w:r w:rsidRPr="006B7455">
        <w:rPr>
          <w:rFonts w:ascii="Bookman Old Style" w:eastAsia="BatangChe" w:hAnsi="Bookman Old Style"/>
          <w:sz w:val="24"/>
          <w:szCs w:val="24"/>
        </w:rPr>
        <w:t>l</w:t>
      </w:r>
      <w:r>
        <w:rPr>
          <w:rFonts w:ascii="Bookman Old Style" w:eastAsia="BatangChe" w:hAnsi="Bookman Old Style"/>
          <w:sz w:val="24"/>
          <w:szCs w:val="24"/>
        </w:rPr>
        <w:t>os</w:t>
      </w:r>
      <w:r w:rsidRPr="006B7455">
        <w:rPr>
          <w:rFonts w:ascii="Bookman Old Style" w:eastAsia="BatangChe" w:hAnsi="Bookman Old Style"/>
          <w:sz w:val="24"/>
          <w:szCs w:val="24"/>
        </w:rPr>
        <w:t xml:space="preserve"> Estado</w:t>
      </w:r>
      <w:r>
        <w:rPr>
          <w:rFonts w:ascii="Bookman Old Style" w:eastAsia="BatangChe" w:hAnsi="Bookman Old Style"/>
          <w:sz w:val="24"/>
          <w:szCs w:val="24"/>
        </w:rPr>
        <w:t>s</w:t>
      </w:r>
      <w:r w:rsidRPr="006B7455">
        <w:rPr>
          <w:rFonts w:ascii="Bookman Old Style" w:eastAsia="BatangChe" w:hAnsi="Bookman Old Style"/>
          <w:sz w:val="24"/>
          <w:szCs w:val="24"/>
        </w:rPr>
        <w:t xml:space="preserve"> por hechos internacionalmente ilícitos, cuando por medio de las acciones u omisiones efectuadas por ellos, a través de sus órganos, contravienen las disposiciones del tratado.</w:t>
      </w:r>
    </w:p>
    <w:p w:rsidR="00F5538C" w:rsidRDefault="00F5538C"/>
    <w:sectPr w:rsidR="00F553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88F" w:rsidRDefault="00BD188F" w:rsidP="000B525D">
      <w:pPr>
        <w:spacing w:after="0" w:line="240" w:lineRule="auto"/>
      </w:pPr>
      <w:r>
        <w:separator/>
      </w:r>
    </w:p>
  </w:endnote>
  <w:endnote w:type="continuationSeparator" w:id="0">
    <w:p w:rsidR="00BD188F" w:rsidRDefault="00BD188F" w:rsidP="000B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atangChe">
    <w:panose1 w:val="02030609000101010101"/>
    <w:charset w:val="81"/>
    <w:family w:val="modern"/>
    <w:pitch w:val="fixed"/>
    <w:sig w:usb0="B00002AF" w:usb1="69D77CFB" w:usb2="00000030" w:usb3="00000000" w:csb0="0008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88F" w:rsidRDefault="00BD188F" w:rsidP="000B525D">
      <w:pPr>
        <w:spacing w:after="0" w:line="240" w:lineRule="auto"/>
      </w:pPr>
      <w:r>
        <w:separator/>
      </w:r>
    </w:p>
  </w:footnote>
  <w:footnote w:type="continuationSeparator" w:id="0">
    <w:p w:rsidR="00BD188F" w:rsidRDefault="00BD188F" w:rsidP="000B525D">
      <w:pPr>
        <w:spacing w:after="0" w:line="240" w:lineRule="auto"/>
      </w:pPr>
      <w:r>
        <w:continuationSeparator/>
      </w:r>
    </w:p>
  </w:footnote>
  <w:footnote w:id="1">
    <w:p w:rsidR="000B525D" w:rsidRPr="00E567FA" w:rsidRDefault="000B525D" w:rsidP="000B525D">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lang w:val="en-US"/>
        </w:rPr>
        <w:t xml:space="preserve"> CASSESE, Antonio (2005): </w:t>
      </w:r>
      <w:r w:rsidRPr="003F2969">
        <w:rPr>
          <w:rFonts w:ascii="Bookman Old Style" w:hAnsi="Bookman Old Style"/>
          <w:i/>
          <w:lang w:val="en-US"/>
        </w:rPr>
        <w:t>International Law</w:t>
      </w:r>
      <w:r w:rsidRPr="003F2969">
        <w:rPr>
          <w:rFonts w:ascii="Bookman Old Style" w:hAnsi="Bookman Old Style"/>
          <w:lang w:val="en-US"/>
        </w:rPr>
        <w:t xml:space="preserve"> (Oxford, Oxford University Press, Second Edition). </w:t>
      </w:r>
      <w:r w:rsidRPr="00E567FA">
        <w:rPr>
          <w:rFonts w:ascii="Bookman Old Style" w:hAnsi="Bookman Old Style"/>
        </w:rPr>
        <w:t>P. 73.</w:t>
      </w:r>
    </w:p>
  </w:footnote>
  <w:footnote w:id="2">
    <w:p w:rsidR="000B525D" w:rsidRPr="003F2969" w:rsidRDefault="000B525D" w:rsidP="000B525D">
      <w:pPr>
        <w:spacing w:after="0" w:line="240" w:lineRule="auto"/>
        <w:jc w:val="both"/>
        <w:rPr>
          <w:rFonts w:ascii="Bookman Old Style" w:hAnsi="Bookman Old Style"/>
          <w:sz w:val="20"/>
          <w:szCs w:val="20"/>
          <w:lang w:val="en-US"/>
        </w:rPr>
      </w:pPr>
      <w:r w:rsidRPr="003F2969">
        <w:rPr>
          <w:rStyle w:val="Refdenotaalpie"/>
          <w:rFonts w:ascii="Bookman Old Style" w:hAnsi="Bookman Old Style"/>
          <w:sz w:val="20"/>
          <w:szCs w:val="20"/>
        </w:rPr>
        <w:footnoteRef/>
      </w:r>
      <w:r w:rsidRPr="00E567FA">
        <w:rPr>
          <w:rFonts w:ascii="Bookman Old Style" w:hAnsi="Bookman Old Style"/>
          <w:sz w:val="20"/>
          <w:szCs w:val="20"/>
        </w:rPr>
        <w:t xml:space="preserve"> CAMARGO, Pedro Pablo (1983): </w:t>
      </w:r>
      <w:r w:rsidRPr="00E567FA">
        <w:rPr>
          <w:rFonts w:ascii="Bookman Old Style" w:hAnsi="Bookman Old Style"/>
          <w:i/>
          <w:sz w:val="20"/>
          <w:szCs w:val="20"/>
        </w:rPr>
        <w:t xml:space="preserve">Tratado de Derecho Internacional </w:t>
      </w:r>
      <w:r w:rsidRPr="00E567FA">
        <w:rPr>
          <w:rFonts w:ascii="Bookman Old Style" w:hAnsi="Bookman Old Style"/>
          <w:sz w:val="20"/>
          <w:szCs w:val="20"/>
        </w:rPr>
        <w:t xml:space="preserve">(Bogotá, Editorial Temis). </w:t>
      </w:r>
      <w:proofErr w:type="gramStart"/>
      <w:r w:rsidRPr="003F2969">
        <w:rPr>
          <w:rFonts w:ascii="Bookman Old Style" w:hAnsi="Bookman Old Style"/>
          <w:sz w:val="20"/>
          <w:szCs w:val="20"/>
          <w:lang w:val="en-US"/>
        </w:rPr>
        <w:t>P. 479.</w:t>
      </w:r>
      <w:proofErr w:type="gramEnd"/>
    </w:p>
  </w:footnote>
  <w:footnote w:id="3">
    <w:p w:rsidR="000B525D" w:rsidRPr="00E567FA" w:rsidRDefault="000B525D" w:rsidP="000B525D">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lang w:val="en-US"/>
        </w:rPr>
        <w:t xml:space="preserve"> CASSESE, Antonio (2005): </w:t>
      </w:r>
      <w:r w:rsidRPr="003F2969">
        <w:rPr>
          <w:rFonts w:ascii="Bookman Old Style" w:hAnsi="Bookman Old Style"/>
          <w:i/>
          <w:lang w:val="en-US"/>
        </w:rPr>
        <w:t>International Law</w:t>
      </w:r>
      <w:r w:rsidRPr="003F2969">
        <w:rPr>
          <w:rFonts w:ascii="Bookman Old Style" w:hAnsi="Bookman Old Style"/>
          <w:lang w:val="en-US"/>
        </w:rPr>
        <w:t xml:space="preserve"> (Oxford, Oxford University Press, Second Edition). </w:t>
      </w:r>
      <w:r w:rsidRPr="00E567FA">
        <w:rPr>
          <w:rFonts w:ascii="Bookman Old Style" w:hAnsi="Bookman Old Style"/>
        </w:rPr>
        <w:t>P. 245.</w:t>
      </w:r>
    </w:p>
  </w:footnote>
  <w:footnote w:id="4">
    <w:p w:rsidR="000B525D" w:rsidRPr="00E567FA" w:rsidRDefault="000B525D" w:rsidP="000B525D">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E567FA">
        <w:rPr>
          <w:rFonts w:ascii="Bookman Old Style" w:hAnsi="Bookman Old Style"/>
          <w:sz w:val="20"/>
          <w:szCs w:val="20"/>
        </w:rPr>
        <w:t xml:space="preserve"> </w:t>
      </w:r>
      <w:r w:rsidRPr="00E567FA">
        <w:rPr>
          <w:rFonts w:ascii="Bookman Old Style" w:hAnsi="Bookman Old Style"/>
          <w:i/>
          <w:sz w:val="20"/>
          <w:szCs w:val="20"/>
        </w:rPr>
        <w:t>FÁBRICA DE CHORZOW.</w:t>
      </w:r>
      <w:r w:rsidRPr="00E567FA">
        <w:rPr>
          <w:rFonts w:ascii="Bookman Old Style" w:hAnsi="Bookman Old Style"/>
          <w:sz w:val="20"/>
          <w:szCs w:val="20"/>
        </w:rPr>
        <w:t xml:space="preserve"> Corte Permanente de Justicia Internacional. Sentencia de13 de septiembre de 1928. </w:t>
      </w:r>
    </w:p>
  </w:footnote>
  <w:footnote w:id="5">
    <w:p w:rsidR="000B525D" w:rsidRPr="003F2969" w:rsidRDefault="000B525D" w:rsidP="000B525D">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E567FA">
        <w:rPr>
          <w:rFonts w:ascii="Bookman Old Style" w:hAnsi="Bookman Old Style"/>
          <w:sz w:val="20"/>
          <w:szCs w:val="20"/>
        </w:rPr>
        <w:t xml:space="preserve"> </w:t>
      </w:r>
      <w:r w:rsidRPr="00E567FA">
        <w:rPr>
          <w:rFonts w:ascii="Bookman Old Style" w:hAnsi="Bookman Old Style"/>
          <w:i/>
          <w:sz w:val="20"/>
          <w:szCs w:val="20"/>
        </w:rPr>
        <w:t>MALDONADO ORDÓÑEZ VS. GUATEMALA</w:t>
      </w:r>
      <w:r w:rsidRPr="00E567FA">
        <w:rPr>
          <w:rFonts w:ascii="Bookman Old Style" w:hAnsi="Bookman Old Style"/>
          <w:sz w:val="20"/>
          <w:szCs w:val="20"/>
        </w:rPr>
        <w:t xml:space="preserve">. Corte Interamericana de Derechos Humanos. </w:t>
      </w:r>
      <w:r w:rsidRPr="003F2969">
        <w:rPr>
          <w:rFonts w:ascii="Bookman Old Style" w:hAnsi="Bookman Old Style"/>
          <w:sz w:val="20"/>
          <w:szCs w:val="20"/>
        </w:rPr>
        <w:t xml:space="preserve">Sentencia de Excepción Preliminar, Fondo, Reparaciones y Costas de 3 de mayo de 2016. Serie C No. 311, Párr.121. </w:t>
      </w:r>
    </w:p>
  </w:footnote>
  <w:footnote w:id="6">
    <w:p w:rsidR="000B525D" w:rsidRPr="00E567FA" w:rsidRDefault="000B525D" w:rsidP="000B525D">
      <w:pPr>
        <w:spacing w:after="0" w:line="240" w:lineRule="auto"/>
        <w:jc w:val="both"/>
        <w:rPr>
          <w:rFonts w:ascii="Bookman Old Style" w:hAnsi="Bookman Old Style"/>
          <w:sz w:val="20"/>
          <w:szCs w:val="20"/>
          <w:lang w:val="en-US"/>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GAVIRIA LIEVANO, Enrique (2005): </w:t>
      </w:r>
      <w:r w:rsidRPr="003F2969">
        <w:rPr>
          <w:rFonts w:ascii="Bookman Old Style" w:hAnsi="Bookman Old Style"/>
          <w:i/>
          <w:sz w:val="20"/>
          <w:szCs w:val="20"/>
        </w:rPr>
        <w:t>Derecho Internacional Público</w:t>
      </w:r>
      <w:r w:rsidRPr="003F2969">
        <w:rPr>
          <w:rFonts w:ascii="Bookman Old Style" w:hAnsi="Bookman Old Style"/>
          <w:sz w:val="20"/>
          <w:szCs w:val="20"/>
        </w:rPr>
        <w:t xml:space="preserve">. </w:t>
      </w:r>
      <w:r w:rsidRPr="00E567FA">
        <w:rPr>
          <w:rFonts w:ascii="Bookman Old Style" w:hAnsi="Bookman Old Style"/>
          <w:sz w:val="20"/>
          <w:szCs w:val="20"/>
          <w:lang w:val="en-US"/>
        </w:rPr>
        <w:t xml:space="preserve">(Bogotá, Editorial </w:t>
      </w:r>
      <w:proofErr w:type="spellStart"/>
      <w:r w:rsidRPr="00E567FA">
        <w:rPr>
          <w:rFonts w:ascii="Bookman Old Style" w:hAnsi="Bookman Old Style"/>
          <w:sz w:val="20"/>
          <w:szCs w:val="20"/>
          <w:lang w:val="en-US"/>
        </w:rPr>
        <w:t>Temis</w:t>
      </w:r>
      <w:proofErr w:type="spellEnd"/>
      <w:r w:rsidRPr="00E567FA">
        <w:rPr>
          <w:rFonts w:ascii="Bookman Old Style" w:hAnsi="Bookman Old Style"/>
          <w:sz w:val="20"/>
          <w:szCs w:val="20"/>
          <w:lang w:val="en-US"/>
        </w:rPr>
        <w:t xml:space="preserve">). </w:t>
      </w:r>
      <w:proofErr w:type="gramStart"/>
      <w:r w:rsidRPr="00E567FA">
        <w:rPr>
          <w:rFonts w:ascii="Bookman Old Style" w:hAnsi="Bookman Old Style"/>
          <w:sz w:val="20"/>
          <w:szCs w:val="20"/>
          <w:lang w:val="en-US"/>
        </w:rPr>
        <w:t>P. 213.</w:t>
      </w:r>
      <w:proofErr w:type="gramEnd"/>
    </w:p>
  </w:footnote>
  <w:footnote w:id="7">
    <w:p w:rsidR="000B525D" w:rsidRPr="003F2969" w:rsidRDefault="000B525D" w:rsidP="000B525D">
      <w:pPr>
        <w:pStyle w:val="Textonotapie"/>
        <w:jc w:val="both"/>
        <w:rPr>
          <w:rFonts w:ascii="Bookman Old Style" w:hAnsi="Bookman Old Style"/>
        </w:rPr>
      </w:pPr>
      <w:r w:rsidRPr="003F2969">
        <w:rPr>
          <w:rStyle w:val="Refdenotaalpie"/>
          <w:rFonts w:ascii="Bookman Old Style" w:hAnsi="Bookman Old Style"/>
        </w:rPr>
        <w:footnoteRef/>
      </w:r>
      <w:r w:rsidRPr="00E567FA">
        <w:rPr>
          <w:rFonts w:ascii="Bookman Old Style" w:hAnsi="Bookman Old Style"/>
          <w:lang w:val="en-US"/>
        </w:rPr>
        <w:t xml:space="preserve">CASSESE, Antonio (2005): </w:t>
      </w:r>
      <w:r w:rsidRPr="00E567FA">
        <w:rPr>
          <w:rFonts w:ascii="Bookman Old Style" w:hAnsi="Bookman Old Style"/>
          <w:i/>
          <w:lang w:val="en-US"/>
        </w:rPr>
        <w:t>International Law</w:t>
      </w:r>
      <w:r w:rsidRPr="00E567FA">
        <w:rPr>
          <w:rFonts w:ascii="Bookman Old Style" w:hAnsi="Bookman Old Style"/>
          <w:lang w:val="en-US"/>
        </w:rPr>
        <w:t xml:space="preserve"> (Oxford, Oxford University Press, Second Edition). </w:t>
      </w:r>
      <w:r w:rsidRPr="003F2969">
        <w:rPr>
          <w:rFonts w:ascii="Bookman Old Style" w:hAnsi="Bookman Old Style"/>
        </w:rPr>
        <w:t>P. 246 y 253.</w:t>
      </w:r>
    </w:p>
  </w:footnote>
  <w:footnote w:id="8">
    <w:p w:rsidR="000B525D" w:rsidRPr="003F2969" w:rsidRDefault="000B525D" w:rsidP="000B525D">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RESOLUCIÓN DE LA ORGANIZACIÓN DE LAS NACIONES UNIDAS. ASAMBLEA GENERAL. Resolución No. 56/83 de 12 de diciembre de 2001. Publicada el 28 de enero de 2002.</w:t>
      </w:r>
    </w:p>
  </w:footnote>
  <w:footnote w:id="9">
    <w:p w:rsidR="000B525D" w:rsidRPr="003F2969" w:rsidRDefault="000B525D" w:rsidP="000B525D">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RESOLUCIÓN DE LA ORGANIZACIÓN DE LAS NACIONES UNIDAS. ASAMBLEA GENERAL. Organización de Naciones Unidas. Asamblea General. Resolución No. 56/83 de 12 de diciembre de 2001. Publicada el 28 de enero de 2002.</w:t>
      </w:r>
    </w:p>
  </w:footnote>
  <w:footnote w:id="10">
    <w:p w:rsidR="000B525D" w:rsidRPr="003F2969" w:rsidRDefault="000B525D" w:rsidP="000B525D">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Ibídem.</w:t>
      </w:r>
    </w:p>
  </w:footnote>
  <w:footnote w:id="11">
    <w:p w:rsidR="000B525D" w:rsidRPr="003F2969" w:rsidRDefault="000B525D" w:rsidP="000B525D">
      <w:pPr>
        <w:spacing w:after="0" w:line="240" w:lineRule="auto"/>
        <w:jc w:val="both"/>
        <w:rPr>
          <w:rFonts w:ascii="Bookman Old Style" w:hAnsi="Bookman Old Style"/>
          <w:sz w:val="20"/>
          <w:szCs w:val="20"/>
          <w:lang w:val="en-US"/>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VISSCHER, Charles (1962): </w:t>
      </w:r>
      <w:r w:rsidRPr="003F2969">
        <w:rPr>
          <w:rFonts w:ascii="Bookman Old Style" w:hAnsi="Bookman Old Style"/>
          <w:i/>
          <w:sz w:val="20"/>
          <w:szCs w:val="20"/>
        </w:rPr>
        <w:t>Teorías y realidades en Derecho Internacional Público</w:t>
      </w:r>
      <w:r w:rsidRPr="003F2969">
        <w:rPr>
          <w:rFonts w:ascii="Bookman Old Style" w:hAnsi="Bookman Old Style"/>
          <w:sz w:val="20"/>
          <w:szCs w:val="20"/>
        </w:rPr>
        <w:t xml:space="preserve"> (Barcelona, Bosch). </w:t>
      </w:r>
      <w:proofErr w:type="gramStart"/>
      <w:r w:rsidRPr="003F2969">
        <w:rPr>
          <w:rFonts w:ascii="Bookman Old Style" w:hAnsi="Bookman Old Style"/>
          <w:sz w:val="20"/>
          <w:szCs w:val="20"/>
          <w:lang w:val="en-US"/>
        </w:rPr>
        <w:t>P. 311.</w:t>
      </w:r>
      <w:proofErr w:type="gramEnd"/>
    </w:p>
  </w:footnote>
  <w:footnote w:id="12">
    <w:p w:rsidR="000B525D" w:rsidRPr="003F2969" w:rsidRDefault="000B525D" w:rsidP="000B525D">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DUMBERRY, Patrick (2006): “The Controversial Issue of State Succession to International Responsibility Revisited in Light of Recent State Practice”, </w:t>
      </w:r>
      <w:r w:rsidRPr="003F2969">
        <w:rPr>
          <w:rFonts w:ascii="Bookman Old Style" w:hAnsi="Bookman Old Style"/>
          <w:i/>
          <w:lang w:val="en-US"/>
        </w:rPr>
        <w:t>49 German Yearbook of International Law</w:t>
      </w:r>
      <w:r w:rsidRPr="003F2969">
        <w:rPr>
          <w:rFonts w:ascii="Bookman Old Style" w:hAnsi="Bookman Old Style"/>
          <w:lang w:val="en-US"/>
        </w:rPr>
        <w:t xml:space="preserve"> p. 413 p. 418. </w:t>
      </w:r>
      <w:proofErr w:type="spellStart"/>
      <w:r w:rsidRPr="003F2969">
        <w:rPr>
          <w:rFonts w:ascii="Bookman Old Style" w:hAnsi="Bookman Old Style"/>
          <w:lang w:val="en-US"/>
        </w:rPr>
        <w:t>Ver</w:t>
      </w:r>
      <w:proofErr w:type="spellEnd"/>
      <w:r w:rsidRPr="003F2969">
        <w:rPr>
          <w:rFonts w:ascii="Bookman Old Style" w:hAnsi="Bookman Old Style"/>
          <w:lang w:val="en-US"/>
        </w:rPr>
        <w:t xml:space="preserve"> </w:t>
      </w:r>
      <w:proofErr w:type="spellStart"/>
      <w:r w:rsidRPr="003F2969">
        <w:rPr>
          <w:rFonts w:ascii="Bookman Old Style" w:hAnsi="Bookman Old Style"/>
          <w:lang w:val="en-US"/>
        </w:rPr>
        <w:t>también</w:t>
      </w:r>
      <w:proofErr w:type="spellEnd"/>
      <w:r w:rsidRPr="003F2969">
        <w:rPr>
          <w:rFonts w:ascii="Bookman Old Style" w:hAnsi="Bookman Old Style"/>
          <w:lang w:val="en-US"/>
        </w:rPr>
        <w:t xml:space="preserve">, NOLLKAEMPER, André (2003); “Concurrence </w:t>
      </w:r>
      <w:proofErr w:type="gramStart"/>
      <w:r w:rsidRPr="003F2969">
        <w:rPr>
          <w:rFonts w:ascii="Bookman Old Style" w:hAnsi="Bookman Old Style"/>
          <w:lang w:val="en-US"/>
        </w:rPr>
        <w:t>Between</w:t>
      </w:r>
      <w:proofErr w:type="gramEnd"/>
      <w:r w:rsidRPr="003F2969">
        <w:rPr>
          <w:rFonts w:ascii="Bookman Old Style" w:hAnsi="Bookman Old Style"/>
          <w:lang w:val="en-US"/>
        </w:rPr>
        <w:t xml:space="preserve"> Individual Responsibility and State Responsibility in International Law”, </w:t>
      </w:r>
      <w:r w:rsidRPr="003F2969">
        <w:rPr>
          <w:rFonts w:ascii="Bookman Old Style" w:hAnsi="Bookman Old Style"/>
          <w:i/>
          <w:lang w:val="en-US"/>
        </w:rPr>
        <w:t>52 International and Comparative Law Quarterly</w:t>
      </w:r>
      <w:r w:rsidRPr="003F2969">
        <w:rPr>
          <w:rFonts w:ascii="Bookman Old Style" w:hAnsi="Bookman Old Style"/>
          <w:lang w:val="en-US"/>
        </w:rPr>
        <w:t xml:space="preserve"> 3. </w:t>
      </w:r>
      <w:proofErr w:type="gramStart"/>
      <w:r w:rsidRPr="003F2969">
        <w:rPr>
          <w:rFonts w:ascii="Bookman Old Style" w:hAnsi="Bookman Old Style"/>
          <w:lang w:val="en-US"/>
        </w:rPr>
        <w:t>Pp. 615 y 630.</w:t>
      </w:r>
      <w:proofErr w:type="gramEnd"/>
    </w:p>
  </w:footnote>
  <w:footnote w:id="13">
    <w:p w:rsidR="000B525D" w:rsidRPr="003F2969" w:rsidRDefault="000B525D" w:rsidP="000B525D">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lang w:val="en-US"/>
        </w:rPr>
        <w:t xml:space="preserve"> NOLLKAEMPER, André (2003): “Concurrence </w:t>
      </w:r>
      <w:proofErr w:type="gramStart"/>
      <w:r w:rsidRPr="003F2969">
        <w:rPr>
          <w:rFonts w:ascii="Bookman Old Style" w:hAnsi="Bookman Old Style"/>
          <w:lang w:val="en-US"/>
        </w:rPr>
        <w:t>Between</w:t>
      </w:r>
      <w:proofErr w:type="gramEnd"/>
      <w:r w:rsidRPr="003F2969">
        <w:rPr>
          <w:rFonts w:ascii="Bookman Old Style" w:hAnsi="Bookman Old Style"/>
          <w:lang w:val="en-US"/>
        </w:rPr>
        <w:t xml:space="preserve"> Individual Responsibility and State Responsibility in International Law”, </w:t>
      </w:r>
      <w:r w:rsidRPr="003F2969">
        <w:rPr>
          <w:rFonts w:ascii="Bookman Old Style" w:hAnsi="Bookman Old Style"/>
          <w:i/>
          <w:lang w:val="en-US"/>
        </w:rPr>
        <w:t>52 International and Comparative Law Quarterly</w:t>
      </w:r>
      <w:r w:rsidRPr="003F2969">
        <w:rPr>
          <w:rFonts w:ascii="Bookman Old Style" w:hAnsi="Bookman Old Style"/>
          <w:lang w:val="en-US"/>
        </w:rPr>
        <w:t xml:space="preserve"> 3. </w:t>
      </w:r>
      <w:r w:rsidRPr="003F2969">
        <w:rPr>
          <w:rFonts w:ascii="Bookman Old Style" w:hAnsi="Bookman Old Style"/>
        </w:rPr>
        <w:t>Pp. 615, 617.</w:t>
      </w:r>
    </w:p>
  </w:footnote>
  <w:footnote w:id="14">
    <w:p w:rsidR="000B525D" w:rsidRPr="003F2969" w:rsidRDefault="000B525D" w:rsidP="000B525D">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IBÁÑEZ, Juana María (2017): Control de Convencionalidad (Universidad Autónoma de México, México 2017). p. 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C51735"/>
    <w:multiLevelType w:val="multilevel"/>
    <w:tmpl w:val="DCFE91F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25D"/>
    <w:rsid w:val="000B525D"/>
    <w:rsid w:val="00964F73"/>
    <w:rsid w:val="00AB5253"/>
    <w:rsid w:val="00BD188F"/>
    <w:rsid w:val="00F55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25D"/>
    <w:rPr>
      <w:lang w:val="es-EC"/>
    </w:rPr>
  </w:style>
  <w:style w:type="paragraph" w:styleId="Ttulo2">
    <w:name w:val="heading 2"/>
    <w:basedOn w:val="Normal"/>
    <w:next w:val="Normal"/>
    <w:link w:val="Ttulo2Car"/>
    <w:unhideWhenUsed/>
    <w:qFormat/>
    <w:rsid w:val="000B525D"/>
    <w:pPr>
      <w:keepNext/>
      <w:keepLines/>
      <w:spacing w:before="40" w:after="0"/>
      <w:outlineLvl w:val="1"/>
    </w:pPr>
    <w:rPr>
      <w:rFonts w:ascii="Bookman Old Style" w:eastAsiaTheme="majorEastAsia" w:hAnsi="Bookman Old Style" w:cstheme="majorBidi"/>
      <w:b/>
      <w:sz w:val="24"/>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B525D"/>
    <w:rPr>
      <w:rFonts w:ascii="Bookman Old Style" w:eastAsiaTheme="majorEastAsia" w:hAnsi="Bookman Old Style" w:cstheme="majorBidi"/>
      <w:b/>
      <w:sz w:val="24"/>
      <w:szCs w:val="26"/>
      <w:lang w:val="es-ES_tradnl"/>
    </w:rPr>
  </w:style>
  <w:style w:type="paragraph" w:styleId="Textocomentario">
    <w:name w:val="annotation text"/>
    <w:basedOn w:val="Normal"/>
    <w:link w:val="TextocomentarioCar"/>
    <w:uiPriority w:val="99"/>
    <w:unhideWhenUsed/>
    <w:rsid w:val="000B525D"/>
    <w:pPr>
      <w:spacing w:line="240" w:lineRule="auto"/>
    </w:pPr>
    <w:rPr>
      <w:sz w:val="20"/>
      <w:szCs w:val="20"/>
    </w:rPr>
  </w:style>
  <w:style w:type="character" w:customStyle="1" w:styleId="TextocomentarioCar">
    <w:name w:val="Texto comentario Car"/>
    <w:basedOn w:val="Fuentedeprrafopredeter"/>
    <w:link w:val="Textocomentario"/>
    <w:uiPriority w:val="99"/>
    <w:rsid w:val="000B525D"/>
    <w:rPr>
      <w:sz w:val="20"/>
      <w:szCs w:val="20"/>
      <w:lang w:val="es-EC"/>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r,FA Fu?notente"/>
    <w:basedOn w:val="Normal"/>
    <w:link w:val="TextonotapieCar"/>
    <w:uiPriority w:val="99"/>
    <w:unhideWhenUsed/>
    <w:qFormat/>
    <w:rsid w:val="000B525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25D"/>
    <w:rPr>
      <w:sz w:val="20"/>
      <w:szCs w:val="20"/>
      <w:lang w:val="es-EC"/>
    </w:rPr>
  </w:style>
  <w:style w:type="character" w:styleId="Refdenotaalpie">
    <w:name w:val="footnote reference"/>
    <w:aliases w:val="Footnotes refss,Texto de nota al pie,Appel note de bas de page,Footnote number,referencia nota al pie,BVI fnr,f,4_G,16 Point,Superscript 6 Point,Ref. de nota al pi,Appel note de bas de...,Ref. de nota al pie 2,Texto nota al pie"/>
    <w:basedOn w:val="Fuentedeprrafopredeter"/>
    <w:uiPriority w:val="99"/>
    <w:unhideWhenUsed/>
    <w:qFormat/>
    <w:rsid w:val="000B525D"/>
    <w:rPr>
      <w:vertAlign w:val="superscript"/>
    </w:rPr>
  </w:style>
  <w:style w:type="character" w:styleId="Refdecomentario">
    <w:name w:val="annotation reference"/>
    <w:basedOn w:val="Fuentedeprrafopredeter"/>
    <w:uiPriority w:val="99"/>
    <w:semiHidden/>
    <w:unhideWhenUsed/>
    <w:rsid w:val="000B525D"/>
    <w:rPr>
      <w:sz w:val="16"/>
      <w:szCs w:val="16"/>
    </w:rPr>
  </w:style>
  <w:style w:type="paragraph" w:styleId="Textodeglobo">
    <w:name w:val="Balloon Text"/>
    <w:basedOn w:val="Normal"/>
    <w:link w:val="TextodegloboCar"/>
    <w:uiPriority w:val="99"/>
    <w:semiHidden/>
    <w:unhideWhenUsed/>
    <w:rsid w:val="000B52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525D"/>
    <w:rPr>
      <w:rFonts w:ascii="Segoe UI" w:hAnsi="Segoe UI" w:cs="Segoe UI"/>
      <w:sz w:val="18"/>
      <w:szCs w:val="18"/>
      <w:lang w:val="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25D"/>
    <w:rPr>
      <w:lang w:val="es-EC"/>
    </w:rPr>
  </w:style>
  <w:style w:type="paragraph" w:styleId="Ttulo2">
    <w:name w:val="heading 2"/>
    <w:basedOn w:val="Normal"/>
    <w:next w:val="Normal"/>
    <w:link w:val="Ttulo2Car"/>
    <w:unhideWhenUsed/>
    <w:qFormat/>
    <w:rsid w:val="000B525D"/>
    <w:pPr>
      <w:keepNext/>
      <w:keepLines/>
      <w:spacing w:before="40" w:after="0"/>
      <w:outlineLvl w:val="1"/>
    </w:pPr>
    <w:rPr>
      <w:rFonts w:ascii="Bookman Old Style" w:eastAsiaTheme="majorEastAsia" w:hAnsi="Bookman Old Style" w:cstheme="majorBidi"/>
      <w:b/>
      <w:sz w:val="24"/>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B525D"/>
    <w:rPr>
      <w:rFonts w:ascii="Bookman Old Style" w:eastAsiaTheme="majorEastAsia" w:hAnsi="Bookman Old Style" w:cstheme="majorBidi"/>
      <w:b/>
      <w:sz w:val="24"/>
      <w:szCs w:val="26"/>
      <w:lang w:val="es-ES_tradnl"/>
    </w:rPr>
  </w:style>
  <w:style w:type="paragraph" w:styleId="Textocomentario">
    <w:name w:val="annotation text"/>
    <w:basedOn w:val="Normal"/>
    <w:link w:val="TextocomentarioCar"/>
    <w:uiPriority w:val="99"/>
    <w:unhideWhenUsed/>
    <w:rsid w:val="000B525D"/>
    <w:pPr>
      <w:spacing w:line="240" w:lineRule="auto"/>
    </w:pPr>
    <w:rPr>
      <w:sz w:val="20"/>
      <w:szCs w:val="20"/>
    </w:rPr>
  </w:style>
  <w:style w:type="character" w:customStyle="1" w:styleId="TextocomentarioCar">
    <w:name w:val="Texto comentario Car"/>
    <w:basedOn w:val="Fuentedeprrafopredeter"/>
    <w:link w:val="Textocomentario"/>
    <w:uiPriority w:val="99"/>
    <w:rsid w:val="000B525D"/>
    <w:rPr>
      <w:sz w:val="20"/>
      <w:szCs w:val="20"/>
      <w:lang w:val="es-EC"/>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r,FA Fu?notente"/>
    <w:basedOn w:val="Normal"/>
    <w:link w:val="TextonotapieCar"/>
    <w:uiPriority w:val="99"/>
    <w:unhideWhenUsed/>
    <w:qFormat/>
    <w:rsid w:val="000B525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25D"/>
    <w:rPr>
      <w:sz w:val="20"/>
      <w:szCs w:val="20"/>
      <w:lang w:val="es-EC"/>
    </w:rPr>
  </w:style>
  <w:style w:type="character" w:styleId="Refdenotaalpie">
    <w:name w:val="footnote reference"/>
    <w:aliases w:val="Footnotes refss,Texto de nota al pie,Appel note de bas de page,Footnote number,referencia nota al pie,BVI fnr,f,4_G,16 Point,Superscript 6 Point,Ref. de nota al pi,Appel note de bas de...,Ref. de nota al pie 2,Texto nota al pie"/>
    <w:basedOn w:val="Fuentedeprrafopredeter"/>
    <w:uiPriority w:val="99"/>
    <w:unhideWhenUsed/>
    <w:qFormat/>
    <w:rsid w:val="000B525D"/>
    <w:rPr>
      <w:vertAlign w:val="superscript"/>
    </w:rPr>
  </w:style>
  <w:style w:type="character" w:styleId="Refdecomentario">
    <w:name w:val="annotation reference"/>
    <w:basedOn w:val="Fuentedeprrafopredeter"/>
    <w:uiPriority w:val="99"/>
    <w:semiHidden/>
    <w:unhideWhenUsed/>
    <w:rsid w:val="000B525D"/>
    <w:rPr>
      <w:sz w:val="16"/>
      <w:szCs w:val="16"/>
    </w:rPr>
  </w:style>
  <w:style w:type="paragraph" w:styleId="Textodeglobo">
    <w:name w:val="Balloon Text"/>
    <w:basedOn w:val="Normal"/>
    <w:link w:val="TextodegloboCar"/>
    <w:uiPriority w:val="99"/>
    <w:semiHidden/>
    <w:unhideWhenUsed/>
    <w:rsid w:val="000B52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525D"/>
    <w:rPr>
      <w:rFonts w:ascii="Segoe UI" w:hAnsi="Segoe UI" w:cs="Segoe UI"/>
      <w:sz w:val="18"/>
      <w:szCs w:val="18"/>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868</Words>
  <Characters>4775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Vivanco Carla</cp:lastModifiedBy>
  <cp:revision>2</cp:revision>
  <dcterms:created xsi:type="dcterms:W3CDTF">2018-07-23T20:27:00Z</dcterms:created>
  <dcterms:modified xsi:type="dcterms:W3CDTF">2018-07-23T20:27:00Z</dcterms:modified>
</cp:coreProperties>
</file>